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29.08.2025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1404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«Экономический потенциал» на 2025-2027 годы, утвержденную постановлением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01.11.2024 № 1713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</w:t>
      </w:r>
      <w:r>
        <w:rPr>
          <w:color w:val="000000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от 16.08.2021 № 838, в целях </w:t>
      </w:r>
      <w:r>
        <w:rPr>
          <w:color w:val="000000"/>
        </w:rPr>
        <w:t xml:space="preserve">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numPr>
          <w:ilvl w:val="0"/>
          <w:numId w:val="36"/>
        </w:numPr>
        <w:ind w:left="0" w:right="0" w:firstLine="709"/>
        <w:tabs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Внести в муниципальную программу Печенгского муниципального округа «Экономический потенциал» на 2025-2027 годы, утвержденную постановлением администрации Печенгского муниципального округа от 01.11.2024 № 1713 (в редакции постановления администрации Печен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ского муниципального округа от 28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05.2025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</w:t>
      </w:r>
      <w:r>
        <w:rPr>
          <w:sz w:val="24"/>
          <w:szCs w:val="24"/>
        </w:rPr>
        <w:t xml:space="preserve">915</w:t>
      </w:r>
      <w:r>
        <w:rPr>
          <w:sz w:val="24"/>
          <w:szCs w:val="24"/>
        </w:rPr>
        <w:t xml:space="preserve">) (далее – Программа)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«Финансовое обеспечение программы» паспорта Программы изложить в следующей редакции:</w:t>
      </w:r>
      <w:r/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 w:cs="Calibri"/>
                <w:b/>
                <w:lang w:eastAsia="en-US"/>
              </w:rPr>
              <w:t xml:space="preserve"> </w:t>
            </w:r>
            <w:r>
              <w:rPr>
                <w:rFonts w:eastAsia="Calibri" w:cs="Calibri"/>
                <w:b/>
                <w:lang w:eastAsia="en-US"/>
              </w:rPr>
              <w:t xml:space="preserve">4 343,1</w:t>
            </w:r>
            <w:r>
              <w:rPr>
                <w:rFonts w:eastAsia="Calibri" w:cs="Calibri"/>
                <w:b/>
                <w:lang w:eastAsia="en-US"/>
              </w:rPr>
              <w:t xml:space="preserve">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819,1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739,9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39,6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</w:t>
            </w:r>
            <w:r>
              <w:rPr>
                <w:rFonts w:eastAsia="Calibri" w:cs="Calibri"/>
                <w:lang w:eastAsia="en-US"/>
              </w:rPr>
              <w:t xml:space="preserve">19</w:t>
            </w:r>
            <w:r>
              <w:rPr>
                <w:rFonts w:eastAsia="Calibri" w:cs="Calibri"/>
                <w:lang w:eastAsia="en-US"/>
              </w:rPr>
              <w:t xml:space="preserve">34,0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</w:t>
            </w:r>
            <w:r>
              <w:rPr>
                <w:rFonts w:eastAsia="Calibri" w:cs="Calibri"/>
                <w:lang w:eastAsia="en-US"/>
              </w:rPr>
              <w:t xml:space="preserve">8</w:t>
            </w:r>
            <w:r>
              <w:rPr>
                <w:rFonts w:eastAsia="Calibri" w:cs="Calibri"/>
                <w:lang w:eastAsia="en-US"/>
              </w:rPr>
              <w:t xml:space="preserve">60,0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537,0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537,0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1590,0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530,0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530,0 т</w:t>
            </w:r>
            <w:r>
              <w:rPr>
                <w:rFonts w:eastAsia="Calibri" w:cs="Calibri"/>
                <w:lang w:eastAsia="en-US"/>
              </w:rPr>
              <w:t xml:space="preserve">ыс. рублей.»;</w:t>
            </w:r>
            <w:r/>
          </w:p>
        </w:tc>
      </w:tr>
    </w:tbl>
    <w:p>
      <w:pPr>
        <w:ind w:right="-5" w:firstLine="709"/>
        <w:jc w:val="both"/>
        <w:widowControl w:val="off"/>
        <w:tabs>
          <w:tab w:val="left" w:pos="709" w:leader="none"/>
          <w:tab w:val="left" w:pos="851" w:leader="none"/>
        </w:tabs>
      </w:pPr>
      <w:r>
        <w:t xml:space="preserve">- строку «Финансовое обеспечение подпрограммы» паспорта подпрограммы 2 «Развитие туризма в Печенгском муниципальном округе» (далее – Подпрограмма 2) изложить в следующей редакции:</w:t>
      </w:r>
      <w:r/>
    </w:p>
    <w:tbl>
      <w:tblPr>
        <w:tblW w:w="941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580"/>
        <w:gridCol w:w="6830"/>
      </w:tblGrid>
      <w:tr>
        <w:tblPrEx/>
        <w:trPr>
          <w:jc w:val="center"/>
          <w:trHeight w:val="2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8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«Финансовое обеспечение подпрограммы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30" w:type="dxa"/>
            <w:textDirection w:val="lrTb"/>
            <w:noWrap w:val="false"/>
          </w:tcPr>
          <w:p>
            <w:pPr>
              <w:rPr>
                <w:rFonts w:eastAsia="Calibri" w:cs="Calibri"/>
                <w:b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Всего по подпрограмме:  </w:t>
            </w:r>
            <w:r>
              <w:rPr>
                <w:rFonts w:eastAsia="Calibri" w:cs="Calibri"/>
                <w:b/>
                <w:lang w:eastAsia="en-US"/>
              </w:rPr>
              <w:t xml:space="preserve">2 3</w:t>
            </w:r>
            <w:r>
              <w:rPr>
                <w:rFonts w:eastAsia="Calibri" w:cs="Calibri"/>
                <w:b/>
                <w:lang w:eastAsia="en-US"/>
              </w:rPr>
              <w:t xml:space="preserve">34,0  тыс. рублей,</w:t>
            </w:r>
            <w:r>
              <w:rPr>
                <w:rFonts w:eastAsia="Calibri" w:cs="Calibri"/>
                <w:b/>
                <w:lang w:eastAsia="en-US"/>
              </w:rPr>
            </w:r>
            <w:r>
              <w:rPr>
                <w:rFonts w:eastAsia="Calibri" w:cs="Calibri"/>
                <w:b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 в том числе: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ФБ: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ОБ: 700,0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700,0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МБ: 16</w:t>
            </w:r>
            <w:r>
              <w:rPr>
                <w:rFonts w:eastAsia="Calibri" w:cs="Calibri"/>
                <w:lang w:eastAsia="en-US"/>
              </w:rPr>
              <w:t xml:space="preserve">34,0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7</w:t>
            </w:r>
            <w:r>
              <w:rPr>
                <w:rFonts w:eastAsia="Calibri" w:cs="Calibri"/>
                <w:lang w:eastAsia="en-US"/>
              </w:rPr>
              <w:t xml:space="preserve">60,0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437,0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437,0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ВБС: 0,0 тыс. рублей, из них: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2025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rPr>
                <w:rFonts w:eastAsia="Calibri" w:cs="Calibri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2026 год: 0,0 тыс. рублей,</w:t>
            </w:r>
            <w:r>
              <w:rPr>
                <w:rFonts w:eastAsia="Calibri" w:cs="Calibri"/>
                <w:lang w:eastAsia="en-US"/>
              </w:rPr>
            </w:r>
            <w:r>
              <w:rPr>
                <w:rFonts w:eastAsia="Calibri" w:cs="Calibri"/>
                <w:lang w:eastAsia="en-US"/>
              </w:rPr>
            </w:r>
          </w:p>
          <w:p>
            <w:p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 w:cs="Calibri"/>
                <w:lang w:eastAsia="en-US"/>
              </w:rPr>
              <w:t xml:space="preserve">2027 год: 0,0 тыс. рублей.»;</w:t>
            </w:r>
            <w:r/>
          </w:p>
        </w:tc>
      </w:tr>
    </w:tbl>
    <w:p>
      <w:pPr>
        <w:ind w:firstLine="709"/>
        <w:jc w:val="both"/>
        <w:tabs>
          <w:tab w:val="left" w:pos="1276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- строки 2.1.10, «Итого по основному мероприятию 1» и «Всего по подпрограмме 2» таблицы 1 «Перечень мероприятий подпрограммы с объёмом финансирования» к Подпрограмме 2 изложить в следующей редакции:</w:t>
      </w:r>
      <w:r/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5"/>
        <w:gridCol w:w="1559"/>
        <w:gridCol w:w="709"/>
        <w:gridCol w:w="932"/>
        <w:gridCol w:w="1123"/>
        <w:gridCol w:w="1121"/>
        <w:gridCol w:w="979"/>
        <w:gridCol w:w="979"/>
        <w:gridCol w:w="1102"/>
      </w:tblGrid>
      <w:tr>
        <w:tblPrEx/>
        <w:trPr>
          <w:trHeight w:val="188"/>
        </w:trPr>
        <w:tc>
          <w:tcPr>
            <w:shd w:val="clear" w:color="auto" w:fill="auto"/>
            <w:tcW w:w="45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«2.1.10.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Развитие школьного образовательного туризма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  <w:t xml:space="preserve">Отдел образования, МБОУ СОШ №№ 1,3,5,7,9,11, 19,</w:t>
            </w:r>
            <w:r>
              <w:rPr>
                <w:sz w:val="16"/>
                <w:szCs w:val="16"/>
              </w:rPr>
              <w:t xml:space="preserve">23; МБОУ ООШ №№ 20,22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14</w:t>
            </w:r>
            <w:r>
              <w:rPr>
                <w:sz w:val="20"/>
                <w:szCs w:val="20"/>
              </w:rPr>
              <w:t xml:space="preserve">54,0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377,0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377,0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45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33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21</w:t>
            </w:r>
            <w:r>
              <w:rPr>
                <w:b/>
                <w:sz w:val="20"/>
                <w:szCs w:val="20"/>
              </w:rPr>
              <w:t xml:space="preserve">54,0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</w:t>
            </w:r>
            <w:r>
              <w:rPr>
                <w:b/>
                <w:sz w:val="20"/>
                <w:szCs w:val="20"/>
              </w:rPr>
              <w:t xml:space="preserve">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377,0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16</w:t>
            </w:r>
            <w:r>
              <w:rPr>
                <w:b/>
                <w:sz w:val="20"/>
                <w:szCs w:val="20"/>
              </w:rPr>
              <w:t xml:space="preserve">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</w:t>
            </w:r>
            <w:r>
              <w:rPr>
                <w:b/>
                <w:sz w:val="20"/>
                <w:szCs w:val="20"/>
              </w:rPr>
              <w:t xml:space="preserve">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</w:t>
            </w: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16</w:t>
            </w:r>
            <w:r>
              <w:rPr>
                <w:b/>
                <w:sz w:val="20"/>
                <w:szCs w:val="20"/>
              </w:rPr>
              <w:t xml:space="preserve">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8"/>
        </w:trPr>
        <w:tc>
          <w:tcPr>
            <w:gridSpan w:val="3"/>
            <w:shd w:val="clear" w:color="auto" w:fill="auto"/>
            <w:tcW w:w="166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9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0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</w:t>
            </w:r>
            <w:r>
              <w:rPr>
                <w:b/>
                <w:sz w:val="20"/>
                <w:szCs w:val="20"/>
              </w:rPr>
              <w:t xml:space="preserve">34,0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9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14</w:t>
            </w:r>
            <w:r>
              <w:rPr>
                <w:b/>
                <w:sz w:val="20"/>
                <w:szCs w:val="20"/>
              </w:rPr>
              <w:t xml:space="preserve">60,0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437,0».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911"/>
        <w:numPr>
          <w:ilvl w:val="0"/>
          <w:numId w:val="34"/>
        </w:numPr>
        <w:contextualSpacing/>
        <w:ind w:left="0" w:firstLine="709"/>
        <w:jc w:val="left"/>
        <w:widowControl w:val="off"/>
        <w:pBdr>
          <w:top w:val="none" w:color="000000" w:sz="4" w:space="10"/>
        </w:pBdr>
        <w:suppressLineNumbers w:val="0"/>
      </w:pPr>
      <w:r>
        <w:t xml:space="preserve">Настоящее постановление вступает в силу после его подписания.</w:t>
      </w:r>
      <w:r/>
    </w:p>
    <w:p>
      <w:pPr>
        <w:pStyle w:val="911"/>
        <w:numPr>
          <w:ilvl w:val="0"/>
          <w:numId w:val="34"/>
        </w:numPr>
        <w:contextualSpacing/>
        <w:ind w:left="0" w:firstLine="709"/>
        <w:jc w:val="left"/>
        <w:widowControl w:val="off"/>
        <w:pBdr>
          <w:top w:val="none" w:color="000000" w:sz="4" w:space="10"/>
        </w:pBdr>
        <w:suppressLineNumbers w:val="0"/>
      </w:pPr>
      <w: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contextualSpacing/>
        <w:jc w:val="left"/>
        <w:pBdr>
          <w:top w:val="none" w:color="000000" w:sz="4" w:space="3"/>
        </w:pBdr>
        <w:suppressLineNumbers w:val="0"/>
      </w:pPr>
      <w:r/>
      <w:r/>
    </w:p>
    <w:p>
      <w:pPr>
        <w:contextualSpacing/>
        <w:jc w:val="left"/>
        <w:pBdr>
          <w:top w:val="none" w:color="000000" w:sz="4" w:space="5"/>
        </w:pBdr>
        <w:suppressLineNumbers w:val="0"/>
      </w:pPr>
      <w:r/>
      <w:r/>
    </w:p>
    <w:p>
      <w:pPr>
        <w:contextualSpacing/>
        <w:jc w:val="left"/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  <w:suppressLineNumbers w:val="0"/>
      </w:pPr>
      <w:r>
        <w:t xml:space="preserve">Глава</w:t>
      </w:r>
      <w:r>
        <w:t xml:space="preserve"> Печенгского муниципального округа </w:t>
      </w:r>
      <w:r>
        <w:tab/>
      </w:r>
      <w:r>
        <w:tab/>
      </w:r>
      <w:r>
        <w:tab/>
        <w:t xml:space="preserve">         </w:t>
      </w:r>
      <w:r>
        <w:t xml:space="preserve">              </w:t>
      </w:r>
      <w:r>
        <w:t xml:space="preserve"> А.В. </w:t>
      </w:r>
      <w:r>
        <w:t xml:space="preserve">Кузнецов</w:t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bCs/>
          <w:color w:val="000000" w:themeColor="text1"/>
          <w:sz w:val="18"/>
          <w:szCs w:val="18"/>
        </w:rPr>
        <w:pBdr>
          <w:top w:val="none" w:color="000000" w:sz="4" w:space="5"/>
        </w:pBdr>
      </w:pP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  <w:r>
        <w:rPr>
          <w:bCs/>
          <w:color w:val="000000" w:themeColor="text1"/>
          <w:sz w:val="18"/>
          <w:szCs w:val="18"/>
        </w:rPr>
      </w:r>
    </w:p>
    <w:p>
      <w:pPr>
        <w:rPr>
          <w:color w:val="000000" w:themeColor="text1"/>
          <w:sz w:val="20"/>
          <w:szCs w:val="20"/>
        </w:rPr>
        <w:pBdr>
          <w:top w:val="none" w:color="000000" w:sz="4" w:space="5"/>
        </w:pBdr>
      </w:pPr>
      <w:r>
        <w:rPr>
          <w:bCs/>
          <w:color w:val="000000" w:themeColor="text1"/>
          <w:sz w:val="20"/>
          <w:szCs w:val="20"/>
        </w:rPr>
        <w:t xml:space="preserve">Ч</w:t>
      </w:r>
      <w:r>
        <w:rPr>
          <w:bCs/>
          <w:color w:val="000000" w:themeColor="text1"/>
          <w:sz w:val="20"/>
          <w:szCs w:val="20"/>
        </w:rPr>
        <w:t xml:space="preserve">упина Н.В., 62041</w:t>
      </w:r>
      <w:r>
        <w:rPr>
          <w:color w:val="000000" w:themeColor="text1"/>
          <w:sz w:val="20"/>
          <w:szCs w:val="20"/>
        </w:rPr>
      </w:r>
      <w:r>
        <w:rPr>
          <w:color w:val="000000" w:themeColor="text1"/>
          <w:sz w:val="20"/>
          <w:szCs w:val="20"/>
        </w:rPr>
      </w:r>
      <w:r/>
      <w:r/>
      <w:r>
        <w:rPr>
          <w:color w:val="000000" w:themeColor="text1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12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4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6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8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0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2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4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6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8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1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2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3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num w:numId="1">
    <w:abstractNumId w:val="6"/>
  </w:num>
  <w:num w:numId="2">
    <w:abstractNumId w:val="18"/>
  </w:num>
  <w:num w:numId="3">
    <w:abstractNumId w:val="7"/>
  </w:num>
  <w:num w:numId="4">
    <w:abstractNumId w:val="21"/>
  </w:num>
  <w:num w:numId="5">
    <w:abstractNumId w:val="27"/>
  </w:num>
  <w:num w:numId="6">
    <w:abstractNumId w:val="15"/>
  </w:num>
  <w:num w:numId="7">
    <w:abstractNumId w:val="25"/>
  </w:num>
  <w:num w:numId="8">
    <w:abstractNumId w:val="31"/>
  </w:num>
  <w:num w:numId="9">
    <w:abstractNumId w:val="1"/>
  </w:num>
  <w:num w:numId="10">
    <w:abstractNumId w:val="8"/>
  </w:num>
  <w:num w:numId="11">
    <w:abstractNumId w:val="5"/>
  </w:num>
  <w:num w:numId="12">
    <w:abstractNumId w:val="26"/>
  </w:num>
  <w:num w:numId="13">
    <w:abstractNumId w:val="33"/>
  </w:num>
  <w:num w:numId="14">
    <w:abstractNumId w:val="32"/>
  </w:num>
  <w:num w:numId="15">
    <w:abstractNumId w:val="14"/>
  </w:num>
  <w:num w:numId="16">
    <w:abstractNumId w:val="34"/>
  </w:num>
  <w:num w:numId="17">
    <w:abstractNumId w:val="28"/>
  </w:num>
  <w:num w:numId="18">
    <w:abstractNumId w:val="23"/>
  </w:num>
  <w:num w:numId="19">
    <w:abstractNumId w:val="10"/>
  </w:num>
  <w:num w:numId="20">
    <w:abstractNumId w:val="2"/>
  </w:num>
  <w:num w:numId="21">
    <w:abstractNumId w:val="35"/>
  </w:num>
  <w:num w:numId="22">
    <w:abstractNumId w:val="9"/>
  </w:num>
  <w:num w:numId="23">
    <w:abstractNumId w:val="17"/>
  </w:num>
  <w:num w:numId="24">
    <w:abstractNumId w:val="12"/>
  </w:num>
  <w:num w:numId="25">
    <w:abstractNumId w:val="16"/>
  </w:num>
  <w:num w:numId="26">
    <w:abstractNumId w:val="20"/>
  </w:num>
  <w:num w:numId="27">
    <w:abstractNumId w:val="24"/>
  </w:num>
  <w:num w:numId="28">
    <w:abstractNumId w:val="0"/>
  </w:num>
  <w:num w:numId="29">
    <w:abstractNumId w:val="13"/>
  </w:num>
  <w:num w:numId="30">
    <w:abstractNumId w:val="22"/>
  </w:num>
  <w:num w:numId="31">
    <w:abstractNumId w:val="29"/>
  </w:num>
  <w:num w:numId="32">
    <w:abstractNumId w:val="3"/>
  </w:num>
  <w:num w:numId="33">
    <w:abstractNumId w:val="19"/>
  </w:num>
  <w:num w:numId="34">
    <w:abstractNumId w:val="4"/>
  </w:num>
  <w:num w:numId="35">
    <w:abstractNumId w:val="30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6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27">
    <w:name w:val="Heading 1"/>
    <w:basedOn w:val="726"/>
    <w:next w:val="726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28">
    <w:name w:val="Heading 2"/>
    <w:basedOn w:val="726"/>
    <w:next w:val="726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29">
    <w:name w:val="Heading 3"/>
    <w:basedOn w:val="726"/>
    <w:next w:val="726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30">
    <w:name w:val="Heading 4"/>
    <w:basedOn w:val="726"/>
    <w:next w:val="726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31">
    <w:name w:val="Heading 5"/>
    <w:basedOn w:val="726"/>
    <w:next w:val="726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32">
    <w:name w:val="Heading 6"/>
    <w:basedOn w:val="726"/>
    <w:next w:val="726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33">
    <w:name w:val="Heading 7"/>
    <w:basedOn w:val="726"/>
    <w:next w:val="726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34">
    <w:name w:val="Heading 8"/>
    <w:basedOn w:val="726"/>
    <w:next w:val="726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35">
    <w:name w:val="Heading 9"/>
    <w:basedOn w:val="726"/>
    <w:next w:val="726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36" w:default="1">
    <w:name w:val="Default Paragraph Font"/>
    <w:uiPriority w:val="1"/>
    <w:semiHidden/>
    <w:unhideWhenUsed/>
  </w:style>
  <w:style w:type="table" w:styleId="7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8" w:default="1">
    <w:name w:val="No List"/>
    <w:uiPriority w:val="99"/>
    <w:semiHidden/>
    <w:unhideWhenUsed/>
  </w:style>
  <w:style w:type="table" w:styleId="739">
    <w:name w:val="Plain Table 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0">
    <w:name w:val="Plain Table 2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3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2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>
    <w:name w:val="Grid Table 5 Dark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>
    <w:name w:val="Grid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0">
    <w:name w:val="Grid Table 7 Colorful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>
    <w:name w:val="List Table 1 Light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3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5 Dark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6">
    <w:name w:val="List Table 6 Colorful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7">
    <w:name w:val="List Table 7 Colorful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8" w:customStyle="1">
    <w:name w:val="Heading 1 Char"/>
    <w:basedOn w:val="736"/>
    <w:uiPriority w:val="9"/>
    <w:rPr>
      <w:rFonts w:ascii="Arial" w:hAnsi="Arial" w:eastAsia="Arial" w:cs="Arial"/>
      <w:sz w:val="40"/>
      <w:szCs w:val="40"/>
    </w:rPr>
  </w:style>
  <w:style w:type="character" w:styleId="759" w:customStyle="1">
    <w:name w:val="Heading 2 Char"/>
    <w:basedOn w:val="736"/>
    <w:uiPriority w:val="9"/>
    <w:rPr>
      <w:rFonts w:ascii="Arial" w:hAnsi="Arial" w:eastAsia="Arial" w:cs="Arial"/>
      <w:sz w:val="34"/>
    </w:rPr>
  </w:style>
  <w:style w:type="character" w:styleId="760" w:customStyle="1">
    <w:name w:val="Heading 3 Char"/>
    <w:basedOn w:val="736"/>
    <w:uiPriority w:val="9"/>
    <w:rPr>
      <w:rFonts w:ascii="Arial" w:hAnsi="Arial" w:eastAsia="Arial" w:cs="Arial"/>
      <w:sz w:val="30"/>
      <w:szCs w:val="30"/>
    </w:rPr>
  </w:style>
  <w:style w:type="character" w:styleId="761" w:customStyle="1">
    <w:name w:val="Heading 4 Char"/>
    <w:basedOn w:val="736"/>
    <w:uiPriority w:val="9"/>
    <w:rPr>
      <w:rFonts w:ascii="Arial" w:hAnsi="Arial" w:eastAsia="Arial" w:cs="Arial"/>
      <w:b/>
      <w:bCs/>
      <w:sz w:val="26"/>
      <w:szCs w:val="26"/>
    </w:rPr>
  </w:style>
  <w:style w:type="character" w:styleId="762" w:customStyle="1">
    <w:name w:val="Heading 5 Char"/>
    <w:basedOn w:val="736"/>
    <w:uiPriority w:val="9"/>
    <w:rPr>
      <w:rFonts w:ascii="Arial" w:hAnsi="Arial" w:eastAsia="Arial" w:cs="Arial"/>
      <w:b/>
      <w:bCs/>
      <w:sz w:val="24"/>
      <w:szCs w:val="24"/>
    </w:rPr>
  </w:style>
  <w:style w:type="character" w:styleId="763" w:customStyle="1">
    <w:name w:val="Heading 6 Char"/>
    <w:basedOn w:val="736"/>
    <w:uiPriority w:val="9"/>
    <w:rPr>
      <w:rFonts w:ascii="Arial" w:hAnsi="Arial" w:eastAsia="Arial" w:cs="Arial"/>
      <w:b/>
      <w:bCs/>
      <w:sz w:val="22"/>
      <w:szCs w:val="22"/>
    </w:rPr>
  </w:style>
  <w:style w:type="character" w:styleId="764" w:customStyle="1">
    <w:name w:val="Heading 7 Char"/>
    <w:basedOn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5" w:customStyle="1">
    <w:name w:val="Heading 8 Char"/>
    <w:basedOn w:val="736"/>
    <w:uiPriority w:val="9"/>
    <w:rPr>
      <w:rFonts w:ascii="Arial" w:hAnsi="Arial" w:eastAsia="Arial" w:cs="Arial"/>
      <w:i/>
      <w:iCs/>
      <w:sz w:val="22"/>
      <w:szCs w:val="22"/>
    </w:rPr>
  </w:style>
  <w:style w:type="character" w:styleId="766" w:customStyle="1">
    <w:name w:val="Heading 9 Char"/>
    <w:basedOn w:val="736"/>
    <w:uiPriority w:val="9"/>
    <w:rPr>
      <w:rFonts w:ascii="Arial" w:hAnsi="Arial" w:eastAsia="Arial" w:cs="Arial"/>
      <w:i/>
      <w:iCs/>
      <w:sz w:val="21"/>
      <w:szCs w:val="21"/>
    </w:rPr>
  </w:style>
  <w:style w:type="character" w:styleId="767" w:customStyle="1">
    <w:name w:val="Title Char"/>
    <w:basedOn w:val="736"/>
    <w:uiPriority w:val="10"/>
    <w:rPr>
      <w:sz w:val="48"/>
      <w:szCs w:val="48"/>
    </w:rPr>
  </w:style>
  <w:style w:type="character" w:styleId="768" w:customStyle="1">
    <w:name w:val="Subtitle Char"/>
    <w:basedOn w:val="736"/>
    <w:uiPriority w:val="11"/>
    <w:rPr>
      <w:sz w:val="24"/>
      <w:szCs w:val="24"/>
    </w:rPr>
  </w:style>
  <w:style w:type="character" w:styleId="769" w:customStyle="1">
    <w:name w:val="Quote Char"/>
    <w:uiPriority w:val="29"/>
    <w:rPr>
      <w:i/>
    </w:rPr>
  </w:style>
  <w:style w:type="character" w:styleId="770" w:customStyle="1">
    <w:name w:val="Intense Quote Char"/>
    <w:uiPriority w:val="30"/>
    <w:rPr>
      <w:i/>
    </w:rPr>
  </w:style>
  <w:style w:type="character" w:styleId="771" w:customStyle="1">
    <w:name w:val="Header Char"/>
    <w:basedOn w:val="736"/>
    <w:uiPriority w:val="99"/>
  </w:style>
  <w:style w:type="character" w:styleId="772" w:customStyle="1">
    <w:name w:val="Caption Char"/>
    <w:uiPriority w:val="99"/>
  </w:style>
  <w:style w:type="character" w:styleId="773" w:customStyle="1">
    <w:name w:val="Endnote Text Char"/>
    <w:uiPriority w:val="99"/>
    <w:rPr>
      <w:sz w:val="20"/>
    </w:rPr>
  </w:style>
  <w:style w:type="character" w:styleId="774" w:customStyle="1">
    <w:name w:val="Заголовок 1 Знак"/>
    <w:basedOn w:val="736"/>
    <w:link w:val="727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36"/>
    <w:link w:val="728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36"/>
    <w:link w:val="729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36"/>
    <w:link w:val="730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3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36"/>
    <w:link w:val="732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36"/>
    <w:link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36"/>
    <w:link w:val="734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36"/>
    <w:link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Заголовок Знак"/>
    <w:basedOn w:val="736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36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36"/>
    <w:link w:val="917"/>
    <w:uiPriority w:val="99"/>
  </w:style>
  <w:style w:type="character" w:styleId="788" w:customStyle="1">
    <w:name w:val="Footer Char"/>
    <w:basedOn w:val="736"/>
    <w:uiPriority w:val="99"/>
  </w:style>
  <w:style w:type="paragraph" w:styleId="789">
    <w:name w:val="Caption"/>
    <w:basedOn w:val="726"/>
    <w:next w:val="72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2" w:customStyle="1">
    <w:name w:val="Таблица простая 11"/>
    <w:basedOn w:val="73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3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3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3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3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3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3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3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3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3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3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3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3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3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3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3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3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3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3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3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3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3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3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3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3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3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3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3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3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3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3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3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3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3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3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3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3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3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3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3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3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3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3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3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3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3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3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3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3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3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3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3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3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3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3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3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3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3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3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3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3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3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3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3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37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26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36"/>
    <w:uiPriority w:val="99"/>
    <w:semiHidden/>
    <w:unhideWhenUsed/>
    <w:rPr>
      <w:vertAlign w:val="superscript"/>
    </w:rPr>
  </w:style>
  <w:style w:type="paragraph" w:styleId="900">
    <w:name w:val="toc 1"/>
    <w:basedOn w:val="726"/>
    <w:next w:val="726"/>
    <w:uiPriority w:val="39"/>
    <w:unhideWhenUsed/>
    <w:pPr>
      <w:spacing w:after="57"/>
    </w:pPr>
  </w:style>
  <w:style w:type="paragraph" w:styleId="901">
    <w:name w:val="toc 2"/>
    <w:basedOn w:val="726"/>
    <w:next w:val="726"/>
    <w:uiPriority w:val="39"/>
    <w:unhideWhenUsed/>
    <w:pPr>
      <w:ind w:left="283"/>
      <w:spacing w:after="57"/>
    </w:pPr>
  </w:style>
  <w:style w:type="paragraph" w:styleId="902">
    <w:name w:val="toc 3"/>
    <w:basedOn w:val="726"/>
    <w:next w:val="726"/>
    <w:uiPriority w:val="39"/>
    <w:unhideWhenUsed/>
    <w:pPr>
      <w:ind w:left="567"/>
      <w:spacing w:after="57"/>
    </w:pPr>
  </w:style>
  <w:style w:type="paragraph" w:styleId="903">
    <w:name w:val="toc 4"/>
    <w:basedOn w:val="726"/>
    <w:next w:val="726"/>
    <w:uiPriority w:val="39"/>
    <w:unhideWhenUsed/>
    <w:pPr>
      <w:ind w:left="850"/>
      <w:spacing w:after="57"/>
    </w:pPr>
  </w:style>
  <w:style w:type="paragraph" w:styleId="904">
    <w:name w:val="toc 5"/>
    <w:basedOn w:val="726"/>
    <w:next w:val="726"/>
    <w:uiPriority w:val="39"/>
    <w:unhideWhenUsed/>
    <w:pPr>
      <w:ind w:left="1134"/>
      <w:spacing w:after="57"/>
    </w:pPr>
  </w:style>
  <w:style w:type="paragraph" w:styleId="905">
    <w:name w:val="toc 6"/>
    <w:basedOn w:val="726"/>
    <w:next w:val="726"/>
    <w:uiPriority w:val="39"/>
    <w:unhideWhenUsed/>
    <w:pPr>
      <w:ind w:left="1417"/>
      <w:spacing w:after="57"/>
    </w:pPr>
  </w:style>
  <w:style w:type="paragraph" w:styleId="906">
    <w:name w:val="toc 7"/>
    <w:basedOn w:val="726"/>
    <w:next w:val="726"/>
    <w:uiPriority w:val="39"/>
    <w:unhideWhenUsed/>
    <w:pPr>
      <w:ind w:left="1701"/>
      <w:spacing w:after="57"/>
    </w:pPr>
  </w:style>
  <w:style w:type="paragraph" w:styleId="907">
    <w:name w:val="toc 8"/>
    <w:basedOn w:val="726"/>
    <w:next w:val="726"/>
    <w:uiPriority w:val="39"/>
    <w:unhideWhenUsed/>
    <w:pPr>
      <w:ind w:left="1984"/>
      <w:spacing w:after="57"/>
    </w:pPr>
  </w:style>
  <w:style w:type="paragraph" w:styleId="908">
    <w:name w:val="toc 9"/>
    <w:basedOn w:val="726"/>
    <w:next w:val="726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26"/>
    <w:next w:val="726"/>
    <w:uiPriority w:val="99"/>
    <w:unhideWhenUsed/>
  </w:style>
  <w:style w:type="paragraph" w:styleId="911">
    <w:name w:val="List Paragraph"/>
    <w:basedOn w:val="726"/>
    <w:pPr>
      <w:ind w:left="720"/>
    </w:pPr>
  </w:style>
  <w:style w:type="paragraph" w:styleId="912">
    <w:name w:val="No Spacing"/>
    <w:basedOn w:val="726"/>
    <w:uiPriority w:val="1"/>
    <w:qFormat/>
    <w:rPr>
      <w:color w:val="000000"/>
    </w:rPr>
  </w:style>
  <w:style w:type="paragraph" w:styleId="913">
    <w:name w:val="Title"/>
    <w:basedOn w:val="726"/>
    <w:next w:val="726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26"/>
    <w:next w:val="726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26"/>
    <w:next w:val="726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26"/>
    <w:next w:val="726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26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26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37"/>
    <w:rPr>
      <w:rFonts w:ascii="Times New Roman" w:hAnsi="Times New Roman" w:eastAsia="Times New Roman"/>
      <w:szCs w:val="20"/>
    </w:rPr>
    <w:tblPr/>
  </w:style>
  <w:style w:type="table" w:styleId="920" w:customStyle="1">
    <w:name w:val="Lined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37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37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37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37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37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37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37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37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37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37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37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37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37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37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37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26"/>
    <w:uiPriority w:val="99"/>
    <w:semiHidden/>
    <w:unhideWhenUsed/>
    <w:rPr>
      <w:sz w:val="20"/>
    </w:rPr>
  </w:style>
  <w:style w:type="character" w:styleId="943" w:customStyle="1">
    <w:name w:val="Footnote Text Char"/>
    <w:basedOn w:val="736"/>
    <w:uiPriority w:val="99"/>
    <w:semiHidden/>
    <w:rPr>
      <w:sz w:val="20"/>
    </w:rPr>
  </w:style>
  <w:style w:type="character" w:styleId="944">
    <w:name w:val="footnote reference"/>
    <w:basedOn w:val="736"/>
    <w:uiPriority w:val="99"/>
    <w:semiHidden/>
    <w:unhideWhenUsed/>
    <w:rPr>
      <w:vertAlign w:val="superscript"/>
    </w:rPr>
  </w:style>
  <w:style w:type="paragraph" w:styleId="945">
    <w:name w:val="Balloon Text"/>
    <w:basedOn w:val="726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26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26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26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26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26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D5E70-1085-4E56-AAC1-2403248D4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17</cp:revision>
  <dcterms:created xsi:type="dcterms:W3CDTF">2024-11-20T06:55:00Z</dcterms:created>
  <dcterms:modified xsi:type="dcterms:W3CDTF">2025-09-15T06:00:26Z</dcterms:modified>
</cp:coreProperties>
</file>