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05.09.2025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1428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 условий </w:t>
      </w:r>
      <w:r>
        <w:rPr>
          <w:b/>
        </w:rPr>
        <w:t xml:space="preserve">пр</w:t>
      </w:r>
      <w:r>
        <w:rPr>
          <w:b/>
        </w:rPr>
        <w:t xml:space="preserve">иватизации имущества, </w:t>
      </w:r>
      <w:r>
        <w:rPr>
          <w:b/>
        </w:rPr>
        <w:t xml:space="preserve">находящегося</w:t>
      </w:r>
      <w:r>
        <w:rPr>
          <w:b/>
        </w:rPr>
        <w:t xml:space="preserve"> </w:t>
      </w:r>
      <w:r>
        <w:rPr>
          <w:b/>
        </w:rPr>
        <w:t xml:space="preserve">в собственности 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 Федеральным </w:t>
      </w:r>
      <w:r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 условия</w:t>
      </w:r>
      <w:r>
        <w:rPr>
          <w:color w:val="000000"/>
          <w:sz w:val="24"/>
          <w:szCs w:val="24"/>
        </w:rPr>
        <w:t xml:space="preserve">ми</w:t>
      </w:r>
      <w:r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Прогнозным планом (программой) приватизации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имущества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 и плановый период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, утвержденным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518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Разрешить приватизацию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посредством публичного предложения имущества</w:t>
      </w:r>
      <w:r>
        <w:rPr>
          <w:sz w:val="24"/>
          <w:szCs w:val="24"/>
        </w:rPr>
        <w:t xml:space="preserve">, находящегося в собственности </w:t>
      </w:r>
      <w:r>
        <w:rPr>
          <w:sz w:val="24"/>
          <w:szCs w:val="24"/>
        </w:rPr>
        <w:t xml:space="preserve">Печенгского муниципального округа,</w:t>
      </w:r>
      <w:r>
        <w:rPr>
          <w:sz w:val="24"/>
          <w:szCs w:val="24"/>
        </w:rPr>
        <w:t xml:space="preserve"> согласно приложени</w:t>
      </w:r>
      <w:r>
        <w:rPr>
          <w:sz w:val="24"/>
          <w:szCs w:val="24"/>
        </w:rPr>
        <w:t xml:space="preserve">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Способ приватизации: </w:t>
      </w:r>
      <w:r>
        <w:rPr>
          <w:sz w:val="24"/>
          <w:szCs w:val="24"/>
        </w:rPr>
        <w:t xml:space="preserve">продажа путем публичного предложения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 Цена первоначального предложения, величина снижения цены первоначального предложения («шаг понижения»), величина повышения цены («шаг аукциона»), минимальная цена  предложения («цена отсечения») не</w:t>
      </w:r>
      <w:r>
        <w:rPr>
          <w:sz w:val="24"/>
          <w:szCs w:val="24"/>
        </w:rPr>
        <w:t xml:space="preserve">движимого имущества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рабочих </w:t>
      </w:r>
      <w:r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со дня заключения</w:t>
      </w:r>
      <w:r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Все действия, необходимые д</w:t>
      </w:r>
      <w:r>
        <w:rPr>
          <w:sz w:val="24"/>
          <w:szCs w:val="24"/>
        </w:rPr>
        <w:t xml:space="preserve">ля государственной регистрации имущества </w:t>
      </w:r>
      <w:r>
        <w:rPr>
          <w:sz w:val="24"/>
          <w:szCs w:val="24"/>
        </w:rPr>
        <w:t xml:space="preserve">и оплату стоимости указанных услуг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Комитету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выступить продавцом имущества и осуществлять работу в соответствии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Положением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б организации </w:t>
      </w:r>
      <w:r>
        <w:rPr>
          <w:sz w:val="24"/>
          <w:szCs w:val="24"/>
        </w:rPr>
        <w:t xml:space="preserve">и проведении </w:t>
      </w:r>
      <w:r>
        <w:rPr>
          <w:sz w:val="24"/>
          <w:szCs w:val="24"/>
        </w:rPr>
        <w:t xml:space="preserve">продажи государственно</w:t>
      </w:r>
      <w:r>
        <w:rPr>
          <w:sz w:val="24"/>
          <w:szCs w:val="24"/>
        </w:rPr>
        <w:t xml:space="preserve">го или муниципального имущества в электронной форме</w:t>
      </w:r>
      <w:r>
        <w:rPr>
          <w:sz w:val="24"/>
          <w:szCs w:val="24"/>
        </w:rPr>
        <w:t xml:space="preserve">, утвержденным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27.08.2012 № 860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 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Лаврущик</w:t>
      </w:r>
      <w:r>
        <w:t xml:space="preserve"> С.С., 50579</w:t>
      </w:r>
      <w:r>
        <w:rPr>
          <w:sz w:val="24"/>
          <w:szCs w:val="24"/>
        </w:rPr>
      </w:r>
      <w:r/>
    </w:p>
    <w:p>
      <w:pPr>
        <w:ind w:left="5529"/>
        <w:jc w:val="both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firstLine="52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firstLine="52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firstLine="52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еченгского муниципального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firstLine="52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firstLine="52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05.09.2025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1428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имущества, подлежащего приватизации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101" w:type="pct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599"/>
        <w:gridCol w:w="1843"/>
        <w:gridCol w:w="3117"/>
        <w:gridCol w:w="1985"/>
        <w:gridCol w:w="2127"/>
        <w:gridCol w:w="1843"/>
        <w:gridCol w:w="1901"/>
      </w:tblGrid>
      <w:tr>
        <w:tblPrEx/>
        <w:trPr>
          <w:trHeight w:val="890"/>
        </w:trPr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</w:rPr>
              <w:t xml:space="preserve">п</w:t>
            </w:r>
            <w:r>
              <w:rPr>
                <w:b/>
              </w:rPr>
              <w:t xml:space="preserve">/п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объекта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center"/>
              <w:tabs>
                <w:tab w:val="left" w:pos="1035" w:leader="none"/>
              </w:tabs>
              <w:rPr>
                <w:b/>
              </w:rPr>
            </w:pPr>
            <w:r>
              <w:rPr>
                <w:b/>
              </w:rPr>
              <w:t xml:space="preserve">Адрес местонахождения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Индивидуализирующие характеристики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5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Цена первоначального предложения 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Величина снижения цены первоначального предложения («шаг понижения») –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10%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Величина повышения цены («шаг аукциона») –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5 %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Минимальная цена предложения (цена отсечения) –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50 %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530" w:type="pct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(учебные классы)</w:t>
            </w:r>
            <w:r/>
          </w:p>
          <w:p>
            <w:pPr>
              <w:pStyle w:val="857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Мурманская</w:t>
            </w:r>
            <w:r>
              <w:rPr>
                <w:rStyle w:val="859"/>
                <w:rFonts w:ascii="Times New Roman" w:hAnsi="Times New Roman"/>
              </w:rPr>
              <w:t xml:space="preserve"> обл., МО </w:t>
            </w:r>
            <w:r>
              <w:rPr>
                <w:rStyle w:val="859"/>
                <w:rFonts w:ascii="Times New Roman" w:hAnsi="Times New Roman"/>
              </w:rPr>
              <w:t xml:space="preserve">с.п</w:t>
            </w:r>
            <w:r>
              <w:rPr>
                <w:rStyle w:val="859"/>
                <w:rFonts w:ascii="Times New Roman" w:hAnsi="Times New Roman"/>
              </w:rPr>
              <w:t xml:space="preserve">. </w:t>
            </w:r>
            <w:r>
              <w:rPr>
                <w:rStyle w:val="859"/>
                <w:rFonts w:ascii="Times New Roman" w:hAnsi="Times New Roman"/>
              </w:rPr>
              <w:t xml:space="preserve">Корзуново</w:t>
            </w:r>
            <w:r>
              <w:rPr>
                <w:rStyle w:val="859"/>
                <w:rFonts w:ascii="Times New Roman" w:hAnsi="Times New Roman"/>
              </w:rPr>
              <w:t xml:space="preserve"> Печенгского р-на, </w:t>
            </w:r>
            <w:r>
              <w:rPr>
                <w:rStyle w:val="859"/>
                <w:rFonts w:ascii="Times New Roman" w:hAnsi="Times New Roman"/>
              </w:rPr>
              <w:t xml:space="preserve">н.п. </w:t>
            </w:r>
            <w:r>
              <w:rPr>
                <w:rStyle w:val="859"/>
                <w:rFonts w:ascii="Times New Roman" w:hAnsi="Times New Roman"/>
              </w:rPr>
              <w:t xml:space="preserve">Корзуново</w:t>
            </w:r>
            <w:r>
              <w:rPr>
                <w:rStyle w:val="859"/>
                <w:rFonts w:ascii="Times New Roman" w:hAnsi="Times New Roman"/>
              </w:rPr>
              <w:t xml:space="preserve">, ул. </w:t>
            </w:r>
            <w:r>
              <w:rPr>
                <w:rStyle w:val="859"/>
                <w:rFonts w:ascii="Times New Roman" w:hAnsi="Times New Roman"/>
              </w:rPr>
              <w:t xml:space="preserve">Печенгская</w:t>
            </w:r>
            <w:r>
              <w:rPr>
                <w:rStyle w:val="859"/>
                <w:rFonts w:ascii="Times New Roman" w:hAnsi="Times New Roman"/>
              </w:rPr>
              <w:t xml:space="preserve">, д. 54 </w:t>
            </w:r>
            <w:r/>
          </w:p>
        </w:tc>
        <w:tc>
          <w:tcPr>
            <w:tcW w:w="1033" w:type="pct"/>
            <w:textDirection w:val="lrTb"/>
            <w:noWrap w:val="false"/>
          </w:tcPr>
          <w:p>
            <w:pPr>
              <w:jc w:val="both"/>
            </w:pPr>
            <w:r>
              <w:rPr>
                <w:color w:val="000000"/>
              </w:rPr>
              <w:t xml:space="preserve">Назначение: нежилое, количество этажей: 1, в том числе подземных -, площадь 391,9 </w:t>
            </w:r>
            <w:r>
              <w:rPr>
                <w:color w:val="000000"/>
              </w:rPr>
              <w:t xml:space="preserve">кв</w:t>
            </w:r>
            <w:r>
              <w:rPr>
                <w:color w:val="000000"/>
              </w:rPr>
              <w:t xml:space="preserve">.м</w:t>
            </w:r>
            <w:r>
              <w:rPr>
                <w:color w:val="000000"/>
              </w:rPr>
              <w:t xml:space="preserve">, кадастровый номер 51:03:0060102:2042.</w:t>
            </w:r>
            <w:r>
              <w:t xml:space="preserve"> </w:t>
            </w:r>
            <w:r>
              <w:t xml:space="preserve">Год завершения строительства 1964.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</w:t>
            </w:r>
            <w:r/>
          </w:p>
          <w:p>
            <w:pPr>
              <w:jc w:val="both"/>
            </w:pPr>
            <w:r/>
            <w:r/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r>
              <w:t xml:space="preserve">2 052 </w:t>
            </w:r>
            <w:r>
              <w:t xml:space="preserve">000 (</w:t>
            </w:r>
            <w:r>
              <w:t xml:space="preserve">два </w:t>
            </w:r>
            <w:r>
              <w:t xml:space="preserve"> миллион</w:t>
            </w:r>
            <w:r>
              <w:t xml:space="preserve">а</w:t>
            </w:r>
            <w:r>
              <w:t xml:space="preserve"> пять</w:t>
            </w:r>
            <w:r>
              <w:t xml:space="preserve">десят  две</w:t>
            </w:r>
            <w:r>
              <w:t xml:space="preserve"> тысяч</w:t>
            </w:r>
            <w:r>
              <w:t xml:space="preserve">и</w:t>
            </w:r>
            <w:r>
              <w:t xml:space="preserve">) рублей 00 копеек без учета НДС</w:t>
            </w:r>
            <w:r/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r>
              <w:t xml:space="preserve">205 200</w:t>
            </w:r>
            <w:r>
              <w:t xml:space="preserve"> (двести пять тысяч двести)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r>
              <w:t xml:space="preserve">102 600 (сто две  тысячи шестьсот)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r>
              <w:t xml:space="preserve">1 026 000 (один миллион двадцать шесть тысяч) рублей 00 копеек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W w:w="530" w:type="pct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</w:t>
            </w:r>
            <w:r/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</w:pPr>
            <w:r>
              <w:t xml:space="preserve">Мурманская область, Печенгский район, </w:t>
            </w:r>
            <w:r>
              <w:t xml:space="preserve">н.п. </w:t>
            </w:r>
            <w:r>
              <w:t xml:space="preserve">Корзуново</w:t>
            </w:r>
            <w:r>
              <w:t xml:space="preserve"> </w:t>
            </w:r>
            <w:r/>
          </w:p>
        </w:tc>
        <w:tc>
          <w:tcPr>
            <w:tcW w:w="1033" w:type="pct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t xml:space="preserve">Н</w:t>
            </w:r>
            <w:r>
              <w:rPr>
                <w:color w:val="000000"/>
              </w:rPr>
              <w:t xml:space="preserve">азначение: нежилое, количество этажей: 1, в том числе подземных 0, площадь 227 </w:t>
            </w:r>
            <w:r>
              <w:rPr>
                <w:color w:val="000000"/>
              </w:rPr>
              <w:t xml:space="preserve">кв</w:t>
            </w:r>
            <w:r>
              <w:rPr>
                <w:color w:val="000000"/>
              </w:rPr>
              <w:t xml:space="preserve">.м</w:t>
            </w:r>
            <w:r>
              <w:rPr>
                <w:color w:val="000000"/>
              </w:rPr>
              <w:t xml:space="preserve">, кадастровый номер 51:03:0060102:1003.</w:t>
            </w:r>
            <w:r>
              <w:rPr>
                <w:bCs/>
              </w:rPr>
              <w:t xml:space="preserve"> Отчуждается вместе с земельный участком с кадастровым номером </w:t>
            </w:r>
            <w:r>
              <w:rPr>
                <w:color w:val="000000"/>
              </w:rPr>
              <w:t xml:space="preserve">51:03:0060102:1999</w:t>
            </w:r>
            <w:r>
              <w:rPr>
                <w:bCs/>
              </w:rPr>
              <w:t xml:space="preserve">, площадью 4500 </w:t>
            </w:r>
            <w:r>
              <w:rPr>
                <w:bCs/>
              </w:rPr>
              <w:t xml:space="preserve">кв.м</w:t>
            </w:r>
            <w:r>
              <w:rPr>
                <w:color w:val="000000"/>
              </w:rPr>
              <w:t xml:space="preserve">.</w:t>
            </w:r>
            <w:r>
              <w:t xml:space="preserve"> </w:t>
            </w:r>
            <w:r>
              <w:t xml:space="preserve">Год завершения строительства 2008.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</w:pPr>
            <w:r>
              <w:t xml:space="preserve">Техническое состояние неудовлетворительное</w:t>
            </w:r>
            <w:r>
              <w:t xml:space="preserve">.</w:t>
            </w:r>
            <w:r/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r>
              <w:t xml:space="preserve">3 222 000 (три миллиона двести двадцать две тысячи) рублей 00 копеек без учета НДС</w:t>
            </w:r>
            <w:r/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r>
              <w:t xml:space="preserve">322 200</w:t>
            </w:r>
            <w:r>
              <w:t xml:space="preserve"> (</w:t>
            </w:r>
            <w:r>
              <w:t xml:space="preserve">триста двадцать две тысячи двести</w:t>
            </w:r>
            <w:r>
              <w:t xml:space="preserve">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r>
              <w:t xml:space="preserve">161 100 </w:t>
            </w:r>
            <w:r>
              <w:t xml:space="preserve">(</w:t>
            </w:r>
            <w:r>
              <w:t xml:space="preserve">сто шестьдесят одна тысяча сто</w:t>
            </w:r>
            <w:r>
              <w:t xml:space="preserve">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r>
              <w:t xml:space="preserve">1 611 000</w:t>
            </w:r>
            <w:r>
              <w:t xml:space="preserve"> (</w:t>
            </w:r>
            <w:r>
              <w:t xml:space="preserve">один миллион шестьсот одиннадцать тысяч</w:t>
            </w:r>
            <w:bookmarkStart w:id="0" w:name="_GoBack"/>
            <w:r/>
            <w:bookmarkEnd w:id="0"/>
            <w:r>
              <w:t xml:space="preserve">) рублей 00 копеек</w:t>
            </w:r>
            <w:r/>
          </w:p>
        </w:tc>
      </w:tr>
    </w:tbl>
    <w:p>
      <w:pPr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1"/>
    <w:next w:val="841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1"/>
    <w:next w:val="841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1"/>
    <w:next w:val="841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</w:rPr>
  </w:style>
  <w:style w:type="paragraph" w:styleId="842">
    <w:name w:val="Heading 4"/>
    <w:basedOn w:val="841"/>
    <w:next w:val="841"/>
    <w:link w:val="847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Стиль1"/>
    <w:basedOn w:val="841"/>
    <w:qFormat/>
    <w:rPr>
      <w:sz w:val="24"/>
    </w:rPr>
  </w:style>
  <w:style w:type="character" w:styleId="847" w:customStyle="1">
    <w:name w:val="Заголовок 4 Знак"/>
    <w:link w:val="842"/>
    <w:rPr>
      <w:rFonts w:ascii="Times New Roman" w:hAnsi="Times New Roman" w:eastAsia="Times New Roman"/>
      <w:szCs w:val="20"/>
      <w:lang w:eastAsia="ru-RU"/>
    </w:rPr>
  </w:style>
  <w:style w:type="paragraph" w:styleId="84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49">
    <w:name w:val="Balloon Text"/>
    <w:basedOn w:val="841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1">
    <w:name w:val="List Paragraph"/>
    <w:basedOn w:val="841"/>
    <w:uiPriority w:val="34"/>
    <w:qFormat/>
    <w:pPr>
      <w:contextualSpacing/>
      <w:ind w:left="720"/>
    </w:pPr>
  </w:style>
  <w:style w:type="paragraph" w:styleId="852" w:customStyle="1">
    <w:name w:val="Знак Знак1 Знак Знак 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3" w:customStyle="1">
    <w:name w:val="Знак Знак1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4">
    <w:name w:val="Table Grid"/>
    <w:basedOn w:val="84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Plain Text"/>
    <w:basedOn w:val="841"/>
    <w:link w:val="856"/>
    <w:rPr>
      <w:rFonts w:ascii="Courier New" w:hAnsi="Courier New" w:cs="Courier New"/>
    </w:rPr>
  </w:style>
  <w:style w:type="character" w:styleId="856" w:customStyle="1">
    <w:name w:val="Текст Знак"/>
    <w:link w:val="855"/>
    <w:rPr>
      <w:rFonts w:ascii="Courier New" w:hAnsi="Courier New" w:eastAsia="Times New Roman" w:cs="Courier New"/>
    </w:rPr>
  </w:style>
  <w:style w:type="paragraph" w:styleId="857">
    <w:name w:val="Body Text"/>
    <w:basedOn w:val="841"/>
    <w:link w:val="858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58" w:customStyle="1">
    <w:name w:val="Основной текст Знак"/>
    <w:basedOn w:val="843"/>
    <w:link w:val="857"/>
    <w:uiPriority w:val="99"/>
    <w:rPr>
      <w:sz w:val="22"/>
      <w:szCs w:val="22"/>
      <w:lang w:eastAsia="en-US"/>
    </w:rPr>
  </w:style>
  <w:style w:type="character" w:styleId="859" w:customStyle="1">
    <w:name w:val="fontstyle01"/>
    <w:basedOn w:val="843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3169D-FBEA-4533-AE5C-9E91656C6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</cp:revision>
  <dcterms:created xsi:type="dcterms:W3CDTF">2025-08-28T08:00:00Z</dcterms:created>
  <dcterms:modified xsi:type="dcterms:W3CDTF">2025-09-15T09:26:11Z</dcterms:modified>
</cp:coreProperties>
</file>