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15.09.2025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№ 1471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Об утверждении </w:t>
      </w:r>
      <w:r>
        <w:rPr>
          <w:b/>
        </w:rPr>
        <w:t xml:space="preserve"> условий </w:t>
      </w:r>
      <w:r>
        <w:rPr>
          <w:b/>
        </w:rPr>
        <w:t xml:space="preserve">пр</w:t>
      </w:r>
      <w:r>
        <w:rPr>
          <w:b/>
        </w:rPr>
        <w:t xml:space="preserve">иватизации имущества, </w:t>
      </w:r>
      <w:r>
        <w:rPr>
          <w:b/>
        </w:rPr>
        <w:t xml:space="preserve">находящегося</w:t>
      </w:r>
      <w:r>
        <w:rPr>
          <w:b/>
        </w:rPr>
        <w:t xml:space="preserve"> </w:t>
      </w:r>
      <w:r>
        <w:rPr>
          <w:b/>
        </w:rPr>
        <w:t xml:space="preserve">в собственности </w:t>
      </w:r>
      <w:r>
        <w:rPr>
          <w:b/>
        </w:rPr>
        <w:br/>
      </w: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уководствуясь Федеральным </w:t>
      </w:r>
      <w:r>
        <w:rPr>
          <w:sz w:val="24"/>
          <w:szCs w:val="24"/>
        </w:rPr>
        <w:t xml:space="preserve">законом от 21.12.2001 № 178-ФЗ «О приватизации государственного и муниципального имущества»,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орядк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 условия</w:t>
      </w:r>
      <w:r>
        <w:rPr>
          <w:color w:val="000000"/>
          <w:sz w:val="24"/>
          <w:szCs w:val="24"/>
        </w:rPr>
        <w:t xml:space="preserve">ми</w:t>
      </w:r>
      <w:r>
        <w:rPr>
          <w:color w:val="000000"/>
          <w:sz w:val="24"/>
          <w:szCs w:val="24"/>
        </w:rPr>
        <w:t xml:space="preserve"> приватизации муниципального имущества Печенгского муниципального округа</w:t>
      </w:r>
      <w:r>
        <w:rPr>
          <w:rFonts w:eastAsia="Calibri"/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утвержденны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 решением Совета депутатов Печенгского муниципального округа от 05.02.2021 № 90,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в соответствии с Прогнозным планом (программой) приватизации</w:t>
      </w:r>
      <w:r>
        <w:rPr>
          <w:sz w:val="24"/>
          <w:szCs w:val="24"/>
        </w:rPr>
        <w:t xml:space="preserve"> муниципального </w:t>
      </w:r>
      <w:r>
        <w:rPr>
          <w:sz w:val="24"/>
          <w:szCs w:val="24"/>
        </w:rPr>
        <w:t xml:space="preserve">имущества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20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 и плановый период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ов</w:t>
      </w:r>
      <w:r>
        <w:rPr>
          <w:sz w:val="24"/>
          <w:szCs w:val="24"/>
        </w:rPr>
        <w:t xml:space="preserve">, утвержденным решением Совета депутатов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20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518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  <w:t xml:space="preserve">ПОСТАНОВЛЯЮ:</w:t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ind w:right="-5"/>
        <w:jc w:val="both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pStyle w:val="860"/>
        <w:ind w:firstLine="709"/>
        <w:jc w:val="both"/>
        <w:spacing w:before="0" w:beforeAutospacing="0" w:after="0" w:afterAutospacing="0" w:line="288" w:lineRule="atLeast"/>
      </w:pPr>
      <w:r>
        <w:t xml:space="preserve">1. </w:t>
      </w:r>
      <w:r>
        <w:t xml:space="preserve">Разрешить приватизацию</w:t>
      </w:r>
      <w:r>
        <w:t xml:space="preserve"> </w:t>
      </w:r>
      <w:r>
        <w:t xml:space="preserve">имущества</w:t>
      </w:r>
      <w:r>
        <w:t xml:space="preserve">, находящегося в собственности </w:t>
      </w:r>
      <w:r>
        <w:t xml:space="preserve">Печенгского муниципального округа,</w:t>
      </w:r>
      <w:r>
        <w:t xml:space="preserve"> </w:t>
      </w:r>
      <w:r>
        <w:t xml:space="preserve">по минимально допустимой цене</w:t>
      </w:r>
      <w:r>
        <w:t xml:space="preserve"> </w:t>
      </w:r>
      <w:r>
        <w:t xml:space="preserve">согласно приложени</w:t>
      </w:r>
      <w:r>
        <w:t xml:space="preserve">ю.</w:t>
      </w:r>
      <w:r/>
    </w:p>
    <w:p>
      <w:pPr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Утвердить следующие условия приватизации имущества: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0"/>
        <w:ind w:firstLine="709"/>
        <w:jc w:val="both"/>
        <w:spacing w:before="0" w:beforeAutospacing="0" w:after="0" w:afterAutospacing="0" w:line="288" w:lineRule="atLeast"/>
      </w:pPr>
      <w:r>
        <w:t xml:space="preserve">2.1</w:t>
      </w:r>
      <w:r>
        <w:t xml:space="preserve">. </w:t>
      </w:r>
      <w:r>
        <w:t xml:space="preserve">Способ приватизации: </w:t>
      </w:r>
      <w:r>
        <w:t xml:space="preserve">продажа </w:t>
      </w:r>
      <w:r>
        <w:t xml:space="preserve">по минимально допустимой цене</w:t>
      </w:r>
      <w:r>
        <w:t xml:space="preserve">.</w:t>
      </w:r>
      <w:r/>
    </w:p>
    <w:p>
      <w:pPr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инимальная цена не</w:t>
      </w:r>
      <w:r>
        <w:rPr>
          <w:sz w:val="24"/>
          <w:szCs w:val="24"/>
        </w:rPr>
        <w:t xml:space="preserve">движимого имущества</w:t>
      </w:r>
      <w:r>
        <w:rPr>
          <w:sz w:val="24"/>
          <w:szCs w:val="24"/>
        </w:rPr>
        <w:t xml:space="preserve"> согласно приложению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 Срок оплаты: единовременно, безналичный расчет, </w:t>
      </w:r>
      <w:r>
        <w:rPr>
          <w:sz w:val="24"/>
          <w:szCs w:val="24"/>
        </w:rPr>
        <w:t xml:space="preserve">не позднее 15 рабочих </w:t>
      </w:r>
      <w:r>
        <w:rPr>
          <w:sz w:val="24"/>
          <w:szCs w:val="24"/>
        </w:rPr>
        <w:t xml:space="preserve">дней </w:t>
      </w:r>
      <w:r>
        <w:rPr>
          <w:sz w:val="24"/>
          <w:szCs w:val="24"/>
        </w:rPr>
        <w:t xml:space="preserve">со дня заключения</w:t>
      </w:r>
      <w:r>
        <w:rPr>
          <w:sz w:val="24"/>
          <w:szCs w:val="24"/>
        </w:rPr>
        <w:t xml:space="preserve"> договора купли-продажи. Средства от сделки поступают в бюджет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Все действия, необходимые д</w:t>
      </w:r>
      <w:r>
        <w:rPr>
          <w:sz w:val="24"/>
          <w:szCs w:val="24"/>
        </w:rPr>
        <w:t xml:space="preserve">ля государственной регистрации имущества </w:t>
      </w:r>
      <w:r>
        <w:rPr>
          <w:sz w:val="24"/>
          <w:szCs w:val="24"/>
        </w:rPr>
        <w:t xml:space="preserve">и оплату стоимости указанных услуг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возложить на покупателя.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 Комитету по управлению имуществом</w:t>
      </w:r>
      <w:r>
        <w:rPr>
          <w:sz w:val="24"/>
          <w:szCs w:val="24"/>
        </w:rPr>
        <w:t xml:space="preserve"> администрации Печенгского муниципального округа</w:t>
      </w:r>
      <w:r>
        <w:rPr>
          <w:sz w:val="24"/>
          <w:szCs w:val="24"/>
        </w:rPr>
        <w:t xml:space="preserve"> выступить продавцом имущества и осуществлять работу в соответствии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Положением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б организации </w:t>
      </w:r>
      <w:r>
        <w:rPr>
          <w:sz w:val="24"/>
          <w:szCs w:val="24"/>
        </w:rPr>
        <w:t xml:space="preserve">и проведении </w:t>
      </w:r>
      <w:r>
        <w:rPr>
          <w:sz w:val="24"/>
          <w:szCs w:val="24"/>
        </w:rPr>
        <w:t xml:space="preserve">продажи государственно</w:t>
      </w:r>
      <w:r>
        <w:rPr>
          <w:sz w:val="24"/>
          <w:szCs w:val="24"/>
        </w:rPr>
        <w:t xml:space="preserve">го или муниципального имущества в электронной форме</w:t>
      </w:r>
      <w:r>
        <w:rPr>
          <w:sz w:val="24"/>
          <w:szCs w:val="24"/>
        </w:rPr>
        <w:t xml:space="preserve">, утвержденным постановлением Правительства Р</w:t>
      </w:r>
      <w:r>
        <w:rPr>
          <w:sz w:val="24"/>
          <w:szCs w:val="24"/>
        </w:rPr>
        <w:t xml:space="preserve">оссийской </w:t>
      </w:r>
      <w:r>
        <w:rPr>
          <w:sz w:val="24"/>
          <w:szCs w:val="24"/>
        </w:rPr>
        <w:t xml:space="preserve">Ф</w:t>
      </w:r>
      <w:r>
        <w:rPr>
          <w:sz w:val="24"/>
          <w:szCs w:val="24"/>
        </w:rPr>
        <w:t xml:space="preserve">едерации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27.08.2012 № 860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Настоящее постановление вступает в силу после его 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5. </w:t>
      </w:r>
      <w:r>
        <w:rPr>
          <w:sz w:val="24"/>
          <w:szCs w:val="24"/>
        </w:rPr>
        <w:t xml:space="preserve">Настоящее постановление </w:t>
      </w:r>
      <w:r>
        <w:rPr>
          <w:sz w:val="24"/>
          <w:szCs w:val="24"/>
        </w:rPr>
        <w:t xml:space="preserve">подлежит размещению на </w:t>
      </w:r>
      <w:r>
        <w:rPr>
          <w:sz w:val="24"/>
          <w:szCs w:val="24"/>
        </w:rPr>
        <w:t xml:space="preserve">официальном </w:t>
      </w:r>
      <w:r>
        <w:rPr>
          <w:sz w:val="24"/>
          <w:szCs w:val="24"/>
        </w:rPr>
        <w:t xml:space="preserve">сайте </w:t>
      </w:r>
      <w:r>
        <w:rPr>
          <w:sz w:val="24"/>
          <w:szCs w:val="24"/>
        </w:rPr>
        <w:t xml:space="preserve">Печенгского муниципального округа </w:t>
      </w:r>
      <w:hyperlink r:id="rId11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 Информационное сообщение о продаже имущества разместить на сайте </w:t>
      </w:r>
      <w:hyperlink r:id="rId12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 и сети Интернет Российской Федерации о проведении торгов.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8"/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Лаврущик</w:t>
      </w:r>
      <w:r>
        <w:t xml:space="preserve"> С.С., 50579</w:t>
      </w:r>
      <w:r/>
    </w:p>
    <w:p>
      <w:pPr>
        <w:ind w:left="5528" w:right="-2" w:firstLine="0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-2" w:firstLine="0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еченгского муниципального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</w:t>
      </w:r>
      <w:r>
        <w:rPr>
          <w:sz w:val="24"/>
          <w:szCs w:val="24"/>
        </w:rPr>
        <w:t xml:space="preserve"> 15.09.2025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1471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521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6521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имущества, подлежащего приватизации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5000" w:type="pct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559"/>
        <w:gridCol w:w="2268"/>
        <w:gridCol w:w="3118"/>
        <w:gridCol w:w="2058"/>
      </w:tblGrid>
      <w:tr>
        <w:tblPrEx/>
        <w:trPr>
          <w:trHeight w:val="890"/>
        </w:trPr>
        <w:tc>
          <w:tcPr>
            <w:tcW w:w="568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r>
              <w:rPr>
                <w:b/>
              </w:rPr>
              <w:t xml:space="preserve">п</w:t>
            </w:r>
            <w:r>
              <w:rPr>
                <w:b/>
              </w:rPr>
              <w:t xml:space="preserve">/п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Наименование объекта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tabs>
                <w:tab w:val="left" w:pos="1035" w:leader="none"/>
              </w:tabs>
              <w:rPr>
                <w:b/>
              </w:rPr>
            </w:pPr>
            <w:r>
              <w:rPr>
                <w:b/>
              </w:rPr>
              <w:t xml:space="preserve">Адрес местонахождения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Индивидуализирующие характеристики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2058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Минимальная цена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1.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r>
              <w:rPr>
                <w:rStyle w:val="859"/>
                <w:rFonts w:ascii="Times New Roman" w:hAnsi="Times New Roman"/>
              </w:rPr>
              <w:t xml:space="preserve">Нежилое здание № 1</w:t>
            </w:r>
            <w:r>
              <w:rPr>
                <w:rFonts w:ascii="Times New Roman" w:hAnsi="Times New Roman"/>
                <w:sz w:val="20"/>
                <w:szCs w:val="20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both"/>
            </w:pPr>
            <w:r>
              <w:rPr>
                <w:rStyle w:val="859"/>
                <w:rFonts w:ascii="Times New Roman" w:hAnsi="Times New Roman"/>
              </w:rPr>
              <w:t xml:space="preserve">Российская Федерация, Мурманская область, муниципальный округ Печенгский</w:t>
            </w:r>
            <w:r/>
          </w:p>
        </w:tc>
        <w:tc>
          <w:tcPr>
            <w:tcW w:w="3118" w:type="dxa"/>
            <w:textDirection w:val="lrTb"/>
            <w:noWrap w:val="false"/>
          </w:tcPr>
          <w:p>
            <w:pPr>
              <w:jc w:val="both"/>
              <w:rPr>
                <w:rStyle w:val="859"/>
                <w:rFonts w:ascii="Times New Roman" w:hAnsi="Times New Roman"/>
              </w:rPr>
            </w:pPr>
            <w:r>
              <w:t xml:space="preserve">Кадастровый номер 51:03:0060102:2724, площадь </w:t>
            </w:r>
            <w:r>
              <w:rPr>
                <w:rStyle w:val="859"/>
                <w:rFonts w:ascii="Times New Roman" w:hAnsi="Times New Roman"/>
              </w:rPr>
              <w:t xml:space="preserve">1698,7 кв. м, количество этажей: </w:t>
            </w:r>
            <w:r>
              <w:rPr>
                <w:rStyle w:val="859"/>
                <w:rFonts w:ascii="Times New Roman" w:hAnsi="Times New Roman"/>
              </w:rPr>
            </w:r>
            <w:r>
              <w:rPr>
                <w:rStyle w:val="859"/>
                <w:rFonts w:ascii="Times New Roman" w:hAnsi="Times New Roman"/>
              </w:rPr>
            </w:r>
          </w:p>
          <w:p>
            <w:pPr>
              <w:jc w:val="both"/>
            </w:pPr>
            <w:r>
              <w:rPr>
                <w:rStyle w:val="859"/>
                <w:rFonts w:ascii="Times New Roman" w:hAnsi="Times New Roman"/>
              </w:rPr>
              <w:t xml:space="preserve">1, в том числе </w:t>
            </w:r>
            <w:r>
              <w:rPr>
                <w:rStyle w:val="859"/>
                <w:rFonts w:ascii="Times New Roman" w:hAnsi="Times New Roman"/>
              </w:rPr>
              <w:t xml:space="preserve">подземных</w:t>
            </w:r>
            <w:r>
              <w:rPr>
                <w:rStyle w:val="859"/>
                <w:rFonts w:ascii="Times New Roman" w:hAnsi="Times New Roman"/>
              </w:rPr>
              <w:t xml:space="preserve"> 0.  </w:t>
            </w:r>
            <w:r/>
          </w:p>
          <w:p>
            <w:pPr>
              <w:jc w:val="both"/>
            </w:pPr>
            <w:r>
              <w:t xml:space="preserve">Техническое состояние неудовлетворительное. Требуется капитальный ремонт.</w:t>
            </w:r>
            <w:r/>
          </w:p>
        </w:tc>
        <w:tc>
          <w:tcPr>
            <w:tcBorders>
              <w:right w:val="single" w:color="auto" w:sz="4" w:space="0"/>
            </w:tcBorders>
            <w:tcW w:w="2058" w:type="dxa"/>
            <w:textDirection w:val="lrTb"/>
            <w:noWrap w:val="false"/>
          </w:tcPr>
          <w:p>
            <w:r>
              <w:t xml:space="preserve">525 250 (пятьсот двадцать пять тысяч двести пятьдесят) рублей 00 копеек без учета НДС</w:t>
            </w:r>
            <w:r/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2.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r>
              <w:rPr>
                <w:rStyle w:val="859"/>
                <w:rFonts w:ascii="Times New Roman" w:hAnsi="Times New Roman"/>
              </w:rPr>
              <w:t xml:space="preserve">Нежилое здание № 2</w:t>
            </w:r>
            <w:r>
              <w:rPr>
                <w:rFonts w:ascii="Times New Roman" w:hAnsi="Times New Roman"/>
                <w:sz w:val="20"/>
                <w:szCs w:val="20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both"/>
            </w:pPr>
            <w:r>
              <w:rPr>
                <w:shd w:val="clear" w:color="auto" w:fill="ffffff"/>
              </w:rPr>
              <w:t xml:space="preserve">Российская Федерация, Мурманская область, муниципальный округ Печенгский, поселок городского типа Никель</w:t>
            </w:r>
            <w:r>
              <w:t xml:space="preserve"> </w:t>
            </w:r>
            <w:r/>
          </w:p>
        </w:tc>
        <w:tc>
          <w:tcPr>
            <w:tcW w:w="3118" w:type="dxa"/>
            <w:textDirection w:val="lrTb"/>
            <w:noWrap w:val="false"/>
          </w:tcPr>
          <w:p>
            <w:pPr>
              <w:jc w:val="both"/>
              <w:rPr>
                <w:rStyle w:val="859"/>
                <w:rFonts w:ascii="Times New Roman" w:hAnsi="Times New Roman"/>
              </w:rPr>
            </w:pPr>
            <w:r>
              <w:t xml:space="preserve">Кадастровый номер 51:03:0060102:2723, площадь </w:t>
            </w:r>
            <w:r>
              <w:rPr>
                <w:rStyle w:val="859"/>
                <w:rFonts w:ascii="Times New Roman" w:hAnsi="Times New Roman"/>
              </w:rPr>
              <w:t xml:space="preserve">1683,2 кв. м, количество этажей: </w:t>
            </w:r>
            <w:r>
              <w:rPr>
                <w:rStyle w:val="859"/>
                <w:rFonts w:ascii="Times New Roman" w:hAnsi="Times New Roman"/>
              </w:rPr>
            </w:r>
            <w:r>
              <w:rPr>
                <w:rStyle w:val="859"/>
                <w:rFonts w:ascii="Times New Roman" w:hAnsi="Times New Roman"/>
              </w:rPr>
            </w:r>
          </w:p>
          <w:p>
            <w:pPr>
              <w:jc w:val="both"/>
            </w:pPr>
            <w:r>
              <w:rPr>
                <w:rStyle w:val="859"/>
                <w:rFonts w:ascii="Times New Roman" w:hAnsi="Times New Roman"/>
              </w:rPr>
              <w:t xml:space="preserve">1, в том числе </w:t>
            </w:r>
            <w:r>
              <w:rPr>
                <w:rStyle w:val="859"/>
                <w:rFonts w:ascii="Times New Roman" w:hAnsi="Times New Roman"/>
              </w:rPr>
              <w:t xml:space="preserve">подземных</w:t>
            </w:r>
            <w:r>
              <w:rPr>
                <w:rStyle w:val="859"/>
                <w:rFonts w:ascii="Times New Roman" w:hAnsi="Times New Roman"/>
              </w:rPr>
              <w:t xml:space="preserve"> 0.  </w:t>
            </w:r>
            <w:r/>
          </w:p>
          <w:p>
            <w:pPr>
              <w:jc w:val="both"/>
            </w:pPr>
            <w:r>
              <w:t xml:space="preserve">Техническое состояние неудовлетворительное. Требуется капитальный ремонт.</w:t>
            </w:r>
            <w:r/>
          </w:p>
        </w:tc>
        <w:tc>
          <w:tcPr>
            <w:tcBorders>
              <w:right w:val="single" w:color="auto" w:sz="4" w:space="0"/>
            </w:tcBorders>
            <w:tcW w:w="2058" w:type="dxa"/>
            <w:textDirection w:val="lrTb"/>
            <w:noWrap w:val="false"/>
          </w:tcPr>
          <w:p>
            <w:r>
              <w:t xml:space="preserve">520 450 (пятьсот двадцать тысяч четыреста пятьдесят) рублей 00 копеек </w:t>
            </w:r>
            <w:r>
              <w:t xml:space="preserve">без учета НДС</w:t>
            </w:r>
            <w:bookmarkStart w:id="0" w:name="_GoBack"/>
            <w:r/>
            <w:bookmarkEnd w:id="0"/>
            <w:r/>
            <w:r/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3.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r>
              <w:rPr>
                <w:rStyle w:val="859"/>
                <w:rFonts w:ascii="Times New Roman" w:hAnsi="Times New Roman"/>
              </w:rPr>
              <w:t xml:space="preserve">Нежилое здание № 3</w:t>
            </w:r>
            <w:r>
              <w:rPr>
                <w:rFonts w:ascii="Times New Roman" w:hAnsi="Times New Roman"/>
                <w:sz w:val="20"/>
                <w:szCs w:val="20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both"/>
            </w:pPr>
            <w:r>
              <w:rPr>
                <w:shd w:val="clear" w:color="auto" w:fill="ffffff"/>
              </w:rPr>
              <w:t xml:space="preserve">Российская Федерация, Мурманская область, муниципальный округ Печенгский, поселок городского типа Никель</w:t>
            </w:r>
            <w:r/>
          </w:p>
        </w:tc>
        <w:tc>
          <w:tcPr>
            <w:tcW w:w="3118" w:type="dxa"/>
            <w:textDirection w:val="lrTb"/>
            <w:noWrap w:val="false"/>
          </w:tcPr>
          <w:p>
            <w:pPr>
              <w:jc w:val="both"/>
              <w:rPr>
                <w:rStyle w:val="859"/>
                <w:rFonts w:ascii="Times New Roman" w:hAnsi="Times New Roman"/>
              </w:rPr>
            </w:pPr>
            <w:r>
              <w:t xml:space="preserve">Кадастровый номер 51:03:0060102:2721, площадь </w:t>
            </w:r>
            <w:r>
              <w:rPr>
                <w:rStyle w:val="859"/>
                <w:rFonts w:ascii="Times New Roman" w:hAnsi="Times New Roman"/>
              </w:rPr>
              <w:t xml:space="preserve">389,9 кв. м, количество этажей: </w:t>
            </w:r>
            <w:r>
              <w:rPr>
                <w:rStyle w:val="859"/>
                <w:rFonts w:ascii="Times New Roman" w:hAnsi="Times New Roman"/>
              </w:rPr>
            </w:r>
            <w:r>
              <w:rPr>
                <w:rStyle w:val="859"/>
                <w:rFonts w:ascii="Times New Roman" w:hAnsi="Times New Roman"/>
              </w:rPr>
            </w:r>
          </w:p>
          <w:p>
            <w:pPr>
              <w:jc w:val="both"/>
            </w:pPr>
            <w:r>
              <w:rPr>
                <w:rStyle w:val="859"/>
                <w:rFonts w:ascii="Times New Roman" w:hAnsi="Times New Roman"/>
              </w:rPr>
              <w:t xml:space="preserve">1, в том числе </w:t>
            </w:r>
            <w:r>
              <w:rPr>
                <w:rStyle w:val="859"/>
                <w:rFonts w:ascii="Times New Roman" w:hAnsi="Times New Roman"/>
              </w:rPr>
              <w:t xml:space="preserve">подземных</w:t>
            </w:r>
            <w:r>
              <w:rPr>
                <w:rStyle w:val="859"/>
                <w:rFonts w:ascii="Times New Roman" w:hAnsi="Times New Roman"/>
              </w:rPr>
              <w:t xml:space="preserve"> 0.  </w:t>
            </w:r>
            <w:r/>
          </w:p>
          <w:p>
            <w:pPr>
              <w:jc w:val="both"/>
            </w:pPr>
            <w:r>
              <w:t xml:space="preserve">Техническое состояние неудовлетворительное. Требуется капитальный ремонт.</w:t>
            </w:r>
            <w:r/>
          </w:p>
        </w:tc>
        <w:tc>
          <w:tcPr>
            <w:tcBorders>
              <w:right w:val="single" w:color="auto" w:sz="4" w:space="0"/>
            </w:tcBorders>
            <w:tcW w:w="2058" w:type="dxa"/>
            <w:textDirection w:val="lrTb"/>
            <w:noWrap w:val="false"/>
          </w:tcPr>
          <w:p>
            <w:r>
              <w:t xml:space="preserve">188 400 (сто восемьдесят восемь тысяч четыреста) рублей 00 копеек </w:t>
            </w:r>
            <w:r>
              <w:t xml:space="preserve">без учета НДС</w:t>
            </w:r>
            <w:r>
              <w:t xml:space="preserve"> </w:t>
            </w:r>
            <w:r/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4.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r>
              <w:rPr>
                <w:rStyle w:val="859"/>
                <w:rFonts w:ascii="Times New Roman" w:hAnsi="Times New Roman"/>
              </w:rPr>
              <w:t xml:space="preserve">Нежилое здание № 4</w:t>
            </w:r>
            <w:r>
              <w:rPr>
                <w:rFonts w:ascii="Times New Roman" w:hAnsi="Times New Roman"/>
                <w:sz w:val="20"/>
                <w:szCs w:val="20"/>
              </w:rPr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both"/>
            </w:pPr>
            <w:r>
              <w:rPr>
                <w:shd w:val="clear" w:color="auto" w:fill="ffffff"/>
              </w:rPr>
              <w:t xml:space="preserve">Российская Федерация, Мурманская область, муниципальный округ Печенгский, поселок городского типа Никель</w:t>
            </w:r>
            <w:r>
              <w:t xml:space="preserve"> </w:t>
            </w:r>
            <w:r/>
          </w:p>
        </w:tc>
        <w:tc>
          <w:tcPr>
            <w:tcW w:w="3118" w:type="dxa"/>
            <w:textDirection w:val="lrTb"/>
            <w:noWrap w:val="false"/>
          </w:tcPr>
          <w:p>
            <w:pPr>
              <w:jc w:val="both"/>
              <w:rPr>
                <w:rStyle w:val="859"/>
                <w:rFonts w:ascii="Times New Roman" w:hAnsi="Times New Roman"/>
              </w:rPr>
            </w:pPr>
            <w:r>
              <w:t xml:space="preserve">Кадастровый номер 51:03:0060102:2722, площадь </w:t>
            </w:r>
            <w:r>
              <w:rPr>
                <w:rStyle w:val="859"/>
                <w:rFonts w:ascii="Times New Roman" w:hAnsi="Times New Roman"/>
              </w:rPr>
              <w:t xml:space="preserve">71,2 кв. м, количество этажей: </w:t>
            </w:r>
            <w:r>
              <w:rPr>
                <w:rStyle w:val="859"/>
                <w:rFonts w:ascii="Times New Roman" w:hAnsi="Times New Roman"/>
              </w:rPr>
            </w:r>
            <w:r>
              <w:rPr>
                <w:rStyle w:val="859"/>
                <w:rFonts w:ascii="Times New Roman" w:hAnsi="Times New Roman"/>
              </w:rPr>
            </w:r>
          </w:p>
          <w:p>
            <w:pPr>
              <w:jc w:val="both"/>
            </w:pPr>
            <w:r>
              <w:rPr>
                <w:rStyle w:val="859"/>
                <w:rFonts w:ascii="Times New Roman" w:hAnsi="Times New Roman"/>
              </w:rPr>
              <w:t xml:space="preserve">1, в том числе </w:t>
            </w:r>
            <w:r>
              <w:rPr>
                <w:rStyle w:val="859"/>
                <w:rFonts w:ascii="Times New Roman" w:hAnsi="Times New Roman"/>
              </w:rPr>
              <w:t xml:space="preserve">подземных</w:t>
            </w:r>
            <w:r>
              <w:rPr>
                <w:rStyle w:val="859"/>
                <w:rFonts w:ascii="Times New Roman" w:hAnsi="Times New Roman"/>
              </w:rPr>
              <w:t xml:space="preserve"> 0.  </w:t>
            </w:r>
            <w:r/>
          </w:p>
          <w:p>
            <w:pPr>
              <w:jc w:val="both"/>
            </w:pPr>
            <w:r>
              <w:t xml:space="preserve">Техническое состояние неудовлетворительное. Требуется капитальный ремонт.</w:t>
            </w:r>
            <w:r/>
          </w:p>
        </w:tc>
        <w:tc>
          <w:tcPr>
            <w:tcBorders>
              <w:right w:val="single" w:color="auto" w:sz="4" w:space="0"/>
            </w:tcBorders>
            <w:tcW w:w="2058" w:type="dxa"/>
            <w:textDirection w:val="lrTb"/>
            <w:noWrap w:val="false"/>
          </w:tcPr>
          <w:p>
            <w:r>
              <w:t xml:space="preserve">39 000 (тридцать девять тысяч) рублей 00 копеек</w:t>
            </w:r>
            <w:r>
              <w:t xml:space="preserve"> </w:t>
            </w:r>
            <w:r>
              <w:t xml:space="preserve">без учета НДС</w:t>
            </w:r>
            <w:r/>
          </w:p>
        </w:tc>
      </w:tr>
    </w:tbl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20603050405020304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>
    <w:name w:val="Heading 1"/>
    <w:basedOn w:val="841"/>
    <w:next w:val="841"/>
    <w:link w:val="66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7">
    <w:name w:val="Heading 1 Char"/>
    <w:basedOn w:val="843"/>
    <w:link w:val="666"/>
    <w:uiPriority w:val="9"/>
    <w:rPr>
      <w:rFonts w:ascii="Arial" w:hAnsi="Arial" w:eastAsia="Arial" w:cs="Arial"/>
      <w:sz w:val="40"/>
      <w:szCs w:val="40"/>
    </w:rPr>
  </w:style>
  <w:style w:type="paragraph" w:styleId="668">
    <w:name w:val="Heading 2"/>
    <w:basedOn w:val="841"/>
    <w:next w:val="841"/>
    <w:link w:val="66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9">
    <w:name w:val="Heading 2 Char"/>
    <w:basedOn w:val="843"/>
    <w:link w:val="668"/>
    <w:uiPriority w:val="9"/>
    <w:rPr>
      <w:rFonts w:ascii="Arial" w:hAnsi="Arial" w:eastAsia="Arial" w:cs="Arial"/>
      <w:sz w:val="34"/>
    </w:rPr>
  </w:style>
  <w:style w:type="paragraph" w:styleId="670">
    <w:name w:val="Heading 3"/>
    <w:basedOn w:val="841"/>
    <w:next w:val="841"/>
    <w:link w:val="67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1">
    <w:name w:val="Heading 3 Char"/>
    <w:basedOn w:val="843"/>
    <w:link w:val="670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843"/>
    <w:link w:val="842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41"/>
    <w:next w:val="841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3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41"/>
    <w:next w:val="841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3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41"/>
    <w:next w:val="841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3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41"/>
    <w:next w:val="841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3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41"/>
    <w:next w:val="841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3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No Spacing"/>
    <w:uiPriority w:val="1"/>
    <w:qFormat/>
    <w:pPr>
      <w:spacing w:before="0" w:after="0" w:line="240" w:lineRule="auto"/>
    </w:pPr>
  </w:style>
  <w:style w:type="paragraph" w:styleId="684">
    <w:name w:val="Title"/>
    <w:basedOn w:val="841"/>
    <w:next w:val="841"/>
    <w:link w:val="68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5">
    <w:name w:val="Title Char"/>
    <w:basedOn w:val="843"/>
    <w:link w:val="684"/>
    <w:uiPriority w:val="10"/>
    <w:rPr>
      <w:sz w:val="48"/>
      <w:szCs w:val="48"/>
    </w:rPr>
  </w:style>
  <w:style w:type="paragraph" w:styleId="686">
    <w:name w:val="Subtitle"/>
    <w:basedOn w:val="841"/>
    <w:next w:val="841"/>
    <w:link w:val="687"/>
    <w:uiPriority w:val="11"/>
    <w:qFormat/>
    <w:pPr>
      <w:spacing w:before="200" w:after="200"/>
    </w:pPr>
    <w:rPr>
      <w:sz w:val="24"/>
      <w:szCs w:val="24"/>
    </w:rPr>
  </w:style>
  <w:style w:type="character" w:styleId="687">
    <w:name w:val="Subtitle Char"/>
    <w:basedOn w:val="843"/>
    <w:link w:val="686"/>
    <w:uiPriority w:val="11"/>
    <w:rPr>
      <w:sz w:val="24"/>
      <w:szCs w:val="24"/>
    </w:rPr>
  </w:style>
  <w:style w:type="paragraph" w:styleId="688">
    <w:name w:val="Quote"/>
    <w:basedOn w:val="841"/>
    <w:next w:val="841"/>
    <w:link w:val="689"/>
    <w:uiPriority w:val="29"/>
    <w:qFormat/>
    <w:pPr>
      <w:ind w:left="720" w:right="720"/>
    </w:pPr>
    <w:rPr>
      <w:i/>
    </w:rPr>
  </w:style>
  <w:style w:type="character" w:styleId="689">
    <w:name w:val="Quote Char"/>
    <w:link w:val="688"/>
    <w:uiPriority w:val="29"/>
    <w:rPr>
      <w:i/>
    </w:rPr>
  </w:style>
  <w:style w:type="paragraph" w:styleId="690">
    <w:name w:val="Intense Quote"/>
    <w:basedOn w:val="841"/>
    <w:next w:val="841"/>
    <w:link w:val="69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1">
    <w:name w:val="Intense Quote Char"/>
    <w:link w:val="690"/>
    <w:uiPriority w:val="30"/>
    <w:rPr>
      <w:i/>
    </w:rPr>
  </w:style>
  <w:style w:type="paragraph" w:styleId="692">
    <w:name w:val="Header"/>
    <w:basedOn w:val="841"/>
    <w:link w:val="69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3">
    <w:name w:val="Header Char"/>
    <w:basedOn w:val="843"/>
    <w:link w:val="692"/>
    <w:uiPriority w:val="99"/>
  </w:style>
  <w:style w:type="paragraph" w:styleId="694">
    <w:name w:val="Footer"/>
    <w:basedOn w:val="841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Footer Char"/>
    <w:basedOn w:val="843"/>
    <w:link w:val="694"/>
    <w:uiPriority w:val="99"/>
  </w:style>
  <w:style w:type="paragraph" w:styleId="696">
    <w:name w:val="Caption"/>
    <w:basedOn w:val="841"/>
    <w:next w:val="84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694"/>
    <w:uiPriority w:val="99"/>
  </w:style>
  <w:style w:type="table" w:styleId="698">
    <w:name w:val="Table Grid Light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Plain Table 1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2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4 - Accent 1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7">
    <w:name w:val="Grid Table 4 - Accent 2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8">
    <w:name w:val="Grid Table 4 - Accent 3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9">
    <w:name w:val="Grid Table 4 - Accent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0">
    <w:name w:val="Grid Table 4 - Accent 5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1">
    <w:name w:val="Grid Table 4 - Accent 6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2">
    <w:name w:val="Grid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9">
    <w:name w:val="Grid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0">
    <w:name w:val="Grid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1">
    <w:name w:val="Grid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2">
    <w:name w:val="Grid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3">
    <w:name w:val="Grid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4">
    <w:name w:val="Grid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1">
    <w:name w:val="List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2">
    <w:name w:val="List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3">
    <w:name w:val="List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4">
    <w:name w:val="List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5">
    <w:name w:val="List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6">
    <w:name w:val="List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7">
    <w:name w:val="List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9">
    <w:name w:val="List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0">
    <w:name w:val="List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List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2">
    <w:name w:val="List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List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4">
    <w:name w:val="List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5">
    <w:name w:val="List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6">
    <w:name w:val="List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7">
    <w:name w:val="List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8">
    <w:name w:val="List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9">
    <w:name w:val="List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0">
    <w:name w:val="List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1">
    <w:name w:val="List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2">
    <w:name w:val="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 &amp; 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Bordered &amp; 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Bordered &amp; 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Bordered &amp; 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Bordered &amp; 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Bordered &amp; 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Bordered &amp; 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7">
    <w:name w:val="Bordered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8">
    <w:name w:val="Bordered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9">
    <w:name w:val="Bordered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0">
    <w:name w:val="Bordered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1">
    <w:name w:val="Bordered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2">
    <w:name w:val="Bordered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3">
    <w:name w:val="Hyperlink"/>
    <w:uiPriority w:val="99"/>
    <w:unhideWhenUsed/>
    <w:rPr>
      <w:color w:val="0000ff" w:themeColor="hyperlink"/>
      <w:u w:val="single"/>
    </w:rPr>
  </w:style>
  <w:style w:type="paragraph" w:styleId="824">
    <w:name w:val="footnote text"/>
    <w:basedOn w:val="841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>
    <w:name w:val="Footnote Text Char"/>
    <w:link w:val="824"/>
    <w:uiPriority w:val="99"/>
    <w:rPr>
      <w:sz w:val="18"/>
    </w:rPr>
  </w:style>
  <w:style w:type="character" w:styleId="826">
    <w:name w:val="footnote reference"/>
    <w:basedOn w:val="843"/>
    <w:uiPriority w:val="99"/>
    <w:unhideWhenUsed/>
    <w:rPr>
      <w:vertAlign w:val="superscript"/>
    </w:rPr>
  </w:style>
  <w:style w:type="paragraph" w:styleId="827">
    <w:name w:val="endnote text"/>
    <w:basedOn w:val="841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>
    <w:name w:val="Endnote Text Char"/>
    <w:link w:val="827"/>
    <w:uiPriority w:val="99"/>
    <w:rPr>
      <w:sz w:val="20"/>
    </w:rPr>
  </w:style>
  <w:style w:type="character" w:styleId="829">
    <w:name w:val="endnote reference"/>
    <w:basedOn w:val="843"/>
    <w:uiPriority w:val="99"/>
    <w:semiHidden/>
    <w:unhideWhenUsed/>
    <w:rPr>
      <w:vertAlign w:val="superscript"/>
    </w:rPr>
  </w:style>
  <w:style w:type="paragraph" w:styleId="830">
    <w:name w:val="toc 1"/>
    <w:basedOn w:val="841"/>
    <w:next w:val="841"/>
    <w:uiPriority w:val="39"/>
    <w:unhideWhenUsed/>
    <w:pPr>
      <w:ind w:left="0" w:right="0" w:firstLine="0"/>
      <w:spacing w:after="57"/>
    </w:pPr>
  </w:style>
  <w:style w:type="paragraph" w:styleId="831">
    <w:name w:val="toc 2"/>
    <w:basedOn w:val="841"/>
    <w:next w:val="841"/>
    <w:uiPriority w:val="39"/>
    <w:unhideWhenUsed/>
    <w:pPr>
      <w:ind w:left="283" w:right="0" w:firstLine="0"/>
      <w:spacing w:after="57"/>
    </w:pPr>
  </w:style>
  <w:style w:type="paragraph" w:styleId="832">
    <w:name w:val="toc 3"/>
    <w:basedOn w:val="841"/>
    <w:next w:val="841"/>
    <w:uiPriority w:val="39"/>
    <w:unhideWhenUsed/>
    <w:pPr>
      <w:ind w:left="567" w:right="0" w:firstLine="0"/>
      <w:spacing w:after="57"/>
    </w:pPr>
  </w:style>
  <w:style w:type="paragraph" w:styleId="833">
    <w:name w:val="toc 4"/>
    <w:basedOn w:val="841"/>
    <w:next w:val="841"/>
    <w:uiPriority w:val="39"/>
    <w:unhideWhenUsed/>
    <w:pPr>
      <w:ind w:left="850" w:right="0" w:firstLine="0"/>
      <w:spacing w:after="57"/>
    </w:pPr>
  </w:style>
  <w:style w:type="paragraph" w:styleId="834">
    <w:name w:val="toc 5"/>
    <w:basedOn w:val="841"/>
    <w:next w:val="841"/>
    <w:uiPriority w:val="39"/>
    <w:unhideWhenUsed/>
    <w:pPr>
      <w:ind w:left="1134" w:right="0" w:firstLine="0"/>
      <w:spacing w:after="57"/>
    </w:pPr>
  </w:style>
  <w:style w:type="paragraph" w:styleId="835">
    <w:name w:val="toc 6"/>
    <w:basedOn w:val="841"/>
    <w:next w:val="841"/>
    <w:uiPriority w:val="39"/>
    <w:unhideWhenUsed/>
    <w:pPr>
      <w:ind w:left="1417" w:right="0" w:firstLine="0"/>
      <w:spacing w:after="57"/>
    </w:pPr>
  </w:style>
  <w:style w:type="paragraph" w:styleId="836">
    <w:name w:val="toc 7"/>
    <w:basedOn w:val="841"/>
    <w:next w:val="841"/>
    <w:uiPriority w:val="39"/>
    <w:unhideWhenUsed/>
    <w:pPr>
      <w:ind w:left="1701" w:right="0" w:firstLine="0"/>
      <w:spacing w:after="57"/>
    </w:pPr>
  </w:style>
  <w:style w:type="paragraph" w:styleId="837">
    <w:name w:val="toc 8"/>
    <w:basedOn w:val="841"/>
    <w:next w:val="841"/>
    <w:uiPriority w:val="39"/>
    <w:unhideWhenUsed/>
    <w:pPr>
      <w:ind w:left="1984" w:right="0" w:firstLine="0"/>
      <w:spacing w:after="57"/>
    </w:pPr>
  </w:style>
  <w:style w:type="paragraph" w:styleId="838">
    <w:name w:val="toc 9"/>
    <w:basedOn w:val="841"/>
    <w:next w:val="841"/>
    <w:uiPriority w:val="39"/>
    <w:unhideWhenUsed/>
    <w:pPr>
      <w:ind w:left="2268" w:right="0" w:firstLine="0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841"/>
    <w:next w:val="841"/>
    <w:uiPriority w:val="99"/>
    <w:unhideWhenUsed/>
    <w:pPr>
      <w:spacing w:after="0" w:afterAutospacing="0"/>
    </w:pPr>
  </w:style>
  <w:style w:type="paragraph" w:styleId="841" w:default="1">
    <w:name w:val="Normal"/>
    <w:qFormat/>
    <w:rPr>
      <w:rFonts w:ascii="Times New Roman" w:hAnsi="Times New Roman" w:eastAsia="Times New Roman"/>
    </w:rPr>
  </w:style>
  <w:style w:type="paragraph" w:styleId="842">
    <w:name w:val="Heading 4"/>
    <w:basedOn w:val="841"/>
    <w:next w:val="841"/>
    <w:link w:val="847"/>
    <w:qFormat/>
    <w:pPr>
      <w:ind w:firstLine="709"/>
      <w:keepNext/>
      <w:outlineLvl w:val="3"/>
    </w:pPr>
    <w:rPr>
      <w:sz w:val="28"/>
    </w:rPr>
  </w:style>
  <w:style w:type="character" w:styleId="843" w:default="1">
    <w:name w:val="Default Paragraph Font"/>
    <w:uiPriority w:val="1"/>
    <w:semiHidden/>
    <w:unhideWhenUsed/>
  </w:style>
  <w:style w:type="table" w:styleId="8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5" w:default="1">
    <w:name w:val="No List"/>
    <w:uiPriority w:val="99"/>
    <w:semiHidden/>
    <w:unhideWhenUsed/>
  </w:style>
  <w:style w:type="paragraph" w:styleId="846" w:customStyle="1">
    <w:name w:val="Стиль1"/>
    <w:basedOn w:val="841"/>
    <w:qFormat/>
    <w:rPr>
      <w:sz w:val="24"/>
    </w:rPr>
  </w:style>
  <w:style w:type="character" w:styleId="847" w:customStyle="1">
    <w:name w:val="Заголовок 4 Знак"/>
    <w:link w:val="842"/>
    <w:rPr>
      <w:rFonts w:ascii="Times New Roman" w:hAnsi="Times New Roman" w:eastAsia="Times New Roman"/>
      <w:szCs w:val="20"/>
      <w:lang w:eastAsia="ru-RU"/>
    </w:rPr>
  </w:style>
  <w:style w:type="paragraph" w:styleId="848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49">
    <w:name w:val="Balloon Text"/>
    <w:basedOn w:val="841"/>
    <w:link w:val="850"/>
    <w:uiPriority w:val="99"/>
    <w:semiHidden/>
    <w:unhideWhenUsed/>
    <w:rPr>
      <w:rFonts w:ascii="Tahoma" w:hAnsi="Tahoma" w:cs="Tahoma"/>
      <w:sz w:val="16"/>
      <w:szCs w:val="16"/>
    </w:rPr>
  </w:style>
  <w:style w:type="character" w:styleId="850" w:customStyle="1">
    <w:name w:val="Текст выноски Знак"/>
    <w:link w:val="84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51">
    <w:name w:val="List Paragraph"/>
    <w:basedOn w:val="841"/>
    <w:uiPriority w:val="34"/>
    <w:qFormat/>
    <w:pPr>
      <w:contextualSpacing/>
      <w:ind w:left="720"/>
    </w:pPr>
  </w:style>
  <w:style w:type="paragraph" w:styleId="852" w:customStyle="1">
    <w:name w:val="Знак Знак1 Знак Знак Знак Знак Знак Знак Знак Знак Знак Знак Знак Знак"/>
    <w:basedOn w:val="84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53" w:customStyle="1">
    <w:name w:val="Знак Знак1 Знак Знак Знак Знак Знак Знак"/>
    <w:basedOn w:val="841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854">
    <w:name w:val="Table Grid"/>
    <w:basedOn w:val="84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5">
    <w:name w:val="Plain Text"/>
    <w:basedOn w:val="841"/>
    <w:link w:val="856"/>
    <w:rPr>
      <w:rFonts w:ascii="Courier New" w:hAnsi="Courier New" w:cs="Courier New"/>
    </w:rPr>
  </w:style>
  <w:style w:type="character" w:styleId="856" w:customStyle="1">
    <w:name w:val="Текст Знак"/>
    <w:link w:val="855"/>
    <w:rPr>
      <w:rFonts w:ascii="Courier New" w:hAnsi="Courier New" w:eastAsia="Times New Roman" w:cs="Courier New"/>
    </w:rPr>
  </w:style>
  <w:style w:type="paragraph" w:styleId="857">
    <w:name w:val="Body Text"/>
    <w:basedOn w:val="841"/>
    <w:link w:val="858"/>
    <w:uiPriority w:val="99"/>
    <w:unhideWhenUsed/>
    <w:pPr>
      <w:spacing w:after="120" w:line="276" w:lineRule="auto"/>
    </w:pPr>
    <w:rPr>
      <w:rFonts w:ascii="Calibri" w:hAnsi="Calibri" w:eastAsia="Calibri"/>
      <w:sz w:val="22"/>
      <w:szCs w:val="22"/>
      <w:lang w:eastAsia="en-US"/>
    </w:rPr>
  </w:style>
  <w:style w:type="character" w:styleId="858" w:customStyle="1">
    <w:name w:val="Основной текст Знак"/>
    <w:basedOn w:val="843"/>
    <w:link w:val="857"/>
    <w:uiPriority w:val="99"/>
    <w:rPr>
      <w:sz w:val="22"/>
      <w:szCs w:val="22"/>
      <w:lang w:eastAsia="en-US"/>
    </w:rPr>
  </w:style>
  <w:style w:type="character" w:styleId="859" w:customStyle="1">
    <w:name w:val="fontstyle01"/>
    <w:basedOn w:val="843"/>
    <w:rPr>
      <w:rFonts w:hint="default" w:ascii="TimesNewRomanPSMT" w:hAnsi="TimesNewRomanPSMT"/>
      <w:b w:val="0"/>
      <w:bCs w:val="0"/>
      <w:i w:val="0"/>
      <w:iCs w:val="0"/>
      <w:color w:val="000000"/>
      <w:sz w:val="20"/>
      <w:szCs w:val="20"/>
    </w:rPr>
  </w:style>
  <w:style w:type="paragraph" w:styleId="860">
    <w:name w:val="Normal (Web)"/>
    <w:basedOn w:val="841"/>
    <w:uiPriority w:val="99"/>
    <w:unhideWhenUsed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8DC99-1C51-44CC-96E8-77BE55567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4</cp:revision>
  <dcterms:created xsi:type="dcterms:W3CDTF">2025-09-05T08:57:00Z</dcterms:created>
  <dcterms:modified xsi:type="dcterms:W3CDTF">2025-09-16T13:51:55Z</dcterms:modified>
</cp:coreProperties>
</file>