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29.08.2025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№ 1410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</w:t>
      </w:r>
      <w:r>
        <w:rPr>
          <w:b/>
        </w:rPr>
        <w:t xml:space="preserve">5-2027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</w:t>
        <w:br/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1717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 «Комфортная среда проживания» на 2025-2027 годы, утвержденную постановлением администраци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Печенгского муниципального округа от 01.11.2024 № 1717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30.07.2025</w:t>
      </w:r>
      <w:r>
        <w:rPr>
          <w:sz w:val="24"/>
          <w:szCs w:val="24"/>
        </w:rPr>
        <w:br/>
        <w:t xml:space="preserve">№ </w:t>
      </w:r>
      <w:r>
        <w:rPr>
          <w:sz w:val="24"/>
          <w:szCs w:val="24"/>
        </w:rPr>
        <w:t xml:space="preserve">1263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 сроке «Показатели программы» в паспорте Программы внести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пункт 13 исключить;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- пункты 14 – 39 считать соответственно пунктами 13 – 38;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дополнить пунктом 39</w:t>
      </w:r>
      <w:r>
        <w:rPr>
          <w:sz w:val="24"/>
          <w:szCs w:val="24"/>
        </w:rPr>
        <w:t xml:space="preserve">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2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left="44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«39</w:t>
            </w:r>
            <w:r>
              <w:rPr>
                <w:sz w:val="24"/>
                <w:szCs w:val="24"/>
              </w:rPr>
              <w:t xml:space="preserve">. Количество </w:t>
            </w:r>
            <w:r>
              <w:rPr>
                <w:sz w:val="24"/>
                <w:szCs w:val="24"/>
              </w:rPr>
              <w:t xml:space="preserve">ликвидированных мест размещения отходов.»;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 по 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850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917,9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167492,4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167492,4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200087,5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179753,8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12618,3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7715,4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449104,4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206889,7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158857,9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83356,8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34233,6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34233,6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показателей» </w:t>
      </w:r>
      <w:r>
        <w:rPr>
          <w:sz w:val="24"/>
          <w:szCs w:val="24"/>
        </w:rPr>
        <w:t xml:space="preserve">Программы внести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дополнить строкой 2.1.5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19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3"/>
        <w:gridCol w:w="2405"/>
        <w:gridCol w:w="690"/>
        <w:gridCol w:w="778"/>
        <w:gridCol w:w="784"/>
        <w:gridCol w:w="849"/>
        <w:gridCol w:w="849"/>
        <w:gridCol w:w="849"/>
        <w:gridCol w:w="1560"/>
      </w:tblGrid>
      <w:tr>
        <w:tblPrEx/>
        <w:trPr>
          <w:trHeight w:val="36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</w:rPr>
              <w:t xml:space="preserve">«2.1.5.</w:t>
            </w:r>
            <w:r>
              <w:rPr>
                <w:bCs/>
                <w:color w:val="000000"/>
                <w:szCs w:val="24"/>
              </w:rPr>
            </w:r>
            <w:r>
              <w:rPr>
                <w:bCs/>
                <w:color w:val="000000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1" w:type="pct"/>
            <w:vAlign w:val="center"/>
            <w:textDirection w:val="lrTb"/>
            <w:noWrap w:val="false"/>
          </w:tcPr>
          <w:p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Количество ликвидированных мест размещения отходов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9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Отчет исполнителей программы»;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2.2.9 исключить;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подпрограммы» </w:t>
      </w:r>
      <w:r>
        <w:rPr>
          <w:sz w:val="24"/>
          <w:szCs w:val="24"/>
        </w:rPr>
        <w:t xml:space="preserve">в паспорте Подпрограммы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Охрана окружающей среды»</w:t>
      </w:r>
      <w:r>
        <w:rPr>
          <w:sz w:val="24"/>
          <w:szCs w:val="24"/>
        </w:rPr>
        <w:t xml:space="preserve"> (далее – Подпрограмма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дополнить пунктом 5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24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left="44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«5</w:t>
            </w:r>
            <w:r>
              <w:rPr>
                <w:sz w:val="24"/>
                <w:szCs w:val="24"/>
              </w:rPr>
              <w:t xml:space="preserve">. Количество </w:t>
            </w:r>
            <w:r>
              <w:rPr>
                <w:sz w:val="24"/>
                <w:szCs w:val="24"/>
              </w:rPr>
              <w:t xml:space="preserve">ликвидированных мест размещения отходов.»;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211,9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80211,9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53483,4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13612,0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13116,5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«Исполнители подпрограммы» в паспорте Подпрограммы 1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15"/>
        <w:gridCol w:w="7811"/>
      </w:tblGrid>
      <w:tr>
        <w:tblPrEx/>
        <w:trPr>
          <w:jc w:val="center"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5" w:type="dxa"/>
            <w:textDirection w:val="lrTb"/>
            <w:noWrap w:val="false"/>
          </w:tcPr>
          <w:p>
            <w:pPr>
              <w:ind w:left="44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11" w:type="dxa"/>
            <w:textDirection w:val="lrTb"/>
            <w:noWrap w:val="false"/>
          </w:tcPr>
          <w:p>
            <w:pPr>
              <w:ind w:right="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ОС и ЖКХ, КУИ, МБУ «НДС»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</w:t>
      </w:r>
      <w:r>
        <w:rPr>
          <w:sz w:val="24"/>
          <w:szCs w:val="24"/>
        </w:rPr>
        <w:t xml:space="preserve"> 1.1.3,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1.1.4</w:t>
      </w:r>
      <w:r>
        <w:rPr>
          <w:sz w:val="24"/>
          <w:szCs w:val="24"/>
        </w:rPr>
        <w:t xml:space="preserve">, «Итого по основному мероприятию 1» и «Всего по подпрограмме 1»</w:t>
      </w:r>
      <w:r>
        <w:rPr>
          <w:sz w:val="24"/>
          <w:szCs w:val="24"/>
        </w:rPr>
        <w:t xml:space="preserve">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2126"/>
        <w:gridCol w:w="709"/>
        <w:gridCol w:w="850"/>
        <w:gridCol w:w="992"/>
        <w:gridCol w:w="949"/>
        <w:gridCol w:w="893"/>
        <w:gridCol w:w="1171"/>
        <w:gridCol w:w="816"/>
      </w:tblGrid>
      <w:tr>
        <w:tblPrEx/>
        <w:trPr>
          <w:trHeight w:val="65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«1.1.3.</w:t>
            </w:r>
            <w:r/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Ликвидация несанкциониро-</w:t>
              <w:br/>
              <w:t xml:space="preserve">ванных мест размещения отходов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left"/>
              <w:rPr>
                <w:highlight w:val="yellow"/>
              </w:rPr>
              <w:suppressLineNumbers w:val="0"/>
            </w:pPr>
            <w:r>
              <w:t xml:space="preserve">2025</w:t>
            </w:r>
            <w:r>
              <w:t xml:space="preserve">-2027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pBdr>
                <w:top w:val="none" w:color="000000" w:sz="4" w:space="0"/>
              </w:pBdr>
              <w:suppressLineNumbers w:val="0"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contextualSpacing/>
              <w:jc w:val="left"/>
              <w:rPr>
                <w:sz w:val="18"/>
                <w:szCs w:val="18"/>
              </w:rPr>
              <w:suppressLineNumbers w:val="0"/>
            </w:pPr>
            <w:r>
              <w:rPr>
                <w:sz w:val="18"/>
                <w:szCs w:val="18"/>
              </w:rPr>
              <w:t xml:space="preserve">ОС и ЖКХ, МБУ «НДС»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ОБ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МБ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25961,2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232,7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12612,0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13116,5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ВБС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25961,2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232,7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12612,0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13116,5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1.1.4.</w:t>
            </w:r>
            <w:r/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Разработка проектно-сметной документации по ликвидации </w:t>
            </w:r>
            <w:r>
              <w:t xml:space="preserve">и ликвидация </w:t>
            </w:r>
            <w:r>
              <w:t xml:space="preserve">объектов накопленного вреда окружающей среде «Санкционированная свалка на территории </w:t>
            </w:r>
            <w:r>
              <w:t xml:space="preserve">пгт</w:t>
            </w:r>
            <w:r>
              <w:t xml:space="preserve">. Никель Мурманской области»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contextualSpacing/>
              <w:jc w:val="left"/>
              <w:rPr>
                <w:highlight w:val="yellow"/>
              </w:rPr>
              <w:suppressLineNumbers w:val="0"/>
            </w:pPr>
            <w:r>
              <w:t xml:space="preserve">2025</w:t>
            </w:r>
            <w:r>
              <w:t xml:space="preserve">-2026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contextualSpacing/>
              <w:jc w:val="left"/>
              <w:rPr>
                <w:sz w:val="18"/>
                <w:szCs w:val="18"/>
              </w:rPr>
              <w:suppressLineNumbers w:val="0"/>
            </w:pPr>
            <w:r>
              <w:rPr>
                <w:sz w:val="18"/>
                <w:szCs w:val="18"/>
              </w:rPr>
              <w:t xml:space="preserve">КУИ</w:t>
            </w:r>
            <w:r>
              <w:rPr>
                <w:sz w:val="18"/>
                <w:szCs w:val="18"/>
              </w:rPr>
              <w:t xml:space="preserve">, ОС и ЖКХ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ОБ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МБ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52310,7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52310,7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ВБС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52310,7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52310,7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  <w:suppressLineNumbers w:val="0"/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contextualSpacing/>
              <w:jc w:val="center"/>
              <w:rPr>
                <w:b/>
              </w:rPr>
              <w:suppressLineNumbers w:val="0"/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contextualSpacing/>
              <w:jc w:val="center"/>
              <w:rPr>
                <w:b/>
              </w:rPr>
              <w:suppressLineNumbers w:val="0"/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80</w:t>
            </w:r>
            <w:r>
              <w:rPr>
                <w:b/>
              </w:rPr>
              <w:t xml:space="preserve">211,9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53</w:t>
            </w:r>
            <w:r>
              <w:rPr>
                <w:b/>
              </w:rPr>
              <w:t xml:space="preserve">483,4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13</w:t>
            </w:r>
            <w:r>
              <w:rPr>
                <w:b/>
              </w:rPr>
              <w:t xml:space="preserve">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13</w:t>
            </w:r>
            <w:r>
              <w:rPr>
                <w:b/>
              </w:rPr>
              <w:t xml:space="preserve">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80</w:t>
            </w:r>
            <w:r>
              <w:rPr>
                <w:b/>
              </w:rPr>
              <w:t xml:space="preserve">211,9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53</w:t>
            </w:r>
            <w:r>
              <w:rPr>
                <w:b/>
              </w:rPr>
              <w:t xml:space="preserve">483,4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13</w:t>
            </w:r>
            <w:r>
              <w:rPr>
                <w:b/>
              </w:rPr>
              <w:t xml:space="preserve">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13</w:t>
            </w:r>
            <w:r>
              <w:rPr>
                <w:b/>
              </w:rPr>
              <w:t xml:space="preserve">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bCs/>
                <w:color w:val="000000"/>
              </w:rPr>
              <w:suppressLineNumbers w:val="0"/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1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contextualSpacing/>
              <w:jc w:val="left"/>
              <w:suppressLineNumbers w:val="0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80</w:t>
            </w:r>
            <w:r>
              <w:rPr>
                <w:b/>
              </w:rPr>
              <w:t xml:space="preserve">211,9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53</w:t>
            </w:r>
            <w:r>
              <w:rPr>
                <w:b/>
              </w:rPr>
              <w:t xml:space="preserve">483,4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13</w:t>
            </w:r>
            <w:r>
              <w:rPr>
                <w:b/>
              </w:rPr>
              <w:t xml:space="preserve">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13</w:t>
            </w:r>
            <w:r>
              <w:rPr>
                <w:b/>
              </w:rPr>
              <w:t xml:space="preserve">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80</w:t>
            </w:r>
            <w:r>
              <w:rPr>
                <w:b/>
              </w:rPr>
              <w:t xml:space="preserve">211,9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53</w:t>
            </w:r>
            <w:r>
              <w:rPr>
                <w:b/>
              </w:rPr>
              <w:t xml:space="preserve">483,4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13</w:t>
            </w:r>
            <w:r>
              <w:rPr>
                <w:b/>
              </w:rPr>
              <w:t xml:space="preserve">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left"/>
              <w:rPr>
                <w:b/>
              </w:rPr>
              <w:suppressLineNumbers w:val="0"/>
            </w:pPr>
            <w:r>
              <w:rPr>
                <w:b/>
              </w:rPr>
              <w:t xml:space="preserve">13</w:t>
            </w:r>
            <w:r>
              <w:rPr>
                <w:b/>
              </w:rPr>
              <w:t xml:space="preserve">116,5»;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contextualSpacing/>
        <w:ind w:firstLine="709"/>
        <w:jc w:val="both"/>
        <w:widowControl w:val="off"/>
        <w:tabs>
          <w:tab w:val="left" w:pos="426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- строки 1.1.2 и</w:t>
      </w:r>
      <w:r>
        <w:rPr>
          <w:sz w:val="24"/>
          <w:szCs w:val="24"/>
        </w:rPr>
        <w:t xml:space="preserve"> 1.1.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таблицы 2 «Перечень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55"/>
        <w:tblW w:w="9639" w:type="dxa"/>
        <w:tblInd w:w="108" w:type="dxa"/>
        <w:tblBorders>
          <w:bottom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708"/>
        <w:gridCol w:w="1843"/>
        <w:gridCol w:w="851"/>
        <w:gridCol w:w="708"/>
        <w:gridCol w:w="709"/>
        <w:gridCol w:w="709"/>
        <w:gridCol w:w="850"/>
      </w:tblGrid>
      <w:tr>
        <w:tblPrEx/>
        <w:trPr/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«1.1.</w:t>
            </w:r>
            <w:r>
              <w:rPr>
                <w:rFonts w:eastAsia="Calibri"/>
              </w:rPr>
              <w:t xml:space="preserve">3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>
              <w:t xml:space="preserve">Ликвидация несанкционированных мест размещения отходов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2025-2027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Снижение количества несанкционированных мест размещения отходов 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Да/нет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да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да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да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ЖКХ, МБУ «НДС»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1.1.</w:t>
            </w:r>
            <w:r>
              <w:rPr>
                <w:rFonts w:eastAsia="Calibri"/>
              </w:rPr>
              <w:t xml:space="preserve">4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410" w:type="dxa"/>
            <w:vMerge w:val="restart"/>
            <w:textDirection w:val="lrTb"/>
            <w:noWrap w:val="false"/>
          </w:tcPr>
          <w:p>
            <w:r>
              <w:t xml:space="preserve">Разработка проектно-сметной документации по ликвидации </w:t>
            </w:r>
            <w:r>
              <w:t xml:space="preserve">и ликвидация </w:t>
            </w:r>
            <w:r>
              <w:t xml:space="preserve">объектов накопленного вреда окружающей среде «Санкционированная свалка на территории </w:t>
            </w:r>
            <w:r>
              <w:t xml:space="preserve">пгт</w:t>
            </w:r>
            <w:r>
              <w:t xml:space="preserve">. Никель Мурманской области»</w:t>
            </w:r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2025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разработанных проектно-сметных документаций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Шт.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КУИ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/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2026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Количество ликвидированных мест размещения отходов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Шт.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-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ОС и ЖКХ»;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пункт 9 в строке «Показатели подпрограммы» в паспорте Подпрограммы 2 </w:t>
      </w:r>
      <w:r>
        <w:rPr>
          <w:sz w:val="24"/>
          <w:szCs w:val="24"/>
        </w:rPr>
        <w:t xml:space="preserve">«Жилищно-коммунальное хозяйство» (далее – Подпрограмма 2)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исключить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«Финансовое обеспечение подпрограммы» в паспорте Подпрограммы 2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255 408,1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56414,2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56414,2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149242,9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144337,3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4905,6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15517,4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4517,4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11000,0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34233,6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34233,6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</w:t>
      </w:r>
      <w:r>
        <w:rPr>
          <w:sz w:val="24"/>
          <w:szCs w:val="24"/>
        </w:rPr>
        <w:t xml:space="preserve"> 2.1.</w:t>
      </w:r>
      <w:r>
        <w:rPr>
          <w:sz w:val="24"/>
          <w:szCs w:val="24"/>
        </w:rPr>
        <w:t xml:space="preserve">1, 2.1.3 и </w:t>
      </w:r>
      <w:r>
        <w:rPr>
          <w:sz w:val="24"/>
          <w:szCs w:val="24"/>
        </w:rPr>
        <w:t xml:space="preserve">«Ит</w:t>
      </w:r>
      <w:r>
        <w:rPr>
          <w:sz w:val="24"/>
          <w:szCs w:val="24"/>
        </w:rPr>
        <w:t xml:space="preserve">ого по основному мероприятию 1»</w:t>
      </w:r>
      <w:r>
        <w:rPr>
          <w:sz w:val="24"/>
          <w:szCs w:val="24"/>
        </w:rPr>
        <w:t xml:space="preserve">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2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9"/>
        <w:gridCol w:w="2147"/>
        <w:gridCol w:w="709"/>
        <w:gridCol w:w="863"/>
        <w:gridCol w:w="1121"/>
        <w:gridCol w:w="992"/>
        <w:gridCol w:w="992"/>
        <w:gridCol w:w="887"/>
        <w:gridCol w:w="816"/>
      </w:tblGrid>
      <w:tr>
        <w:tblPrEx/>
        <w:trPr>
          <w:trHeight w:val="65"/>
        </w:trPr>
        <w:tc>
          <w:tcPr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r>
              <w:t xml:space="preserve">«</w:t>
            </w:r>
            <w:r>
              <w:t xml:space="preserve">2.1.</w:t>
            </w:r>
            <w:r>
              <w:t xml:space="preserve">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2147" w:type="dxa"/>
            <w:vMerge w:val="restart"/>
            <w:textDirection w:val="lrTb"/>
            <w:noWrap w:val="false"/>
          </w:tcPr>
          <w:p>
            <w:r>
              <w:t xml:space="preserve">Ремонт магистральных и внутриквартальных сетей теплоснабжения, водоснабжения и водоотведения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2025-2026</w:t>
            </w:r>
            <w:r/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12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121" w:type="dxa"/>
            <w:textDirection w:val="lrTb"/>
            <w:noWrap w:val="false"/>
          </w:tcPr>
          <w:p>
            <w:r>
              <w:t xml:space="preserve">8</w:t>
            </w:r>
            <w:r>
              <w:t xml:space="preserve">772,0   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r>
              <w:t xml:space="preserve"> 8</w:t>
            </w:r>
            <w:r>
              <w:t xml:space="preserve">772,0   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121" w:type="dxa"/>
            <w:textDirection w:val="lrTb"/>
            <w:noWrap w:val="false"/>
          </w:tcPr>
          <w:p>
            <w:r>
              <w:t xml:space="preserve">11</w:t>
            </w:r>
            <w:r>
              <w:t xml:space="preserve">548,0   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r>
              <w:t xml:space="preserve"> 1</w:t>
            </w:r>
            <w:r>
              <w:t xml:space="preserve">548,0   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10000,0</w:t>
            </w:r>
            <w:r/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12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1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20</w:t>
            </w:r>
            <w:r>
              <w:rPr>
                <w:b/>
              </w:rPr>
              <w:t xml:space="preserve">320,0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10</w:t>
            </w:r>
            <w:r>
              <w:rPr>
                <w:b/>
              </w:rPr>
              <w:t xml:space="preserve">320,0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10</w:t>
            </w:r>
            <w:r>
              <w:rPr>
                <w:b/>
              </w:rPr>
              <w:t xml:space="preserve">000,0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2.1.3.</w:t>
            </w:r>
            <w:r/>
          </w:p>
        </w:tc>
        <w:tc>
          <w:tcPr>
            <w:shd w:val="clear" w:color="auto" w:fill="auto"/>
            <w:tcW w:w="2147" w:type="dxa"/>
            <w:vMerge w:val="restart"/>
            <w:textDirection w:val="lrTb"/>
            <w:noWrap w:val="false"/>
          </w:tcPr>
          <w:p>
            <w:r>
              <w:t xml:space="preserve">Строительство сети водоснабжения в районе индивидуальной жилой застройки </w:t>
            </w:r>
            <w:r>
              <w:t xml:space="preserve">нп</w:t>
            </w:r>
            <w:r>
              <w:t xml:space="preserve">. </w:t>
            </w:r>
            <w:r>
              <w:t xml:space="preserve">Корзуново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2026</w:t>
            </w:r>
            <w:r/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12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56414,2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56414,2</w:t>
            </w:r>
            <w:r/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121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4905,6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4905,6</w:t>
            </w:r>
            <w:r/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121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121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1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61</w:t>
            </w:r>
            <w:r>
              <w:rPr>
                <w:b/>
              </w:rPr>
              <w:t xml:space="preserve">319,8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</w:t>
            </w:r>
            <w:r>
              <w:rPr>
                <w:b/>
              </w:rPr>
              <w:t xml:space="preserve">319,8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</w:t>
            </w:r>
            <w:r>
              <w:rPr>
                <w:b/>
              </w:rPr>
              <w:t xml:space="preserve">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</w:t>
            </w:r>
            <w:r>
              <w:rPr>
                <w:b/>
              </w:rPr>
              <w:t xml:space="preserve">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149</w:t>
            </w:r>
            <w:r>
              <w:rPr>
                <w:b/>
              </w:rPr>
              <w:t xml:space="preserve">242,9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144</w:t>
            </w:r>
            <w:r>
              <w:rPr>
                <w:b/>
              </w:rPr>
              <w:t xml:space="preserve">337,3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  <w:t xml:space="preserve">905,6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</w:t>
            </w:r>
            <w:r>
              <w:rPr>
                <w:b/>
              </w:rPr>
              <w:t xml:space="preserve">517,4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517,4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</w:t>
            </w:r>
            <w:r>
              <w:rPr>
                <w:b/>
              </w:rPr>
              <w:t xml:space="preserve">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</w:t>
            </w:r>
            <w:r>
              <w:rPr>
                <w:b/>
              </w:rPr>
              <w:t xml:space="preserve">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</w:t>
            </w:r>
            <w:r>
              <w:rPr>
                <w:b/>
              </w:rPr>
              <w:t xml:space="preserve">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253</w:t>
            </w:r>
            <w:r>
              <w:rPr>
                <w:b/>
              </w:rPr>
              <w:t xml:space="preserve">408,1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182</w:t>
            </w:r>
            <w:r>
              <w:rPr>
                <w:b/>
              </w:rPr>
              <w:t xml:space="preserve">088,3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</w:t>
            </w:r>
            <w:r>
              <w:rPr>
                <w:b/>
              </w:rPr>
              <w:t xml:space="preserve">319,8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  <w:t xml:space="preserve">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</w:t>
      </w:r>
      <w:r>
        <w:rPr>
          <w:sz w:val="24"/>
          <w:szCs w:val="24"/>
        </w:rPr>
        <w:t xml:space="preserve"> 2.2.2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исключить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«Ит</w:t>
      </w:r>
      <w:r>
        <w:rPr>
          <w:sz w:val="24"/>
          <w:szCs w:val="24"/>
        </w:rPr>
        <w:t xml:space="preserve">ого по основному мероприятию 2» и «Всего по подпрограмме 2»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2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543"/>
        <w:gridCol w:w="850"/>
        <w:gridCol w:w="1118"/>
        <w:gridCol w:w="1150"/>
        <w:gridCol w:w="992"/>
        <w:gridCol w:w="992"/>
        <w:gridCol w:w="711"/>
      </w:tblGrid>
      <w:tr>
        <w:tblPrEx/>
        <w:trPr>
          <w:trHeight w:val="45"/>
        </w:trPr>
        <w:tc>
          <w:tcPr>
            <w:shd w:val="clear" w:color="auto" w:fill="auto"/>
            <w:tcW w:w="3543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«</w:t>
            </w: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711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543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shd w:val="clear" w:color="auto" w:fill="auto"/>
            <w:tcW w:w="3543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2000,0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543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1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115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543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2000,0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5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ФБ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711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149242,9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144337,3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4905,6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/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15517,4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4517,4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/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bCs/>
                <w:color w:val="000000"/>
                <w:szCs w:val="22"/>
              </w:rPr>
              <w:t xml:space="preserve">0,0</w:t>
            </w:r>
            <w:r/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5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11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255408,1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183088,3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72319,8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  <w:bCs/>
                <w:color w:val="000000"/>
                <w:szCs w:val="22"/>
              </w:rPr>
              <w:t xml:space="preserve">   </w:t>
            </w:r>
            <w:r>
              <w:rPr>
                <w:b/>
                <w:bCs/>
                <w:color w:val="000000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Cs w:val="22"/>
              </w:rPr>
              <w:t xml:space="preserve">»;</w:t>
            </w:r>
            <w:r/>
          </w:p>
        </w:tc>
        <w:tc>
          <w:tcPr>
            <w:shd w:val="clear" w:color="auto" w:fill="auto"/>
            <w:tcW w:w="71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2.2.2</w:t>
      </w:r>
      <w:r>
        <w:rPr>
          <w:sz w:val="24"/>
          <w:szCs w:val="24"/>
        </w:rPr>
        <w:t xml:space="preserve"> таблицы </w:t>
      </w:r>
      <w:r>
        <w:rPr>
          <w:sz w:val="24"/>
          <w:szCs w:val="24"/>
        </w:rPr>
        <w:t xml:space="preserve">2 «Перечень мероприятий подпрограммы с показателями результативности выполнения мероприятий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исключить</w:t>
      </w:r>
      <w:bookmarkStart w:id="0" w:name="_GoBack"/>
      <w:r/>
      <w:bookmarkEnd w:id="0"/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«Развитие сферы ритуальных услуг и мест захоронения» </w:t>
      </w:r>
      <w:r>
        <w:rPr>
          <w:sz w:val="24"/>
          <w:szCs w:val="24"/>
        </w:rPr>
        <w:t xml:space="preserve">(далее – Подпрограмма 3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8 659,2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200,0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63,9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66,7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69,4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8459,2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2704,6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2877,3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2877,3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</w:t>
      </w:r>
      <w:r>
        <w:rPr>
          <w:sz w:val="24"/>
          <w:szCs w:val="24"/>
        </w:rPr>
        <w:t xml:space="preserve">3.1.1</w:t>
      </w:r>
      <w:r>
        <w:rPr>
          <w:sz w:val="24"/>
          <w:szCs w:val="24"/>
        </w:rPr>
        <w:t xml:space="preserve">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</w:t>
      </w:r>
      <w:r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5"/>
        <w:gridCol w:w="2262"/>
        <w:gridCol w:w="852"/>
        <w:gridCol w:w="994"/>
        <w:gridCol w:w="990"/>
        <w:gridCol w:w="852"/>
        <w:gridCol w:w="852"/>
        <w:gridCol w:w="996"/>
        <w:gridCol w:w="8"/>
        <w:gridCol w:w="973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r>
              <w:t xml:space="preserve">«3.1.1.</w:t>
            </w:r>
            <w:r/>
          </w:p>
        </w:tc>
        <w:tc>
          <w:tcPr>
            <w:shd w:val="clear" w:color="auto" w:fill="auto"/>
            <w:tcW w:w="1174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мест захоронения на территории Печенгского  муниципального округа (текущее содержание, доставка тел в морг и захоронение трупов, не востребованных родственниками)</w:t>
            </w:r>
            <w:r/>
          </w:p>
        </w:tc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2025</w:t>
            </w:r>
            <w:r>
              <w:t xml:space="preserve">-2027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2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«НДС»,                      МБУ «РЭС»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2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>
              <w:t xml:space="preserve">459,2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704,6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877,3</w:t>
            </w:r>
            <w:r/>
          </w:p>
        </w:tc>
        <w:tc>
          <w:tcPr>
            <w:gridSpan w:val="2"/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>
              <w:t xml:space="preserve">877,3</w:t>
            </w:r>
            <w:r/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gridSpan w:val="2"/>
            <w:shd w:val="clear" w:color="auto" w:fill="auto"/>
            <w:tcW w:w="52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8459,2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2704,6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2877,3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2877,3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63,9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66,7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69,4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8459,2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2704,6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2877,3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2877,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0,00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8659,2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2768,5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2944,0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2946,7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pacing w:val="1"/>
              </w:rPr>
              <w:t xml:space="preserve">3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200,</w:t>
            </w:r>
            <w:r>
              <w:rPr>
                <w:b/>
                <w:bCs/>
                <w:color w:val="000000"/>
              </w:rPr>
              <w:t xml:space="preserve">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63,9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66,7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69,4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8459,2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2704,6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2877,3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2877,3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6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8659,2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2768,5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2944,0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2946,7</w:t>
            </w:r>
            <w:r>
              <w:rPr>
                <w:b/>
                <w:bCs/>
                <w:color w:val="000000"/>
              </w:rPr>
              <w:t xml:space="preserve">»;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50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</w:t>
      </w:r>
      <w:r>
        <w:rPr>
          <w:sz w:val="24"/>
          <w:szCs w:val="24"/>
        </w:rPr>
        <w:t xml:space="preserve">одп</w:t>
      </w:r>
      <w:r>
        <w:rPr>
          <w:sz w:val="24"/>
          <w:szCs w:val="24"/>
        </w:rPr>
        <w:t xml:space="preserve">рограммы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 «Комплексное благоустройство и содержание городской среды»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Подпрограмма 4)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32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301 983,7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364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92,8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26613,4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4939,7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4939,7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265490,9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06759,3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91368,6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67363,0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4.1.</w:t>
      </w:r>
      <w:r>
        <w:rPr>
          <w:sz w:val="24"/>
          <w:szCs w:val="24"/>
        </w:rPr>
        <w:t xml:space="preserve">4, 4.1.6, 4.1.7, 4.1.8 и </w:t>
      </w:r>
      <w:r>
        <w:rPr>
          <w:sz w:val="24"/>
          <w:szCs w:val="24"/>
        </w:rPr>
        <w:t xml:space="preserve">«Итого по основному мероприятию 1»</w:t>
      </w:r>
      <w:r>
        <w:rPr>
          <w:sz w:val="24"/>
          <w:szCs w:val="24"/>
        </w:rPr>
        <w:t xml:space="preserve"> в таблице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31"/>
        <w:gridCol w:w="1862"/>
        <w:gridCol w:w="709"/>
        <w:gridCol w:w="850"/>
        <w:gridCol w:w="1132"/>
        <w:gridCol w:w="963"/>
        <w:gridCol w:w="963"/>
        <w:gridCol w:w="1087"/>
        <w:gridCol w:w="959"/>
      </w:tblGrid>
      <w:tr>
        <w:tblPrEx/>
        <w:trPr>
          <w:trHeight w:val="65"/>
        </w:trPr>
        <w:tc>
          <w:tcPr>
            <w:shd w:val="clear" w:color="auto" w:fill="auto"/>
            <w:tcW w:w="831" w:type="dxa"/>
            <w:vMerge w:val="restart"/>
            <w:textDirection w:val="lrTb"/>
            <w:noWrap w:val="false"/>
          </w:tcPr>
          <w:p>
            <w:r>
              <w:t xml:space="preserve">«4.1.4</w:t>
            </w:r>
            <w:r>
              <w:t xml:space="preserve">.</w:t>
            </w:r>
            <w:r/>
          </w:p>
          <w:p>
            <w:r/>
            <w:r/>
          </w:p>
        </w:tc>
        <w:tc>
          <w:tcPr>
            <w:shd w:val="clear" w:color="auto" w:fill="auto"/>
            <w:tcW w:w="1862" w:type="dxa"/>
            <w:vMerge w:val="restart"/>
            <w:textDirection w:val="lrTb"/>
            <w:noWrap w:val="false"/>
          </w:tcPr>
          <w:p>
            <w:r>
              <w:t xml:space="preserve">Техническое обслуживание наружного освещения, оплата электроэнергии наружного освещения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2025-2027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13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087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МБУ «НДС»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13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087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132" w:type="dxa"/>
            <w:textDirection w:val="lrTb"/>
            <w:noWrap w:val="false"/>
          </w:tcPr>
          <w:p>
            <w:pPr>
              <w:jc w:val="center"/>
            </w:pPr>
            <w:r>
              <w:t xml:space="preserve">60</w:t>
            </w:r>
            <w:r>
              <w:t xml:space="preserve">440,6   </w:t>
            </w:r>
            <w:r/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</w:pPr>
            <w:r>
              <w:t xml:space="preserve">18</w:t>
            </w:r>
            <w:r>
              <w:t xml:space="preserve">546,1   </w:t>
            </w:r>
            <w:r/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</w:pPr>
            <w:r>
              <w:t xml:space="preserve">23</w:t>
            </w:r>
            <w:r>
              <w:t xml:space="preserve">967,9   </w:t>
            </w:r>
            <w:r/>
          </w:p>
        </w:tc>
        <w:tc>
          <w:tcPr>
            <w:shd w:val="clear" w:color="auto" w:fill="auto"/>
            <w:tcW w:w="1087" w:type="dxa"/>
            <w:textDirection w:val="lrTb"/>
            <w:noWrap w:val="false"/>
          </w:tcPr>
          <w:p>
            <w:pPr>
              <w:jc w:val="center"/>
            </w:pPr>
            <w:r>
              <w:t xml:space="preserve">17</w:t>
            </w:r>
            <w:r>
              <w:t xml:space="preserve">926,6   </w:t>
            </w:r>
            <w:r/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13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087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60440,6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18546,1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23967,9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0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17926,6  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restart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 </w:t>
            </w:r>
            <w:r>
              <w:t xml:space="preserve">4.1.</w:t>
            </w:r>
            <w:r>
              <w:t xml:space="preserve">6</w:t>
            </w:r>
            <w:r>
              <w:t xml:space="preserve">.</w:t>
            </w:r>
            <w:r/>
          </w:p>
          <w:p>
            <w:r/>
            <w:r/>
          </w:p>
        </w:tc>
        <w:tc>
          <w:tcPr>
            <w:shd w:val="clear" w:color="auto" w:fill="auto"/>
            <w:tcW w:w="1862" w:type="dxa"/>
            <w:vMerge w:val="restart"/>
            <w:textDirection w:val="lrTb"/>
            <w:noWrap w:val="false"/>
          </w:tcPr>
          <w:p>
            <w:r>
              <w:t xml:space="preserve">Эвакуация с дворовых территорий    бесхозяйного (брошенного) транспорта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2025-2027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«НДС»;         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1230,3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630,3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300,0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300,0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1230,3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630,3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</w:t>
            </w:r>
            <w:r>
              <w:t xml:space="preserve">7</w:t>
            </w:r>
            <w:r>
              <w:t xml:space="preserve">.</w:t>
            </w:r>
            <w:r/>
          </w:p>
          <w:p>
            <w:r/>
            <w:r/>
          </w:p>
        </w:tc>
        <w:tc>
          <w:tcPr>
            <w:shd w:val="clear" w:color="auto" w:fill="auto"/>
            <w:tcW w:w="1862" w:type="dxa"/>
            <w:vMerge w:val="restart"/>
            <w:textDirection w:val="lrTb"/>
            <w:noWrap w:val="false"/>
          </w:tcPr>
          <w:p>
            <w:r>
              <w:t xml:space="preserve">Мероприятия по организации трудовых бригад на территории Печенгского муниципального округа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2025-2026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12500,0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7500,0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5000,0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12500,0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7500,0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5000,0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restart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 </w:t>
            </w:r>
            <w:r>
              <w:t xml:space="preserve">4.1.8</w:t>
            </w:r>
            <w:r>
              <w:t xml:space="preserve">.</w:t>
            </w:r>
            <w:r/>
          </w:p>
          <w:p>
            <w:r/>
            <w:r/>
          </w:p>
        </w:tc>
        <w:tc>
          <w:tcPr>
            <w:shd w:val="clear" w:color="auto" w:fill="auto"/>
            <w:tcW w:w="1862" w:type="dxa"/>
            <w:vMerge w:val="restart"/>
            <w:textDirection w:val="lrTb"/>
            <w:noWrap w:val="false"/>
          </w:tcPr>
          <w:p>
            <w:r>
              <w:t xml:space="preserve">Организация временных общественно полезных работ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left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«НДС»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17423,7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17423,7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 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83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62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17423,7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17423,7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 по </w:t>
            </w:r>
            <w:r>
              <w:rPr>
                <w:b/>
                <w:bCs/>
                <w:color w:val="000000"/>
                <w:szCs w:val="22"/>
              </w:rPr>
              <w:t xml:space="preserve">основному 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мероприятию 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Merge w:val="restart"/>
            <w:textDirection w:val="lrTb"/>
            <w:noWrap w:val="false"/>
          </w:tcPr>
          <w:p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21673,7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21673,7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98251,3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49006,8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30267,9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18976,6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119925,0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70680,5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6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30267,9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08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18976,6</w:t>
            </w:r>
            <w:r>
              <w:rPr>
                <w:b/>
                <w:bCs/>
                <w:color w:val="000000"/>
              </w:rPr>
              <w:t xml:space="preserve">»;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5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- строки 4.2.1, </w:t>
      </w:r>
      <w:r>
        <w:rPr>
          <w:sz w:val="24"/>
          <w:szCs w:val="24"/>
        </w:rPr>
        <w:t xml:space="preserve">«Итого по основному мероприятию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и «Всего по подпрограмме 4» таблицы 1 «Перечень</w:t>
      </w:r>
      <w:r>
        <w:rPr>
          <w:sz w:val="24"/>
          <w:szCs w:val="24"/>
        </w:rPr>
        <w:t xml:space="preserve"> мероприятий </w:t>
      </w:r>
      <w:r>
        <w:rPr>
          <w:sz w:val="24"/>
          <w:szCs w:val="24"/>
        </w:rPr>
        <w:t xml:space="preserve">подпрограммы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  <w:t xml:space="preserve">» к Подпрограмме 4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37"/>
        <w:gridCol w:w="1814"/>
        <w:gridCol w:w="709"/>
        <w:gridCol w:w="850"/>
        <w:gridCol w:w="1134"/>
        <w:gridCol w:w="1134"/>
        <w:gridCol w:w="992"/>
        <w:gridCol w:w="1134"/>
        <w:gridCol w:w="852"/>
      </w:tblGrid>
      <w:tr>
        <w:tblPrEx/>
        <w:trPr>
          <w:trHeight w:val="65"/>
        </w:trPr>
        <w:tc>
          <w:tcPr>
            <w:shd w:val="clear" w:color="auto" w:fill="auto"/>
            <w:tcW w:w="737" w:type="dxa"/>
            <w:vMerge w:val="restart"/>
            <w:textDirection w:val="lrTb"/>
            <w:noWrap w:val="false"/>
          </w:tcPr>
          <w:p>
            <w:r>
              <w:t xml:space="preserve">«4.2.1.</w:t>
            </w:r>
            <w:r/>
          </w:p>
          <w:p>
            <w:r/>
            <w:r/>
          </w:p>
        </w:tc>
        <w:tc>
          <w:tcPr>
            <w:shd w:val="clear" w:color="auto" w:fill="auto"/>
            <w:tcW w:w="1814" w:type="dxa"/>
            <w:vMerge w:val="restart"/>
            <w:textDirection w:val="lrTb"/>
            <w:noWrap w:val="false"/>
          </w:tcPr>
          <w:p>
            <w:r>
              <w:t xml:space="preserve">Предоставление муниципальных услуг (работ) в сфере благоустройства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r>
              <w:t xml:space="preserve">2025-2027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«РЭС»;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МБУ «НДС»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73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1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73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1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146584,0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50867,3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54215,5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41501,2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73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1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0,0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73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1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146584,0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50867,3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54215,5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41501,2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 по </w:t>
            </w:r>
            <w:r>
              <w:rPr>
                <w:b/>
                <w:bCs/>
                <w:color w:val="000000"/>
                <w:szCs w:val="22"/>
              </w:rPr>
              <w:t xml:space="preserve">основному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мероприятию </w:t>
            </w:r>
            <w:r>
              <w:rPr>
                <w:b/>
                <w:bCs/>
                <w:color w:val="000000"/>
                <w:szCs w:val="22"/>
              </w:rPr>
              <w:t xml:space="preserve">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 </w:t>
            </w:r>
            <w:r>
              <w:rPr>
                <w:b/>
                <w:color w:val="000000"/>
              </w:rPr>
              <w:t xml:space="preserve">0,0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0,0 </w:t>
            </w:r>
            <w:r>
              <w:rPr>
                <w:b/>
                <w:color w:val="000000"/>
                <w:sz w:val="24"/>
                <w:szCs w:val="24"/>
              </w:rPr>
            </w: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14819,1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4939,7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4939,7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4939,7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167239,6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57752,5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61100,7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48386,4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182058,7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62692,2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66040,4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53326,1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  <w:r>
              <w:rPr>
                <w:b/>
              </w:rPr>
              <w:t xml:space="preserve">по </w:t>
            </w:r>
            <w:r>
              <w:rPr>
                <w:b/>
                <w:color w:val="000000"/>
                <w:spacing w:val="1"/>
              </w:rPr>
              <w:t xml:space="preserve">подпрограмме </w:t>
            </w:r>
            <w:r>
              <w:rPr>
                <w:b/>
                <w:color w:val="000000"/>
                <w:spacing w:val="1"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36492,8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26613,4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4939,7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4939,7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265490,9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106759,3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91368,6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67363,0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0,0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301983,7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133372,7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96308,3 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72302,7».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852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left="0" w:right="0" w:firstLine="709"/>
        <w:jc w:val="both"/>
        <w:tabs>
          <w:tab w:val="left" w:pos="709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 А.В. Кузнецов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>
        <w:t xml:space="preserve">Ц</w:t>
      </w:r>
      <w:r>
        <w:t xml:space="preserve">ымлякова</w:t>
      </w:r>
      <w:r>
        <w:t xml:space="preserve"> Н.А., 50313</w:t>
      </w:r>
      <w:r/>
    </w:p>
    <w:p>
      <w:pPr>
        <w:ind w:left="9639"/>
        <w:jc w:val="right"/>
        <w:tabs>
          <w:tab w:val="left" w:pos="993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="684" w:h="170" w:wrap="around" w:vAnchor="page" w:hAnchor="page" w:x="5782" w:y="75" w:hRule="exact"/>
    </w:pPr>
    <w:r>
      <w:rPr>
        <w:rStyle w:val="930"/>
      </w:rPr>
    </w:r>
    <w:r>
      <w:rPr>
        <w:rStyle w:val="930"/>
      </w:rPr>
    </w:r>
  </w:p>
  <w:p>
    <w:pPr>
      <w:pStyle w:val="931"/>
      <w:tabs>
        <w:tab w:val="clear" w:pos="4677" w:leader="none"/>
        <w:tab w:val="left" w:pos="7323" w:leader="none"/>
        <w:tab w:val="clear" w:pos="9355" w:leader="none"/>
      </w:tabs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917"/>
    <w:link w:val="915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2 Char"/>
    <w:basedOn w:val="917"/>
    <w:link w:val="916"/>
    <w:uiPriority w:val="9"/>
    <w:rPr>
      <w:rFonts w:ascii="Arial" w:hAnsi="Arial" w:eastAsia="Arial" w:cs="Arial"/>
      <w:sz w:val="34"/>
    </w:rPr>
  </w:style>
  <w:style w:type="paragraph" w:styleId="747">
    <w:name w:val="Heading 3"/>
    <w:basedOn w:val="914"/>
    <w:next w:val="914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8">
    <w:name w:val="Heading 3 Char"/>
    <w:basedOn w:val="917"/>
    <w:link w:val="747"/>
    <w:uiPriority w:val="9"/>
    <w:rPr>
      <w:rFonts w:ascii="Arial" w:hAnsi="Arial" w:eastAsia="Arial" w:cs="Arial"/>
      <w:sz w:val="30"/>
      <w:szCs w:val="30"/>
    </w:rPr>
  </w:style>
  <w:style w:type="paragraph" w:styleId="749">
    <w:name w:val="Heading 4"/>
    <w:basedOn w:val="914"/>
    <w:next w:val="91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0">
    <w:name w:val="Heading 4 Char"/>
    <w:basedOn w:val="917"/>
    <w:link w:val="749"/>
    <w:uiPriority w:val="9"/>
    <w:rPr>
      <w:rFonts w:ascii="Arial" w:hAnsi="Arial" w:eastAsia="Arial" w:cs="Arial"/>
      <w:b/>
      <w:bCs/>
      <w:sz w:val="26"/>
      <w:szCs w:val="26"/>
    </w:rPr>
  </w:style>
  <w:style w:type="paragraph" w:styleId="751">
    <w:name w:val="Heading 5"/>
    <w:basedOn w:val="914"/>
    <w:next w:val="914"/>
    <w:link w:val="7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2">
    <w:name w:val="Heading 5 Char"/>
    <w:basedOn w:val="917"/>
    <w:link w:val="751"/>
    <w:uiPriority w:val="9"/>
    <w:rPr>
      <w:rFonts w:ascii="Arial" w:hAnsi="Arial" w:eastAsia="Arial" w:cs="Arial"/>
      <w:b/>
      <w:bCs/>
      <w:sz w:val="24"/>
      <w:szCs w:val="24"/>
    </w:rPr>
  </w:style>
  <w:style w:type="paragraph" w:styleId="753">
    <w:name w:val="Heading 6"/>
    <w:basedOn w:val="914"/>
    <w:next w:val="914"/>
    <w:link w:val="7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4">
    <w:name w:val="Heading 6 Char"/>
    <w:basedOn w:val="917"/>
    <w:link w:val="753"/>
    <w:uiPriority w:val="9"/>
    <w:rPr>
      <w:rFonts w:ascii="Arial" w:hAnsi="Arial" w:eastAsia="Arial" w:cs="Arial"/>
      <w:b/>
      <w:bCs/>
      <w:sz w:val="22"/>
      <w:szCs w:val="22"/>
    </w:rPr>
  </w:style>
  <w:style w:type="paragraph" w:styleId="755">
    <w:name w:val="Heading 7"/>
    <w:basedOn w:val="914"/>
    <w:next w:val="914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6">
    <w:name w:val="Heading 7 Char"/>
    <w:basedOn w:val="917"/>
    <w:link w:val="7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7">
    <w:name w:val="Heading 8"/>
    <w:basedOn w:val="914"/>
    <w:next w:val="914"/>
    <w:link w:val="7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8">
    <w:name w:val="Heading 8 Char"/>
    <w:basedOn w:val="917"/>
    <w:link w:val="757"/>
    <w:uiPriority w:val="9"/>
    <w:rPr>
      <w:rFonts w:ascii="Arial" w:hAnsi="Arial" w:eastAsia="Arial" w:cs="Arial"/>
      <w:i/>
      <w:iCs/>
      <w:sz w:val="22"/>
      <w:szCs w:val="22"/>
    </w:rPr>
  </w:style>
  <w:style w:type="paragraph" w:styleId="759">
    <w:name w:val="Heading 9"/>
    <w:basedOn w:val="914"/>
    <w:next w:val="914"/>
    <w:link w:val="7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0">
    <w:name w:val="Heading 9 Char"/>
    <w:basedOn w:val="917"/>
    <w:link w:val="759"/>
    <w:uiPriority w:val="9"/>
    <w:rPr>
      <w:rFonts w:ascii="Arial" w:hAnsi="Arial" w:eastAsia="Arial" w:cs="Arial"/>
      <w:i/>
      <w:iCs/>
      <w:sz w:val="21"/>
      <w:szCs w:val="21"/>
    </w:rPr>
  </w:style>
  <w:style w:type="character" w:styleId="761">
    <w:name w:val="Title Char"/>
    <w:basedOn w:val="917"/>
    <w:link w:val="946"/>
    <w:uiPriority w:val="10"/>
    <w:rPr>
      <w:sz w:val="48"/>
      <w:szCs w:val="48"/>
    </w:rPr>
  </w:style>
  <w:style w:type="paragraph" w:styleId="762">
    <w:name w:val="Subtitle"/>
    <w:basedOn w:val="914"/>
    <w:next w:val="914"/>
    <w:link w:val="763"/>
    <w:uiPriority w:val="11"/>
    <w:qFormat/>
    <w:pPr>
      <w:spacing w:before="200" w:after="200"/>
    </w:pPr>
    <w:rPr>
      <w:sz w:val="24"/>
      <w:szCs w:val="24"/>
    </w:rPr>
  </w:style>
  <w:style w:type="character" w:styleId="763">
    <w:name w:val="Subtitle Char"/>
    <w:basedOn w:val="917"/>
    <w:link w:val="762"/>
    <w:uiPriority w:val="11"/>
    <w:rPr>
      <w:sz w:val="24"/>
      <w:szCs w:val="24"/>
    </w:rPr>
  </w:style>
  <w:style w:type="paragraph" w:styleId="764">
    <w:name w:val="Quote"/>
    <w:basedOn w:val="914"/>
    <w:next w:val="914"/>
    <w:link w:val="765"/>
    <w:uiPriority w:val="29"/>
    <w:qFormat/>
    <w:pPr>
      <w:ind w:left="720" w:right="720"/>
    </w:pPr>
    <w:rPr>
      <w:i/>
    </w:rPr>
  </w:style>
  <w:style w:type="character" w:styleId="765">
    <w:name w:val="Quote Char"/>
    <w:link w:val="764"/>
    <w:uiPriority w:val="29"/>
    <w:rPr>
      <w:i/>
    </w:rPr>
  </w:style>
  <w:style w:type="paragraph" w:styleId="766">
    <w:name w:val="Intense Quote"/>
    <w:basedOn w:val="914"/>
    <w:next w:val="914"/>
    <w:link w:val="7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>
    <w:name w:val="Intense Quote Char"/>
    <w:link w:val="766"/>
    <w:uiPriority w:val="30"/>
    <w:rPr>
      <w:i/>
    </w:rPr>
  </w:style>
  <w:style w:type="character" w:styleId="768">
    <w:name w:val="Header Char"/>
    <w:basedOn w:val="917"/>
    <w:link w:val="931"/>
    <w:uiPriority w:val="99"/>
  </w:style>
  <w:style w:type="character" w:styleId="769">
    <w:name w:val="Footer Char"/>
    <w:basedOn w:val="917"/>
    <w:link w:val="928"/>
    <w:uiPriority w:val="99"/>
  </w:style>
  <w:style w:type="paragraph" w:styleId="770">
    <w:name w:val="Caption"/>
    <w:basedOn w:val="914"/>
    <w:next w:val="9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>
    <w:name w:val="Caption Char"/>
    <w:basedOn w:val="770"/>
    <w:link w:val="928"/>
    <w:uiPriority w:val="99"/>
  </w:style>
  <w:style w:type="table" w:styleId="772">
    <w:name w:val="Table Grid Light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7">
    <w:name w:val="footnote text"/>
    <w:basedOn w:val="914"/>
    <w:link w:val="898"/>
    <w:uiPriority w:val="99"/>
    <w:semiHidden/>
    <w:unhideWhenUsed/>
    <w:pPr>
      <w:spacing w:after="40" w:line="240" w:lineRule="auto"/>
    </w:pPr>
    <w:rPr>
      <w:sz w:val="18"/>
    </w:rPr>
  </w:style>
  <w:style w:type="character" w:styleId="898">
    <w:name w:val="Footnote Text Char"/>
    <w:link w:val="897"/>
    <w:uiPriority w:val="99"/>
    <w:rPr>
      <w:sz w:val="18"/>
    </w:rPr>
  </w:style>
  <w:style w:type="character" w:styleId="899">
    <w:name w:val="footnote reference"/>
    <w:basedOn w:val="917"/>
    <w:uiPriority w:val="99"/>
    <w:unhideWhenUsed/>
    <w:rPr>
      <w:vertAlign w:val="superscript"/>
    </w:rPr>
  </w:style>
  <w:style w:type="paragraph" w:styleId="900">
    <w:name w:val="endnote text"/>
    <w:basedOn w:val="914"/>
    <w:link w:val="901"/>
    <w:uiPriority w:val="99"/>
    <w:semiHidden/>
    <w:unhideWhenUsed/>
    <w:pPr>
      <w:spacing w:after="0" w:line="240" w:lineRule="auto"/>
    </w:pPr>
    <w:rPr>
      <w:sz w:val="20"/>
    </w:r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17"/>
    <w:uiPriority w:val="99"/>
    <w:semiHidden/>
    <w:unhideWhenUsed/>
    <w:rPr>
      <w:vertAlign w:val="superscript"/>
    </w:rPr>
  </w:style>
  <w:style w:type="paragraph" w:styleId="903">
    <w:name w:val="toc 1"/>
    <w:basedOn w:val="914"/>
    <w:next w:val="914"/>
    <w:uiPriority w:val="39"/>
    <w:unhideWhenUsed/>
    <w:pPr>
      <w:ind w:left="0" w:right="0" w:firstLine="0"/>
      <w:spacing w:after="57"/>
    </w:pPr>
  </w:style>
  <w:style w:type="paragraph" w:styleId="904">
    <w:name w:val="toc 2"/>
    <w:basedOn w:val="914"/>
    <w:next w:val="914"/>
    <w:uiPriority w:val="39"/>
    <w:unhideWhenUsed/>
    <w:pPr>
      <w:ind w:left="283" w:right="0" w:firstLine="0"/>
      <w:spacing w:after="57"/>
    </w:pPr>
  </w:style>
  <w:style w:type="paragraph" w:styleId="905">
    <w:name w:val="toc 3"/>
    <w:basedOn w:val="914"/>
    <w:next w:val="914"/>
    <w:uiPriority w:val="39"/>
    <w:unhideWhenUsed/>
    <w:pPr>
      <w:ind w:left="567" w:right="0" w:firstLine="0"/>
      <w:spacing w:after="57"/>
    </w:pPr>
  </w:style>
  <w:style w:type="paragraph" w:styleId="906">
    <w:name w:val="toc 4"/>
    <w:basedOn w:val="914"/>
    <w:next w:val="914"/>
    <w:uiPriority w:val="39"/>
    <w:unhideWhenUsed/>
    <w:pPr>
      <w:ind w:left="850" w:right="0" w:firstLine="0"/>
      <w:spacing w:after="57"/>
    </w:pPr>
  </w:style>
  <w:style w:type="paragraph" w:styleId="907">
    <w:name w:val="toc 5"/>
    <w:basedOn w:val="914"/>
    <w:next w:val="914"/>
    <w:uiPriority w:val="39"/>
    <w:unhideWhenUsed/>
    <w:pPr>
      <w:ind w:left="1134" w:right="0" w:firstLine="0"/>
      <w:spacing w:after="57"/>
    </w:pPr>
  </w:style>
  <w:style w:type="paragraph" w:styleId="908">
    <w:name w:val="toc 6"/>
    <w:basedOn w:val="914"/>
    <w:next w:val="914"/>
    <w:uiPriority w:val="39"/>
    <w:unhideWhenUsed/>
    <w:pPr>
      <w:ind w:left="1417" w:right="0" w:firstLine="0"/>
      <w:spacing w:after="57"/>
    </w:pPr>
  </w:style>
  <w:style w:type="paragraph" w:styleId="909">
    <w:name w:val="toc 7"/>
    <w:basedOn w:val="914"/>
    <w:next w:val="914"/>
    <w:uiPriority w:val="39"/>
    <w:unhideWhenUsed/>
    <w:pPr>
      <w:ind w:left="1701" w:right="0" w:firstLine="0"/>
      <w:spacing w:after="57"/>
    </w:pPr>
  </w:style>
  <w:style w:type="paragraph" w:styleId="910">
    <w:name w:val="toc 8"/>
    <w:basedOn w:val="914"/>
    <w:next w:val="914"/>
    <w:uiPriority w:val="39"/>
    <w:unhideWhenUsed/>
    <w:pPr>
      <w:ind w:left="1984" w:right="0" w:firstLine="0"/>
      <w:spacing w:after="57"/>
    </w:pPr>
  </w:style>
  <w:style w:type="paragraph" w:styleId="911">
    <w:name w:val="toc 9"/>
    <w:basedOn w:val="914"/>
    <w:next w:val="914"/>
    <w:uiPriority w:val="39"/>
    <w:unhideWhenUsed/>
    <w:pPr>
      <w:ind w:left="2268" w:right="0" w:firstLine="0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914"/>
    <w:next w:val="914"/>
    <w:uiPriority w:val="99"/>
    <w:unhideWhenUsed/>
    <w:pPr>
      <w:spacing w:after="0" w:afterAutospacing="0"/>
    </w:pPr>
  </w:style>
  <w:style w:type="paragraph" w:styleId="914" w:default="1">
    <w:name w:val="Normal"/>
    <w:qFormat/>
  </w:style>
  <w:style w:type="paragraph" w:styleId="915">
    <w:name w:val="Heading 1"/>
    <w:basedOn w:val="914"/>
    <w:next w:val="914"/>
    <w:qFormat/>
    <w:pPr>
      <w:jc w:val="center"/>
      <w:keepNext/>
      <w:outlineLvl w:val="0"/>
    </w:pPr>
    <w:rPr>
      <w:sz w:val="24"/>
    </w:rPr>
  </w:style>
  <w:style w:type="paragraph" w:styleId="916">
    <w:name w:val="Heading 2"/>
    <w:basedOn w:val="914"/>
    <w:next w:val="914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17" w:default="1">
    <w:name w:val="Default Paragraph Font"/>
    <w:uiPriority w:val="1"/>
    <w:semiHidden/>
    <w:unhideWhenUsed/>
  </w:style>
  <w:style w:type="table" w:styleId="9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9" w:default="1">
    <w:name w:val="No List"/>
    <w:uiPriority w:val="99"/>
    <w:semiHidden/>
    <w:unhideWhenUsed/>
  </w:style>
  <w:style w:type="paragraph" w:styleId="920">
    <w:name w:val="Body Text"/>
    <w:basedOn w:val="914"/>
    <w:pPr>
      <w:jc w:val="both"/>
    </w:pPr>
    <w:rPr>
      <w:sz w:val="24"/>
      <w:szCs w:val="24"/>
    </w:rPr>
  </w:style>
  <w:style w:type="paragraph" w:styleId="921">
    <w:name w:val="Body Text Indent"/>
    <w:basedOn w:val="914"/>
    <w:link w:val="945"/>
    <w:uiPriority w:val="99"/>
    <w:pPr>
      <w:ind w:left="283"/>
      <w:spacing w:after="120"/>
    </w:pPr>
  </w:style>
  <w:style w:type="paragraph" w:styleId="922">
    <w:name w:val="Body Text 2"/>
    <w:basedOn w:val="91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914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91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916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914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914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91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914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914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914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914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917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914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Заголовок Знак"/>
    <w:basedOn w:val="917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914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91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918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3" w:customStyle="1">
    <w:name w:val="Таблица простая 21"/>
    <w:basedOn w:val="918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4" w:customStyle="1">
    <w:name w:val="Таблица простая 21"/>
    <w:basedOn w:val="918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5" w:customStyle="1">
    <w:name w:val="Сетка таблицы2"/>
    <w:basedOn w:val="918"/>
    <w:next w:val="93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9DB11-5441-46B9-86E0-9E0079CE3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Lobanova</dc:creator>
  <cp:revision>27</cp:revision>
  <dcterms:created xsi:type="dcterms:W3CDTF">2025-09-01T15:47:00Z</dcterms:created>
  <dcterms:modified xsi:type="dcterms:W3CDTF">2025-09-16T13:56:36Z</dcterms:modified>
</cp:coreProperties>
</file>