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w:t>
      </w:r>
      <w:r>
        <w:rPr>
          <w:b/>
          <w:szCs w:val="20"/>
        </w:rPr>
        <w:t xml:space="preserve">т</w:t>
      </w:r>
      <w:r>
        <w:rPr>
          <w:b/>
          <w:szCs w:val="20"/>
        </w:rPr>
        <w:t xml:space="preserve"> 17.09.2025</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t xml:space="preserve">                  </w:t>
      </w:r>
      <w:r>
        <w:rPr>
          <w:b/>
          <w:szCs w:val="20"/>
        </w:rPr>
        <w:t xml:space="preserve">            № </w:t>
      </w:r>
      <w:r>
        <w:rPr>
          <w:b/>
          <w:szCs w:val="20"/>
        </w:rPr>
        <w:t xml:space="preserve">1479</w:t>
      </w:r>
      <w:r>
        <w:rPr>
          <w:b/>
          <w:szCs w:val="20"/>
        </w:rPr>
      </w:r>
      <w:r>
        <w:rPr>
          <w:b/>
          <w:szCs w:val="20"/>
        </w:rPr>
      </w:r>
    </w:p>
    <w:p>
      <w:pPr>
        <w:jc w:val="center"/>
        <w:rPr>
          <w:b/>
          <w:color w:val="000000"/>
          <w:szCs w:val="20"/>
        </w:rPr>
      </w:pPr>
      <w:r>
        <w:rPr>
          <w:b/>
          <w:color w:val="000000"/>
          <w:szCs w:val="20"/>
        </w:rPr>
        <w:t xml:space="preserve">п.г.т. Никель</w:t>
      </w:r>
      <w:r>
        <w:rPr>
          <w:b/>
          <w:color w:val="000000"/>
          <w:szCs w:val="20"/>
        </w:rPr>
      </w:r>
      <w:r>
        <w:rPr>
          <w:b/>
          <w:color w:val="000000"/>
          <w:szCs w:val="20"/>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jc w:val="center"/>
        <w:rPr>
          <w:b/>
          <w:bCs/>
          <w:color w:val="000000"/>
          <w:sz w:val="28"/>
          <w:szCs w:val="28"/>
        </w:rPr>
      </w:pPr>
      <w:r>
        <w:rPr>
          <w:b/>
          <w:bCs/>
          <w:color w:val="000000"/>
          <w:sz w:val="28"/>
          <w:szCs w:val="28"/>
        </w:rPr>
      </w:r>
      <w:r>
        <w:rPr>
          <w:b/>
          <w:bCs/>
          <w:color w:val="000000"/>
          <w:sz w:val="28"/>
          <w:szCs w:val="28"/>
        </w:rPr>
      </w:r>
      <w:r>
        <w:rPr>
          <w:b/>
          <w:bCs/>
          <w:color w:val="000000"/>
          <w:sz w:val="28"/>
          <w:szCs w:val="28"/>
        </w:rPr>
      </w:r>
    </w:p>
    <w:p>
      <w:pPr>
        <w:ind w:right="0"/>
        <w:jc w:val="center"/>
        <w:keepNext/>
        <w:widowControl/>
        <w:tabs>
          <w:tab w:val="left" w:pos="9720" w:leader="none"/>
        </w:tabs>
        <w:rPr>
          <w:b/>
          <w:bCs/>
          <w:sz w:val="20"/>
          <w:szCs w:val="20"/>
        </w:rPr>
        <w:outlineLvl w:val="0"/>
        <w:suppressLineNumbers w:val="0"/>
      </w:pPr>
      <w:r>
        <w:rPr>
          <w:rFonts w:eastAsiaTheme="minorEastAsia"/>
          <w:b/>
          <w:sz w:val="20"/>
          <w:szCs w:val="20"/>
        </w:rPr>
        <w:t xml:space="preserve">О создании комиссии по </w:t>
      </w:r>
      <w:r>
        <w:rPr>
          <w:rFonts w:eastAsiaTheme="minorEastAsia"/>
          <w:b/>
          <w:sz w:val="20"/>
          <w:szCs w:val="20"/>
        </w:rPr>
        <w:t xml:space="preserve">проведению инвентаризации </w:t>
      </w:r>
      <w:r>
        <w:rPr>
          <w:rFonts w:eastAsiaTheme="minorEastAsia"/>
          <w:b/>
          <w:sz w:val="20"/>
          <w:szCs w:val="20"/>
        </w:rPr>
        <w:t xml:space="preserve">улично-дорожной сети опорного населенного пункта</w:t>
      </w:r>
      <w:r>
        <w:rPr>
          <w:rFonts w:eastAsiaTheme="minorEastAsia"/>
          <w:b/>
          <w:sz w:val="20"/>
          <w:szCs w:val="20"/>
        </w:rPr>
        <w:t xml:space="preserve"> </w:t>
      </w:r>
      <w:r>
        <w:rPr>
          <w:rFonts w:eastAsiaTheme="minorEastAsia"/>
          <w:b/>
          <w:sz w:val="20"/>
          <w:szCs w:val="20"/>
        </w:rPr>
        <w:t xml:space="preserve">г</w:t>
      </w:r>
      <w:r>
        <w:rPr>
          <w:rFonts w:eastAsiaTheme="minorEastAsia"/>
          <w:b/>
          <w:sz w:val="20"/>
          <w:szCs w:val="20"/>
        </w:rPr>
        <w:t xml:space="preserve">. </w:t>
      </w:r>
      <w:r>
        <w:rPr>
          <w:rFonts w:eastAsiaTheme="minorEastAsia"/>
          <w:b/>
          <w:sz w:val="20"/>
          <w:szCs w:val="20"/>
        </w:rPr>
        <w:t xml:space="preserve">Заполярный</w:t>
      </w:r>
      <w:r>
        <w:rPr>
          <w:rFonts w:eastAsiaTheme="minorEastAsia"/>
          <w:b/>
          <w:sz w:val="20"/>
          <w:szCs w:val="20"/>
        </w:rPr>
        <w:t xml:space="preserve"> и оценки ее технического состояния</w:t>
      </w:r>
      <w:r>
        <w:rPr>
          <w:b/>
          <w:bCs/>
          <w:sz w:val="20"/>
          <w:szCs w:val="20"/>
        </w:rPr>
      </w:r>
      <w:r>
        <w:rPr>
          <w:b/>
          <w:bCs/>
          <w:sz w:val="20"/>
          <w:szCs w:val="20"/>
        </w:rPr>
      </w:r>
    </w:p>
    <w:p>
      <w:pPr>
        <w:ind w:right="99"/>
        <w:jc w:val="center"/>
        <w:keepNext/>
        <w:widowControl/>
        <w:tabs>
          <w:tab w:val="left" w:pos="9720" w:leader="none"/>
        </w:tabs>
        <w:rPr>
          <w:b/>
          <w:bCs/>
          <w:sz w:val="20"/>
          <w:szCs w:val="20"/>
        </w:rPr>
        <w:outlineLvl w:val="0"/>
      </w:pPr>
      <w:r>
        <w:rPr>
          <w:b/>
          <w:bCs/>
          <w:sz w:val="20"/>
          <w:szCs w:val="20"/>
        </w:rPr>
      </w:r>
      <w:r>
        <w:rPr>
          <w:b/>
          <w:bCs/>
          <w:sz w:val="20"/>
          <w:szCs w:val="20"/>
        </w:rPr>
      </w:r>
      <w:r>
        <w:rPr>
          <w:b/>
          <w:bCs/>
          <w:sz w:val="20"/>
          <w:szCs w:val="20"/>
        </w:rPr>
      </w:r>
    </w:p>
    <w:p>
      <w:pPr>
        <w:ind w:right="99"/>
        <w:jc w:val="center"/>
        <w:keepNext/>
        <w:widowControl/>
        <w:tabs>
          <w:tab w:val="left" w:pos="9720" w:leader="none"/>
        </w:tabs>
        <w:rPr>
          <w:b/>
          <w:bCs/>
          <w:sz w:val="20"/>
          <w:szCs w:val="20"/>
        </w:rPr>
        <w:outlineLvl w:val="0"/>
      </w:pPr>
      <w:r>
        <w:rPr>
          <w:b/>
          <w:bCs/>
          <w:sz w:val="20"/>
          <w:szCs w:val="20"/>
        </w:rPr>
      </w:r>
      <w:r>
        <w:rPr>
          <w:b/>
          <w:bCs/>
          <w:sz w:val="20"/>
          <w:szCs w:val="20"/>
        </w:rPr>
      </w:r>
      <w:r>
        <w:rPr>
          <w:b/>
          <w:bCs/>
          <w:sz w:val="20"/>
          <w:szCs w:val="20"/>
        </w:rPr>
      </w:r>
    </w:p>
    <w:p>
      <w:pPr>
        <w:ind w:firstLine="709"/>
        <w:jc w:val="both"/>
        <w:widowControl/>
        <w:tabs>
          <w:tab w:val="left" w:pos="700" w:leader="none"/>
        </w:tabs>
      </w:pPr>
      <w:r>
        <w:t xml:space="preserve">В соответствии с </w:t>
      </w:r>
      <w:r>
        <w:t xml:space="preserve">Ф</w:t>
      </w:r>
      <w:r>
        <w:t xml:space="preserve">едеральным законом от 10.12.1995 № 196-ФЗ «О безопасности дорожного движения», Федеральным законом от 08.11.2007 № 257-ФЗ «Об автомобильных дорогах и о дорожной деятельности в Российской Федерации», распоряжением </w:t>
      </w:r>
      <w:r>
        <w:t xml:space="preserve">М</w:t>
      </w:r>
      <w:r>
        <w:t xml:space="preserve">инистерства транспорта Российской Федерации от 30.04.2025 № ВИ-89-р </w:t>
        <w:br/>
        <w:t xml:space="preserve">«Об утверждении методики проведения инвентаризации улично-дорожной сети опорного населенного пункта и оценки ее технического состояния, определения границ населенных пунктов», </w:t>
      </w:r>
      <w:r>
        <w:t xml:space="preserve">постановлением Правительства Мурманской области от 10.04.2023 № 264-ПП «Об утверждении перечня опорных населенных пунктов и прилегающих территорий Мурманской области», </w:t>
      </w:r>
      <w:r>
        <w:t xml:space="preserve">руководствуясь Уставом Печенгского муниципального округа, </w:t>
      </w:r>
      <w:r/>
    </w:p>
    <w:p>
      <w:pPr>
        <w:ind w:firstLine="709"/>
        <w:jc w:val="both"/>
        <w:widowControl/>
        <w:tabs>
          <w:tab w:val="left" w:pos="700" w:leader="none"/>
        </w:tabs>
      </w:pPr>
      <w:r/>
      <w:r/>
    </w:p>
    <w:p>
      <w:pPr>
        <w:jc w:val="both"/>
        <w:widowControl/>
        <w:tabs>
          <w:tab w:val="left" w:pos="700" w:leader="none"/>
        </w:tabs>
        <w:rPr>
          <w:b/>
        </w:rPr>
      </w:pPr>
      <w:r>
        <w:rPr>
          <w:b/>
        </w:rPr>
        <w:t xml:space="preserve">ПОСТАНОВЛЯЮ:</w:t>
      </w:r>
      <w:r>
        <w:rPr>
          <w:b/>
        </w:rPr>
      </w:r>
      <w:r>
        <w:rPr>
          <w:b/>
        </w:rPr>
      </w:r>
    </w:p>
    <w:p>
      <w:pPr>
        <w:ind w:firstLine="709"/>
        <w:jc w:val="both"/>
        <w:widowControl/>
        <w:tabs>
          <w:tab w:val="left" w:pos="700" w:leader="none"/>
        </w:tabs>
        <w:rPr>
          <w:b/>
        </w:rPr>
      </w:pPr>
      <w:r>
        <w:rPr>
          <w:b/>
        </w:rPr>
      </w:r>
      <w:r>
        <w:rPr>
          <w:b/>
        </w:rPr>
      </w:r>
      <w:r>
        <w:rPr>
          <w:b/>
        </w:rPr>
      </w:r>
    </w:p>
    <w:p>
      <w:pPr>
        <w:ind w:firstLine="708"/>
        <w:jc w:val="both"/>
        <w:rPr>
          <w:rFonts w:eastAsiaTheme="minorEastAsia"/>
        </w:rPr>
      </w:pPr>
      <w:r>
        <w:rPr>
          <w:rFonts w:eastAsiaTheme="minorEastAsia"/>
        </w:rPr>
        <w:t xml:space="preserve">1. Создать комиссию по проведению инвентаризации</w:t>
      </w:r>
      <w:r>
        <w:rPr>
          <w:rFonts w:eastAsiaTheme="minorEastAsia"/>
        </w:rPr>
        <w:t xml:space="preserve"> улично-дорожной сети опорного населенного пункта</w:t>
      </w:r>
      <w:r>
        <w:rPr>
          <w:rFonts w:eastAsiaTheme="minorEastAsia"/>
        </w:rPr>
        <w:t xml:space="preserve"> г</w:t>
      </w:r>
      <w:r>
        <w:rPr>
          <w:rFonts w:eastAsiaTheme="minorEastAsia"/>
        </w:rPr>
        <w:t xml:space="preserve">. </w:t>
      </w:r>
      <w:r>
        <w:rPr>
          <w:rFonts w:eastAsiaTheme="minorEastAsia"/>
        </w:rPr>
        <w:t xml:space="preserve">Заполярный </w:t>
      </w:r>
      <w:r>
        <w:rPr>
          <w:rFonts w:eastAsiaTheme="minorEastAsia"/>
        </w:rPr>
        <w:t xml:space="preserve">и оценке ее технического состояния </w:t>
      </w:r>
      <w:r>
        <w:rPr>
          <w:rFonts w:eastAsiaTheme="minorEastAsia"/>
        </w:rPr>
        <w:t xml:space="preserve">(далее – Комиссия)</w:t>
      </w:r>
      <w:r>
        <w:rPr>
          <w:rFonts w:eastAsiaTheme="minorEastAsia"/>
        </w:rPr>
        <w:t xml:space="preserve">.</w:t>
      </w:r>
      <w:r>
        <w:rPr>
          <w:rFonts w:eastAsiaTheme="minorEastAsia"/>
        </w:rPr>
      </w:r>
      <w:r>
        <w:rPr>
          <w:rFonts w:eastAsiaTheme="minorEastAsia"/>
        </w:rPr>
      </w:r>
    </w:p>
    <w:p>
      <w:pPr>
        <w:ind w:firstLine="708"/>
        <w:jc w:val="both"/>
        <w:rPr>
          <w:rFonts w:eastAsiaTheme="minorEastAsia"/>
        </w:rPr>
      </w:pPr>
      <w:r>
        <w:rPr>
          <w:rFonts w:eastAsiaTheme="minorEastAsia"/>
        </w:rPr>
        <w:t xml:space="preserve">2. Утвердить:</w:t>
      </w:r>
      <w:r>
        <w:rPr>
          <w:rFonts w:eastAsiaTheme="minorEastAsia"/>
        </w:rPr>
      </w:r>
      <w:r>
        <w:rPr>
          <w:rFonts w:eastAsiaTheme="minorEastAsia"/>
        </w:rPr>
      </w:r>
    </w:p>
    <w:p>
      <w:pPr>
        <w:ind w:firstLine="708"/>
        <w:jc w:val="both"/>
        <w:rPr>
          <w:rFonts w:eastAsiaTheme="minorEastAsia"/>
        </w:rPr>
      </w:pPr>
      <w:r>
        <w:rPr>
          <w:rFonts w:eastAsiaTheme="minorEastAsia"/>
        </w:rPr>
        <w:t xml:space="preserve">2.</w:t>
      </w:r>
      <w:r>
        <w:rPr>
          <w:rFonts w:eastAsiaTheme="minorEastAsia"/>
        </w:rPr>
        <w:t xml:space="preserve">1. П</w:t>
      </w:r>
      <w:r>
        <w:rPr>
          <w:rFonts w:eastAsiaTheme="minorEastAsia"/>
        </w:rPr>
        <w:t xml:space="preserve">оложение о </w:t>
      </w:r>
      <w:r>
        <w:rPr>
          <w:rFonts w:eastAsiaTheme="minorEastAsia"/>
        </w:rPr>
        <w:t xml:space="preserve">Комиссии </w:t>
      </w:r>
      <w:r>
        <w:rPr>
          <w:rFonts w:eastAsiaTheme="minorEastAsia"/>
        </w:rPr>
        <w:t xml:space="preserve">согласно приложению 1</w:t>
      </w:r>
      <w:r>
        <w:rPr>
          <w:rFonts w:eastAsiaTheme="minorEastAsia"/>
        </w:rPr>
        <w:t xml:space="preserve"> к настоящему постановлению.</w:t>
      </w:r>
      <w:r>
        <w:rPr>
          <w:rFonts w:eastAsiaTheme="minorEastAsia"/>
        </w:rPr>
      </w:r>
      <w:r>
        <w:rPr>
          <w:rFonts w:eastAsiaTheme="minorEastAsia"/>
        </w:rPr>
      </w:r>
    </w:p>
    <w:p>
      <w:pPr>
        <w:ind w:firstLine="708"/>
        <w:jc w:val="both"/>
        <w:rPr>
          <w:rFonts w:eastAsiaTheme="minorEastAsia"/>
        </w:rPr>
      </w:pPr>
      <w:r>
        <w:rPr>
          <w:rFonts w:eastAsiaTheme="minorEastAsia"/>
        </w:rPr>
        <w:t xml:space="preserve">2.2. С</w:t>
      </w:r>
      <w:r>
        <w:rPr>
          <w:rFonts w:eastAsiaTheme="minorEastAsia"/>
        </w:rPr>
        <w:t xml:space="preserve">остав </w:t>
      </w:r>
      <w:r>
        <w:rPr>
          <w:rFonts w:eastAsiaTheme="minorEastAsia"/>
        </w:rPr>
        <w:t xml:space="preserve">К</w:t>
      </w:r>
      <w:r>
        <w:rPr>
          <w:rFonts w:eastAsiaTheme="minorEastAsia"/>
        </w:rPr>
        <w:t xml:space="preserve">омиссии согласно приложению 2</w:t>
      </w:r>
      <w:r>
        <w:rPr>
          <w:rFonts w:eastAsiaTheme="minorEastAsia"/>
        </w:rPr>
        <w:t xml:space="preserve"> к настоящему постановлению.</w:t>
      </w:r>
      <w:r>
        <w:rPr>
          <w:rFonts w:eastAsiaTheme="minorEastAsia"/>
        </w:rPr>
      </w:r>
      <w:r>
        <w:rPr>
          <w:rFonts w:eastAsiaTheme="minorEastAsia"/>
        </w:rPr>
      </w:r>
    </w:p>
    <w:p>
      <w:pPr>
        <w:ind w:firstLine="708"/>
        <w:jc w:val="both"/>
        <w:rPr>
          <w:rFonts w:eastAsiaTheme="minorEastAsia"/>
        </w:rPr>
      </w:pPr>
      <w:r>
        <w:rPr>
          <w:rFonts w:eastAsiaTheme="minorEastAsia"/>
        </w:rPr>
        <w:t xml:space="preserve">2.3. П</w:t>
      </w:r>
      <w:r>
        <w:rPr>
          <w:rFonts w:eastAsiaTheme="minorEastAsia"/>
        </w:rPr>
        <w:t xml:space="preserve">лан работы </w:t>
      </w:r>
      <w:r>
        <w:rPr>
          <w:rFonts w:eastAsiaTheme="minorEastAsia"/>
        </w:rPr>
        <w:t xml:space="preserve">К</w:t>
      </w:r>
      <w:r>
        <w:rPr>
          <w:rFonts w:eastAsiaTheme="minorEastAsia"/>
        </w:rPr>
        <w:t xml:space="preserve">омиссии согласно приложению 3</w:t>
      </w:r>
      <w:r>
        <w:rPr>
          <w:rFonts w:eastAsiaTheme="minorEastAsia"/>
        </w:rPr>
        <w:t xml:space="preserve"> к настоящему постановлению.</w:t>
      </w:r>
      <w:r>
        <w:rPr>
          <w:rFonts w:eastAsiaTheme="minorEastAsia"/>
        </w:rPr>
      </w:r>
      <w:r>
        <w:rPr>
          <w:rFonts w:eastAsiaTheme="minorEastAsia"/>
        </w:rPr>
      </w:r>
    </w:p>
    <w:p>
      <w:pPr>
        <w:ind w:firstLine="708"/>
        <w:jc w:val="both"/>
      </w:pPr>
      <w:r>
        <w:rPr>
          <w:rFonts w:eastAsiaTheme="minorEastAsia"/>
        </w:rPr>
        <w:t xml:space="preserve">3</w:t>
      </w:r>
      <w:r>
        <w:rPr>
          <w:rFonts w:eastAsiaTheme="minorEastAsia"/>
        </w:rPr>
        <w:t xml:space="preserve">. </w:t>
      </w:r>
      <w:r>
        <w:t xml:space="preserve">Настоящее постановление вступает в силу после его подписания</w:t>
      </w:r>
      <w:r>
        <w:t xml:space="preserve">. </w:t>
      </w:r>
      <w:r/>
    </w:p>
    <w:p>
      <w:pPr>
        <w:ind w:firstLine="708"/>
        <w:jc w:val="both"/>
      </w:pPr>
      <w:r>
        <w:t xml:space="preserve">4</w:t>
      </w:r>
      <w:r>
        <w:t xml:space="preserve">. </w:t>
      </w:r>
      <w:r>
        <w:t xml:space="preserve">Настоящее разместить на официальном сайте Печенгского муниципального округа </w:t>
      </w:r>
      <w:hyperlink r:id="rId11" w:tooltip="http://pechengamr.gov-murman.ru/" w:history="1">
        <w:r>
          <w:t xml:space="preserve">http://pechengamr.gov-murman.ru/</w:t>
        </w:r>
      </w:hyperlink>
      <w:r>
        <w:t xml:space="preserve">.</w:t>
      </w:r>
      <w:r/>
    </w:p>
    <w:p>
      <w:pPr>
        <w:ind w:firstLine="709"/>
        <w:jc w:val="both"/>
      </w:pPr>
      <w:r/>
      <w:r/>
    </w:p>
    <w:p>
      <w:pPr>
        <w:jc w:val="both"/>
      </w:pPr>
      <w:r/>
      <w:r/>
    </w:p>
    <w:p>
      <w:pPr>
        <w:jc w:val="both"/>
        <w:widowControl/>
      </w:pPr>
      <w:r>
        <w:t xml:space="preserve">Глава</w:t>
      </w:r>
      <w:r>
        <w:t xml:space="preserve"> </w:t>
      </w:r>
      <w:r>
        <w:t xml:space="preserve">Печенгского</w:t>
      </w:r>
      <w:r>
        <w:t xml:space="preserve"> </w:t>
      </w:r>
      <w:r>
        <w:t xml:space="preserve">муниципального</w:t>
      </w:r>
      <w:r>
        <w:t xml:space="preserve"> </w:t>
      </w:r>
      <w:r>
        <w:t xml:space="preserve">округа</w:t>
      </w:r>
      <w:r>
        <w:t xml:space="preserve">                                                                           А.В. </w:t>
      </w:r>
      <w:r>
        <w:t xml:space="preserve">Кузнецов</w:t>
      </w: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highlight w:val="none"/>
        </w:rPr>
      </w:r>
      <w:r>
        <w:rPr>
          <w:sz w:val="20"/>
          <w:szCs w:val="20"/>
          <w:highlight w:val="none"/>
        </w:rPr>
      </w:r>
      <w:r>
        <w:rPr>
          <w:sz w:val="20"/>
          <w:szCs w:val="20"/>
        </w:rPr>
      </w:r>
    </w:p>
    <w:p>
      <w:pPr>
        <w:rPr>
          <w:sz w:val="20"/>
          <w:szCs w:val="20"/>
          <w:highlight w:val="none"/>
        </w:rPr>
      </w:pPr>
      <w:r>
        <w:rPr>
          <w:sz w:val="20"/>
          <w:szCs w:val="20"/>
          <w:highlight w:val="none"/>
        </w:rPr>
      </w:r>
      <w:r>
        <w:rPr>
          <w:sz w:val="20"/>
          <w:szCs w:val="20"/>
          <w:highlight w:val="none"/>
        </w:rPr>
      </w:r>
      <w:r>
        <w:rPr>
          <w:sz w:val="20"/>
          <w:szCs w:val="20"/>
          <w:highlight w:val="none"/>
        </w:rPr>
      </w:r>
    </w:p>
    <w:p>
      <w:pPr>
        <w:rPr>
          <w:sz w:val="20"/>
          <w:szCs w:val="20"/>
          <w:highlight w:val="none"/>
        </w:rPr>
      </w:pPr>
      <w:r>
        <w:rPr>
          <w:sz w:val="20"/>
          <w:szCs w:val="20"/>
        </w:rPr>
        <w:t xml:space="preserve">Князева Э.Г., 60623</w:t>
      </w:r>
      <w:r>
        <w:rPr>
          <w:sz w:val="20"/>
          <w:szCs w:val="20"/>
          <w:highlight w:val="none"/>
        </w:rPr>
      </w:r>
      <w:r>
        <w:rPr>
          <w:sz w:val="20"/>
          <w:szCs w:val="20"/>
          <w:highlight w:val="none"/>
        </w:rPr>
      </w:r>
    </w:p>
    <w:tbl>
      <w:tblPr>
        <w:tblStyle w:val="989"/>
        <w:tblW w:w="9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pPr>
              <w:jc w:val="center"/>
              <w:widowControl/>
              <w:rPr>
                <w:b/>
                <w:sz w:val="28"/>
                <w:szCs w:val="20"/>
              </w:rPr>
            </w:pPr>
            <w:r>
              <w:rPr>
                <w:b/>
                <w:sz w:val="28"/>
                <w:szCs w:val="20"/>
              </w:rPr>
            </w:r>
            <w:r>
              <w:rPr>
                <w:b/>
                <w:sz w:val="28"/>
                <w:szCs w:val="20"/>
              </w:rPr>
            </w:r>
            <w:r>
              <w:rPr>
                <w:b/>
                <w:sz w:val="28"/>
                <w:szCs w:val="20"/>
              </w:rPr>
            </w:r>
          </w:p>
        </w:tc>
        <w:tc>
          <w:tcPr>
            <w:tcW w:w="2258" w:type="dxa"/>
            <w:textDirection w:val="lrTb"/>
            <w:noWrap w:val="false"/>
          </w:tcPr>
          <w:p>
            <w:pP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tc>
        <w:tc>
          <w:tcPr>
            <w:tcW w:w="4066" w:type="dxa"/>
            <w:textDirection w:val="lrTb"/>
            <w:noWrap w:val="false"/>
          </w:tcPr>
          <w:p>
            <w:pPr>
              <w:widowControl/>
            </w:pPr>
            <w:r>
              <w:t xml:space="preserve">Приложение 1</w:t>
            </w:r>
            <w:r/>
          </w:p>
          <w:p>
            <w:pPr>
              <w:widowControl/>
            </w:pPr>
            <w:r>
              <w:t xml:space="preserve">к постановлению администрации Печенгского муниципального округа</w:t>
            </w:r>
            <w:r/>
          </w:p>
          <w:p>
            <w:pPr>
              <w:widowControl/>
              <w:rPr>
                <w:b/>
                <w:sz w:val="28"/>
                <w:szCs w:val="20"/>
              </w:rPr>
            </w:pPr>
            <w:r>
              <w:t xml:space="preserve">от 17.09.2025 № 1479</w:t>
            </w:r>
            <w:r>
              <w:rPr>
                <w:b/>
                <w:sz w:val="28"/>
                <w:szCs w:val="20"/>
              </w:rPr>
            </w:r>
            <w:r>
              <w:rPr>
                <w:b/>
                <w:sz w:val="28"/>
                <w:szCs w:val="20"/>
              </w:rPr>
            </w:r>
          </w:p>
        </w:tc>
      </w:tr>
    </w:tbl>
    <w:p>
      <w:pP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t xml:space="preserve">ПОЛОЖЕНИЕ</w:t>
      </w:r>
      <w:r>
        <w:rPr>
          <w:b/>
        </w:rPr>
      </w:r>
      <w:r>
        <w:rPr>
          <w:b/>
        </w:rPr>
      </w:r>
    </w:p>
    <w:p>
      <w:pPr>
        <w:jc w:val="center"/>
        <w:widowControl/>
        <w:rPr>
          <w:b/>
        </w:rPr>
      </w:pPr>
      <w:r>
        <w:rPr>
          <w:b/>
        </w:rPr>
        <w:t xml:space="preserve">о комиссии </w:t>
      </w:r>
      <w:r>
        <w:rPr>
          <w:b/>
        </w:rPr>
        <w:t xml:space="preserve">по проведению инвентаризации улично-дорожной сети опорного населенного пункта </w:t>
      </w:r>
      <w:r>
        <w:rPr>
          <w:b/>
        </w:rPr>
        <w:t xml:space="preserve">г</w:t>
      </w:r>
      <w:r>
        <w:rPr>
          <w:b/>
        </w:rPr>
        <w:t xml:space="preserve">. </w:t>
      </w:r>
      <w:r>
        <w:rPr>
          <w:b/>
        </w:rPr>
        <w:t xml:space="preserve">Заполярный </w:t>
      </w:r>
      <w:r>
        <w:rPr>
          <w:b/>
        </w:rPr>
        <w:t xml:space="preserve">и оценки ее технического состояния </w:t>
      </w:r>
      <w:r>
        <w:rPr>
          <w:b/>
        </w:rPr>
      </w:r>
      <w:r>
        <w:rPr>
          <w:b/>
        </w:rPr>
      </w:r>
    </w:p>
    <w:p>
      <w:pPr>
        <w:jc w:val="center"/>
        <w:widowControl/>
        <w:rPr>
          <w:b/>
        </w:rPr>
      </w:pPr>
      <w:r>
        <w:rPr>
          <w:b/>
        </w:rPr>
      </w:r>
      <w:r>
        <w:rPr>
          <w:b/>
        </w:rPr>
      </w:r>
      <w:r>
        <w:rPr>
          <w:b/>
        </w:rPr>
      </w:r>
    </w:p>
    <w:p>
      <w:pPr>
        <w:jc w:val="center"/>
        <w:widowControl/>
        <w:rPr>
          <w:b/>
        </w:rPr>
      </w:pPr>
      <w:r>
        <w:rPr>
          <w:b/>
        </w:rPr>
        <w:t xml:space="preserve">1. Общие положения</w:t>
      </w:r>
      <w:r>
        <w:rPr>
          <w:b/>
        </w:rPr>
      </w:r>
      <w:r>
        <w:rPr>
          <w:b/>
        </w:rPr>
      </w:r>
    </w:p>
    <w:p>
      <w:pPr>
        <w:ind w:firstLine="709"/>
        <w:jc w:val="center"/>
        <w:widowControl/>
        <w:rPr>
          <w:b/>
        </w:rPr>
      </w:pPr>
      <w:r>
        <w:rPr>
          <w:b/>
        </w:rPr>
      </w:r>
      <w:r>
        <w:rPr>
          <w:b/>
        </w:rPr>
      </w:r>
      <w:r>
        <w:rPr>
          <w:b/>
        </w:rPr>
      </w:r>
    </w:p>
    <w:p>
      <w:pPr>
        <w:pStyle w:val="970"/>
        <w:numPr>
          <w:ilvl w:val="0"/>
          <w:numId w:val="30"/>
        </w:numPr>
        <w:ind w:left="0" w:firstLine="709"/>
        <w:jc w:val="both"/>
        <w:rPr>
          <w:rFonts w:eastAsiaTheme="minorEastAsia"/>
        </w:rPr>
      </w:pPr>
      <w:r>
        <w:rPr>
          <w:rFonts w:eastAsiaTheme="minorEastAsia"/>
        </w:rPr>
        <w:t xml:space="preserve">Настоящее Положение</w:t>
      </w:r>
      <w:r>
        <w:rPr>
          <w:rFonts w:eastAsiaTheme="minorEastAsia"/>
        </w:rPr>
        <w:t xml:space="preserve"> о комиссии по проведению инвентаризации улично-дорожной сети опорного населенного пункта </w:t>
      </w:r>
      <w:r>
        <w:rPr>
          <w:rFonts w:eastAsiaTheme="minorEastAsia"/>
        </w:rPr>
        <w:t xml:space="preserve">г</w:t>
      </w:r>
      <w:r>
        <w:rPr>
          <w:rFonts w:eastAsiaTheme="minorEastAsia"/>
        </w:rPr>
        <w:t xml:space="preserve">. </w:t>
      </w:r>
      <w:r>
        <w:rPr>
          <w:rFonts w:eastAsiaTheme="minorEastAsia"/>
        </w:rPr>
        <w:t xml:space="preserve">Заполярный (далее – опорный населенный пункт) </w:t>
      </w:r>
      <w:r>
        <w:rPr>
          <w:rFonts w:eastAsiaTheme="minorEastAsia"/>
        </w:rPr>
        <w:t xml:space="preserve">и оценке ее технического состояния устанавливает цели, задачи, процедуру работы комиссии по проведению инвентаризации улично-дорожной сети опорного населенного пункта и оценке ее технического состояния (далее – Комиссия).</w:t>
      </w:r>
      <w:r>
        <w:rPr>
          <w:rFonts w:eastAsiaTheme="minorEastAsia"/>
        </w:rPr>
      </w:r>
      <w:r>
        <w:rPr>
          <w:rFonts w:eastAsiaTheme="minorEastAsia"/>
        </w:rPr>
      </w:r>
    </w:p>
    <w:p>
      <w:pPr>
        <w:ind w:firstLine="708"/>
        <w:jc w:val="both"/>
        <w:rPr>
          <w:rFonts w:eastAsiaTheme="minorEastAsia"/>
        </w:rPr>
      </w:pPr>
      <w:r>
        <w:rPr>
          <w:rFonts w:eastAsiaTheme="minorEastAsia"/>
        </w:rPr>
        <w:t xml:space="preserve">1.2. В своей деятельности Комиссия руководствуется </w:t>
      </w:r>
      <w:r>
        <w:rPr>
          <w:rFonts w:eastAsiaTheme="minorEastAsia"/>
        </w:rPr>
        <w:t xml:space="preserve">Федеральным законом </w:t>
        <w:br/>
        <w:t xml:space="preserve">от 10.12.1995 «О безопасности дорожного движения», </w:t>
      </w:r>
      <w:r>
        <w:rPr>
          <w:rFonts w:eastAsiaTheme="minorEastAsia"/>
        </w:rPr>
        <w:t xml:space="preserve">Федеральным законом от </w:t>
      </w:r>
      <w:r>
        <w:rPr>
          <w:rFonts w:eastAsiaTheme="minorEastAsia"/>
        </w:rPr>
        <w:t xml:space="preserve">08.11.2007 № </w:t>
      </w:r>
      <w:r>
        <w:rPr>
          <w:rFonts w:eastAsiaTheme="minorEastAsia"/>
        </w:rPr>
        <w:t xml:space="preserve">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распоряжением министерства транспорта Российской Федерации от 30.04.2025 №</w:t>
      </w:r>
      <w:r>
        <w:rPr>
          <w:rFonts w:eastAsiaTheme="minorEastAsia"/>
        </w:rPr>
        <w:t xml:space="preserve"> </w:t>
      </w:r>
      <w:r>
        <w:rPr>
          <w:rFonts w:eastAsiaTheme="minorEastAsia"/>
        </w:rPr>
        <w:t xml:space="preserve">ВИ-89-р «Об утверждении Методики проведения инвентаризации улично-дорожной сети опорного населенного пункта и оценки ее технического состояния, определения границ населенных пунктов», а также настоящим Положением.</w:t>
      </w:r>
      <w:r>
        <w:rPr>
          <w:rFonts w:eastAsiaTheme="minorEastAsia"/>
        </w:rPr>
      </w:r>
      <w:r>
        <w:rPr>
          <w:rFonts w:eastAsiaTheme="minorEastAsia"/>
        </w:rPr>
      </w:r>
    </w:p>
    <w:p>
      <w:pPr>
        <w:ind w:firstLine="708"/>
        <w:jc w:val="both"/>
        <w:rPr>
          <w:rFonts w:eastAsiaTheme="minorEastAsia"/>
        </w:rPr>
      </w:pPr>
      <w:r>
        <w:rPr>
          <w:rFonts w:eastAsiaTheme="minorEastAsia"/>
        </w:rPr>
      </w:r>
      <w:r>
        <w:rPr>
          <w:rFonts w:eastAsiaTheme="minorEastAsia"/>
        </w:rPr>
      </w:r>
      <w:r>
        <w:rPr>
          <w:rFonts w:eastAsiaTheme="minorEastAsia"/>
        </w:rPr>
      </w:r>
    </w:p>
    <w:p>
      <w:pPr>
        <w:jc w:val="center"/>
        <w:widowControl/>
        <w:rPr>
          <w:b/>
        </w:rPr>
      </w:pPr>
      <w:r>
        <w:rPr>
          <w:b/>
        </w:rPr>
        <w:t xml:space="preserve">2. Задачи и функции Комиссии</w:t>
      </w:r>
      <w:r>
        <w:rPr>
          <w:b/>
        </w:rPr>
      </w:r>
      <w:r>
        <w:rPr>
          <w:b/>
        </w:rPr>
      </w:r>
    </w:p>
    <w:p>
      <w:pPr>
        <w:jc w:val="center"/>
        <w:widowControl/>
        <w:rPr>
          <w:b/>
        </w:rPr>
      </w:pPr>
      <w:r>
        <w:rPr>
          <w:b/>
        </w:rPr>
      </w:r>
      <w:r>
        <w:rPr>
          <w:b/>
        </w:rPr>
      </w:r>
      <w:r>
        <w:rPr>
          <w:b/>
        </w:rPr>
      </w:r>
    </w:p>
    <w:p>
      <w:pPr>
        <w:ind w:left="0" w:right="0" w:firstLine="709"/>
        <w:jc w:val="both"/>
        <w:rPr>
          <w:rFonts w:eastAsiaTheme="minorEastAsia"/>
        </w:rPr>
      </w:pPr>
      <w:r>
        <w:rPr>
          <w:rFonts w:eastAsiaTheme="minorEastAsia"/>
        </w:rPr>
        <w:t xml:space="preserve">2.1. Основной задачей Комиссии является проведение инвентаризации улично-дорожной сети, мероприятий по уточнению информации о наименованиях автомобильных дорог, их протяженности, идентификационных номерах, значении в системе контроля за </w:t>
      </w:r>
      <w:r>
        <w:rPr>
          <w:rFonts w:eastAsiaTheme="minorEastAsia"/>
        </w:rPr>
        <w:t xml:space="preserve">формированием и использованием средств дорожных фондов </w:t>
      </w:r>
      <w:r>
        <w:rPr>
          <w:rFonts w:eastAsiaTheme="minorEastAsia"/>
        </w:rPr>
        <w:t xml:space="preserve">(далее – система контроля</w:t>
      </w:r>
      <w:r>
        <w:rPr>
          <w:rFonts w:eastAsiaTheme="minorEastAsia"/>
        </w:rPr>
        <w:t xml:space="preserve">)</w:t>
      </w:r>
      <w:r>
        <w:rPr>
          <w:rFonts w:eastAsiaTheme="minorEastAsia"/>
        </w:rPr>
        <w:t xml:space="preserve">, геометрических параметрах автомобильных дорог, типах и состоянии покрытий и данных о техническом состоянии автомобильных дорог.</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2.2. Комиссия осуществляет следующие функции:</w:t>
      </w:r>
      <w:r>
        <w:rPr>
          <w:rFonts w:eastAsiaTheme="minorEastAsia"/>
        </w:rPr>
      </w:r>
      <w:r>
        <w:rPr>
          <w:rFonts w:eastAsiaTheme="minorEastAsia"/>
        </w:rPr>
      </w:r>
    </w:p>
    <w:p>
      <w:pPr>
        <w:ind w:left="0" w:right="0" w:firstLine="709"/>
        <w:jc w:val="both"/>
        <w:rPr>
          <w:rFonts w:eastAsiaTheme="minorEastAsia"/>
        </w:rPr>
      </w:pPr>
      <w:r>
        <w:rPr>
          <w:rFonts w:eastAsiaTheme="minorEastAsia"/>
        </w:rPr>
        <w:t xml:space="preserve">2.2.1.</w:t>
      </w:r>
      <w:r>
        <w:rPr>
          <w:rFonts w:eastAsiaTheme="minorEastAsia"/>
        </w:rPr>
        <w:t xml:space="preserve"> </w:t>
      </w:r>
      <w:r>
        <w:rPr>
          <w:rFonts w:eastAsiaTheme="minorEastAsia"/>
        </w:rPr>
        <w:t xml:space="preserve">Проводит инвентаризацию улично-дорожной сети опорного населенного пункта</w:t>
      </w:r>
      <w:r>
        <w:rPr>
          <w:rFonts w:eastAsiaTheme="minorEastAsia"/>
        </w:rPr>
        <w:t xml:space="preserve"> </w:t>
      </w:r>
      <w:r>
        <w:rPr>
          <w:rFonts w:eastAsiaTheme="minorEastAsia"/>
        </w:rPr>
        <w:t xml:space="preserve">путем натурного обследования автомобильных дорог.</w:t>
      </w:r>
      <w:r>
        <w:rPr>
          <w:rFonts w:eastAsiaTheme="minorEastAsia"/>
        </w:rPr>
      </w:r>
      <w:r>
        <w:rPr>
          <w:rFonts w:eastAsiaTheme="minorEastAsia"/>
        </w:rPr>
      </w:r>
    </w:p>
    <w:p>
      <w:pPr>
        <w:pStyle w:val="982"/>
        <w:ind w:left="0" w:right="0" w:firstLine="709"/>
        <w:jc w:val="both"/>
        <w:spacing w:before="0" w:beforeAutospacing="0" w:after="0" w:afterAutospacing="0" w:line="288" w:lineRule="atLeast"/>
      </w:pPr>
      <w:r>
        <w:rPr>
          <w:rFonts w:eastAsiaTheme="minorEastAsia"/>
        </w:rPr>
        <w:t xml:space="preserve">Инвентаризация улично-дорожной сети опорного населенного пункта также осуществляется в отношении автомобильных дорог, на которые отсутствуют технические паспорта, сформированные в соответствии с ГОСТ Р 71360-2024 «</w:t>
      </w:r>
      <w:r>
        <w:t xml:space="preserve">Национальный стандарт Российской Федерации. Дороги автомобильные общего пользования. Технический учет и паспортизация. Общие технические требования</w:t>
      </w:r>
      <w:r>
        <w:t xml:space="preserve">»</w:t>
      </w:r>
      <w:r>
        <w:t xml:space="preserve">, или данные в них не являются актуальными.</w:t>
      </w:r>
      <w:r/>
    </w:p>
    <w:p>
      <w:pPr>
        <w:pStyle w:val="982"/>
        <w:ind w:left="0" w:right="0" w:firstLine="709"/>
        <w:jc w:val="both"/>
        <w:spacing w:before="0" w:beforeAutospacing="0" w:after="0" w:afterAutospacing="0" w:line="288" w:lineRule="atLeast"/>
        <w:rPr>
          <w:rFonts w:eastAsiaTheme="minorEastAsia"/>
        </w:rPr>
      </w:pPr>
      <w:r>
        <w:rPr>
          <w:rFonts w:eastAsiaTheme="minorEastAsia"/>
        </w:rPr>
        <w:t xml:space="preserve">2.2.</w:t>
      </w:r>
      <w:r>
        <w:rPr>
          <w:rFonts w:eastAsiaTheme="minorEastAsia"/>
        </w:rPr>
        <w:t xml:space="preserve">2</w:t>
      </w:r>
      <w:r>
        <w:rPr>
          <w:rFonts w:eastAsiaTheme="minorEastAsia"/>
        </w:rPr>
        <w:t xml:space="preserve">.</w:t>
      </w:r>
      <w:r>
        <w:rPr>
          <w:rFonts w:eastAsiaTheme="minorEastAsia"/>
        </w:rPr>
        <w:t xml:space="preserve"> </w:t>
      </w:r>
      <w:r>
        <w:rPr>
          <w:rFonts w:eastAsiaTheme="minorEastAsia"/>
        </w:rPr>
        <w:t xml:space="preserve">Выявляет </w:t>
      </w:r>
      <w:r>
        <w:rPr>
          <w:rFonts w:eastAsiaTheme="minorEastAsia"/>
        </w:rPr>
        <w:t xml:space="preserve">недостатки, несоответствия и противоречия в ходе ознакомления с документами и сведениями, а также изменения транспортно-эксплуатационных показателей автомобильных дорог.</w:t>
      </w:r>
      <w:r>
        <w:rPr>
          <w:rFonts w:eastAsiaTheme="minorEastAsia"/>
        </w:rPr>
      </w:r>
      <w:r>
        <w:rPr>
          <w:rFonts w:eastAsiaTheme="minorEastAsia"/>
        </w:rPr>
      </w:r>
    </w:p>
    <w:p>
      <w:pPr>
        <w:pStyle w:val="982"/>
        <w:ind w:left="0" w:right="0" w:firstLine="709"/>
        <w:jc w:val="both"/>
        <w:spacing w:before="0" w:beforeAutospacing="0" w:after="0" w:afterAutospacing="0" w:line="288" w:lineRule="atLeast"/>
        <w:rPr>
          <w:rFonts w:eastAsiaTheme="minorEastAsia"/>
        </w:rPr>
      </w:pPr>
      <w:r>
        <w:rPr>
          <w:rFonts w:eastAsiaTheme="minorEastAsia"/>
        </w:rPr>
        <w:t xml:space="preserve">2.2.3. Формирует общее решение по результатам заседания Комиссии.</w:t>
      </w:r>
      <w:r>
        <w:rPr>
          <w:rFonts w:eastAsiaTheme="minorEastAsia"/>
        </w:rPr>
      </w:r>
      <w:r>
        <w:rPr>
          <w:rFonts w:eastAsiaTheme="minorEastAsia"/>
        </w:rPr>
      </w:r>
    </w:p>
    <w:p>
      <w:pPr>
        <w:jc w:val="center"/>
        <w:widowControl/>
        <w:rPr>
          <w:b/>
        </w:rPr>
      </w:pPr>
      <w:r>
        <w:rPr>
          <w:b/>
        </w:rPr>
      </w:r>
      <w:r>
        <w:rPr>
          <w:b/>
        </w:rPr>
      </w:r>
      <w:r>
        <w:rPr>
          <w:b/>
        </w:rPr>
      </w:r>
    </w:p>
    <w:p>
      <w:pPr>
        <w:jc w:val="center"/>
        <w:widowControl/>
        <w:rPr>
          <w:b/>
        </w:rPr>
      </w:pPr>
      <w:r>
        <w:rPr>
          <w:b/>
        </w:rPr>
        <w:t xml:space="preserve">3. Состав</w:t>
      </w:r>
      <w:r>
        <w:rPr>
          <w:b/>
        </w:rPr>
        <w:t xml:space="preserve">,</w:t>
      </w:r>
      <w:r>
        <w:rPr>
          <w:b/>
        </w:rPr>
        <w:t xml:space="preserve"> полномочия</w:t>
      </w:r>
      <w:r>
        <w:rPr>
          <w:b/>
        </w:rPr>
        <w:t xml:space="preserve"> и порядок работы</w:t>
      </w:r>
      <w:r>
        <w:rPr>
          <w:b/>
        </w:rPr>
        <w:t xml:space="preserve"> Комиссии</w:t>
      </w:r>
      <w:r>
        <w:rPr>
          <w:b/>
        </w:rPr>
      </w:r>
      <w:r>
        <w:rPr>
          <w:b/>
        </w:rPr>
      </w:r>
    </w:p>
    <w:p>
      <w:pPr>
        <w:jc w:val="center"/>
        <w:widowControl/>
        <w:rPr>
          <w:b/>
        </w:rPr>
      </w:pPr>
      <w:r>
        <w:rPr>
          <w:b/>
        </w:rPr>
      </w:r>
      <w:r>
        <w:rPr>
          <w:b/>
        </w:rPr>
      </w:r>
      <w:r>
        <w:rPr>
          <w:b/>
        </w:rPr>
      </w:r>
    </w:p>
    <w:p>
      <w:pPr>
        <w:pStyle w:val="982"/>
        <w:ind w:left="0" w:right="0" w:firstLine="0"/>
        <w:jc w:val="both"/>
        <w:spacing w:before="0" w:beforeAutospacing="0" w:after="0" w:afterAutospacing="0" w:line="288" w:lineRule="atLeast"/>
        <w:rPr>
          <w:rFonts w:eastAsiaTheme="minorEastAsia"/>
        </w:rPr>
      </w:pPr>
      <w:r>
        <w:rPr>
          <w:rFonts w:eastAsiaTheme="minorEastAsia"/>
        </w:rPr>
        <w:tab/>
        <w:t xml:space="preserve">3.1. </w:t>
      </w:r>
      <w:r>
        <w:rPr>
          <w:rFonts w:eastAsiaTheme="minorEastAsia"/>
        </w:rPr>
        <w:t xml:space="preserve">Состав Комиссии формируется из </w:t>
      </w:r>
      <w:r>
        <w:rPr>
          <w:rFonts w:eastAsiaTheme="minorEastAsia"/>
        </w:rPr>
        <w:t xml:space="preserve">числа сотрудников администрации Печенгского муниципального округа и </w:t>
      </w:r>
      <w:r>
        <w:rPr>
          <w:rFonts w:eastAsiaTheme="minorEastAsia"/>
        </w:rPr>
        <w:t xml:space="preserve">представителей подведомственных организаций</w:t>
      </w:r>
      <w:r>
        <w:rPr>
          <w:rFonts w:eastAsiaTheme="minorEastAsia"/>
        </w:rPr>
        <w:t xml:space="preserve">.</w:t>
      </w:r>
      <w:r>
        <w:rPr>
          <w:rFonts w:eastAsiaTheme="minorEastAsia"/>
        </w:rPr>
      </w:r>
      <w:r>
        <w:rPr>
          <w:rFonts w:eastAsiaTheme="minorEastAsia"/>
        </w:rPr>
      </w:r>
    </w:p>
    <w:p>
      <w:pPr>
        <w:pStyle w:val="982"/>
        <w:jc w:val="both"/>
        <w:spacing w:before="0" w:beforeAutospacing="0" w:after="0" w:afterAutospacing="0" w:line="288" w:lineRule="atLeast"/>
      </w:pPr>
      <w:r>
        <w:rPr>
          <w:rFonts w:eastAsiaTheme="minorEastAsia"/>
        </w:rPr>
        <w:tab/>
        <w:t xml:space="preserve">3.2. </w:t>
      </w:r>
      <w:r>
        <w:t xml:space="preserve">В состав Комиссии </w:t>
      </w:r>
      <w:r>
        <w:t xml:space="preserve">должно входить </w:t>
      </w:r>
      <w:r>
        <w:t xml:space="preserve">не менее 5 человек, в том числе председатель комиссии, заместитель председателя комиссии, секретарь комиссии и члены комиссии. Все члены комиссии при принятии решений обладают равными правами.</w:t>
      </w:r>
      <w:r/>
    </w:p>
    <w:p>
      <w:pPr>
        <w:pStyle w:val="982"/>
        <w:jc w:val="both"/>
        <w:spacing w:before="0" w:beforeAutospacing="0" w:after="0" w:afterAutospacing="0" w:line="288" w:lineRule="atLeast"/>
      </w:pPr>
      <w:r>
        <w:tab/>
      </w:r>
      <w:r>
        <w:rPr>
          <w:shd w:val="clear" w:color="auto" w:fill="ffffff"/>
        </w:rPr>
        <w:t xml:space="preserve">В случае отсутствия члена </w:t>
      </w:r>
      <w:r>
        <w:rPr>
          <w:shd w:val="clear" w:color="auto" w:fill="ffffff"/>
        </w:rPr>
        <w:t xml:space="preserve">К</w:t>
      </w:r>
      <w:r>
        <w:rPr>
          <w:shd w:val="clear" w:color="auto" w:fill="ffffff"/>
        </w:rPr>
        <w:t xml:space="preserve">омиссии (болезнь, командировка, отпуск, иные уважительные причины) его заменяет лицо, на которые возложено исполнение обязанностей в соответствии с распоряжением (приказом)</w:t>
      </w:r>
      <w:r>
        <w:rPr>
          <w:shd w:val="clear" w:color="auto" w:fill="ffffff"/>
        </w:rPr>
        <w:t xml:space="preserve">.</w:t>
      </w:r>
      <w:r/>
    </w:p>
    <w:p>
      <w:pPr>
        <w:pStyle w:val="982"/>
        <w:jc w:val="both"/>
        <w:spacing w:before="0" w:beforeAutospacing="0" w:after="0" w:afterAutospacing="0" w:line="288" w:lineRule="atLeast"/>
      </w:pPr>
      <w:r>
        <w:tab/>
        <w:t xml:space="preserve">3.3. П</w:t>
      </w:r>
      <w:r>
        <w:t xml:space="preserve">редседатель Комиссии:</w:t>
      </w:r>
      <w:r/>
    </w:p>
    <w:p>
      <w:pPr>
        <w:pStyle w:val="982"/>
        <w:jc w:val="both"/>
        <w:spacing w:before="0" w:beforeAutospacing="0" w:after="0" w:afterAutospacing="0" w:line="288" w:lineRule="atLeast"/>
      </w:pPr>
      <w:r>
        <w:tab/>
        <w:t xml:space="preserve">1)</w:t>
      </w:r>
      <w:r>
        <w:t xml:space="preserve"> о</w:t>
      </w:r>
      <w:r>
        <w:t xml:space="preserve">существляет руководство деятельностью </w:t>
      </w:r>
      <w:r>
        <w:t xml:space="preserve">Комиссии,</w:t>
      </w:r>
      <w:r>
        <w:t xml:space="preserve"> а в его отсутствие – заместитель </w:t>
      </w:r>
      <w:r>
        <w:t xml:space="preserve">председателя;</w:t>
      </w:r>
      <w:r/>
    </w:p>
    <w:p>
      <w:pPr>
        <w:pStyle w:val="982"/>
        <w:jc w:val="both"/>
        <w:spacing w:before="0" w:beforeAutospacing="0" w:after="0" w:afterAutospacing="0" w:line="288" w:lineRule="atLeast"/>
      </w:pPr>
      <w:r>
        <w:tab/>
        <w:t xml:space="preserve">2) ведет заседание Комиссии;</w:t>
      </w:r>
      <w:r/>
    </w:p>
    <w:p>
      <w:pPr>
        <w:pStyle w:val="982"/>
        <w:jc w:val="both"/>
        <w:spacing w:before="0" w:beforeAutospacing="0" w:after="0" w:afterAutospacing="0" w:line="288" w:lineRule="atLeast"/>
      </w:pPr>
      <w:r>
        <w:tab/>
        <w:t xml:space="preserve">3) организует и координирует работу Комиссии;</w:t>
      </w:r>
      <w:r/>
    </w:p>
    <w:p>
      <w:pPr>
        <w:pStyle w:val="982"/>
        <w:jc w:val="both"/>
        <w:spacing w:before="0" w:beforeAutospacing="0" w:after="0" w:afterAutospacing="0" w:line="288" w:lineRule="atLeast"/>
      </w:pPr>
      <w:r>
        <w:tab/>
        <w:t xml:space="preserve">4) осуществляет общий контроль за реализацией принятых Комиссией решений и предложений.</w:t>
      </w:r>
      <w:r/>
    </w:p>
    <w:p>
      <w:pPr>
        <w:pStyle w:val="982"/>
        <w:jc w:val="both"/>
        <w:spacing w:before="0" w:beforeAutospacing="0" w:after="0" w:afterAutospacing="0" w:line="288" w:lineRule="atLeast"/>
      </w:pPr>
      <w:r>
        <w:tab/>
        <w:t xml:space="preserve">3.4. Секретарь Комиссии:</w:t>
      </w:r>
      <w:r/>
    </w:p>
    <w:p>
      <w:pPr>
        <w:pStyle w:val="982"/>
        <w:jc w:val="both"/>
        <w:spacing w:before="0" w:beforeAutospacing="0" w:after="0" w:afterAutospacing="0" w:line="288" w:lineRule="atLeast"/>
      </w:pPr>
      <w:r>
        <w:tab/>
        <w:t xml:space="preserve">1) оповещает членов Комиссии о времени и месте проведений заседаний;</w:t>
      </w:r>
      <w:r/>
    </w:p>
    <w:p>
      <w:pPr>
        <w:pStyle w:val="982"/>
        <w:jc w:val="both"/>
        <w:spacing w:before="0" w:beforeAutospacing="0" w:after="0" w:afterAutospacing="0" w:line="288" w:lineRule="atLeast"/>
      </w:pPr>
      <w:r>
        <w:tab/>
        <w:t xml:space="preserve">2) осуществляет делопроизводство в Комиссии;</w:t>
      </w:r>
      <w:r/>
    </w:p>
    <w:p>
      <w:pPr>
        <w:pStyle w:val="982"/>
        <w:jc w:val="both"/>
        <w:spacing w:before="0" w:beforeAutospacing="0" w:after="0" w:afterAutospacing="0" w:line="288" w:lineRule="atLeast"/>
      </w:pPr>
      <w:r>
        <w:tab/>
        <w:t xml:space="preserve">3) ведет и оформляет протоколы заседаний Комиссии.</w:t>
      </w:r>
      <w:r/>
    </w:p>
    <w:p>
      <w:pPr>
        <w:pStyle w:val="982"/>
        <w:jc w:val="both"/>
        <w:spacing w:before="0" w:beforeAutospacing="0" w:after="0" w:afterAutospacing="0" w:line="288" w:lineRule="atLeast"/>
      </w:pPr>
      <w:r>
        <w:tab/>
        <w:t xml:space="preserve">3.5. В период временного отсутствия секретаря Комиссии его функции возлагаются на одного из членов Комиссии, определенного председателем Комиссии.</w:t>
      </w:r>
      <w:r/>
    </w:p>
    <w:p>
      <w:pPr>
        <w:pStyle w:val="982"/>
        <w:ind w:firstLine="540"/>
        <w:jc w:val="both"/>
        <w:spacing w:before="0" w:beforeAutospacing="0" w:after="0" w:afterAutospacing="0" w:line="288" w:lineRule="atLeast"/>
      </w:pPr>
      <w:r>
        <w:tab/>
        <w:t xml:space="preserve">3.</w:t>
      </w:r>
      <w:r>
        <w:t xml:space="preserve">6</w:t>
      </w:r>
      <w:r>
        <w:t xml:space="preserve">. Основной формой деятельности Комиссии являются заседания</w:t>
      </w:r>
      <w:r>
        <w:t xml:space="preserve">, о месте, дате и времени которых членов </w:t>
      </w:r>
      <w:r>
        <w:t xml:space="preserve">К</w:t>
      </w:r>
      <w:r>
        <w:t xml:space="preserve">омиссии уведомляют не позднее чем за три рабочих дня до даты очередного заседания.</w:t>
      </w:r>
      <w:r/>
    </w:p>
    <w:p>
      <w:pPr>
        <w:pStyle w:val="982"/>
        <w:ind w:firstLine="540"/>
        <w:jc w:val="both"/>
        <w:spacing w:before="0" w:beforeAutospacing="0" w:after="0" w:afterAutospacing="0" w:line="288" w:lineRule="atLeast"/>
      </w:pPr>
      <w:r>
        <w:t xml:space="preserve"> </w:t>
      </w:r>
      <w:r>
        <w:tab/>
        <w:t xml:space="preserve">3.</w:t>
      </w:r>
      <w:r>
        <w:t xml:space="preserve">7</w:t>
      </w:r>
      <w:r>
        <w:t xml:space="preserve">. </w:t>
      </w:r>
      <w:r>
        <w:t xml:space="preserve">Решения </w:t>
      </w:r>
      <w:r>
        <w:t xml:space="preserve">К</w:t>
      </w:r>
      <w:r>
        <w:t xml:space="preserve">омиссии принимаются по результатам открытого голосования простым большинством голосов присутствующих на заседании членов </w:t>
      </w:r>
      <w:r>
        <w:t xml:space="preserve">К</w:t>
      </w:r>
      <w:r>
        <w:t xml:space="preserve">омиссии и оформляются протоколами</w:t>
      </w:r>
      <w:r>
        <w:t xml:space="preserve"> Комиссии</w:t>
      </w:r>
      <w:r>
        <w:t xml:space="preserve">. В случае равенства голосов право решающего голоса закреплено за председательствующим на заседании </w:t>
      </w:r>
      <w:r>
        <w:t xml:space="preserve">К</w:t>
      </w:r>
      <w:r>
        <w:t xml:space="preserve">омиссии.</w:t>
      </w:r>
      <w:r/>
    </w:p>
    <w:p>
      <w:pPr>
        <w:pStyle w:val="982"/>
        <w:ind w:firstLine="708"/>
        <w:jc w:val="both"/>
        <w:spacing w:before="0" w:beforeAutospacing="0" w:after="0" w:afterAutospacing="0" w:line="288" w:lineRule="atLeast"/>
      </w:pPr>
      <w:r>
        <w:t xml:space="preserve">3.</w:t>
      </w:r>
      <w:r>
        <w:t xml:space="preserve">8</w:t>
      </w:r>
      <w:r>
        <w:t xml:space="preserve">. Заседание Комиссии считается правомочный при присутствии на нем не менее половины состава Комиссии</w:t>
      </w:r>
      <w:r>
        <w:t xml:space="preserve">. </w:t>
      </w:r>
      <w:r/>
    </w:p>
    <w:p>
      <w:pPr>
        <w:pStyle w:val="982"/>
        <w:ind w:firstLine="708"/>
        <w:jc w:val="both"/>
        <w:spacing w:before="0" w:beforeAutospacing="0" w:after="0" w:afterAutospacing="0" w:line="288" w:lineRule="atLeast"/>
      </w:pPr>
      <w:r>
        <w:t xml:space="preserve">3.</w:t>
      </w:r>
      <w:r>
        <w:t xml:space="preserve">9</w:t>
      </w:r>
      <w:r>
        <w:t xml:space="preserve">. </w:t>
      </w:r>
      <w:r>
        <w:t xml:space="preserve">При несогласии с принятым решением </w:t>
      </w:r>
      <w:r>
        <w:t xml:space="preserve">член </w:t>
      </w:r>
      <w:r>
        <w:t xml:space="preserve">К</w:t>
      </w:r>
      <w:r>
        <w:t xml:space="preserve">омиссии излагает особое мнение, которое прилагается к протоколу заседания </w:t>
      </w:r>
      <w:r>
        <w:t xml:space="preserve">К</w:t>
      </w:r>
      <w:r>
        <w:t xml:space="preserve">омиссии.</w:t>
      </w:r>
      <w:r/>
    </w:p>
    <w:p>
      <w:pPr>
        <w:pStyle w:val="982"/>
        <w:ind w:firstLine="708"/>
        <w:jc w:val="both"/>
        <w:spacing w:before="0" w:beforeAutospacing="0" w:after="0" w:afterAutospacing="0" w:line="288" w:lineRule="atLeast"/>
      </w:pPr>
      <w:r>
        <w:t xml:space="preserve">3.</w:t>
      </w:r>
      <w:r>
        <w:t xml:space="preserve">10</w:t>
      </w:r>
      <w:r>
        <w:t xml:space="preserve">.</w:t>
      </w:r>
      <w:r>
        <w:t xml:space="preserve"> </w:t>
      </w:r>
      <w:r>
        <w:t xml:space="preserve">Результаты проведения инвентаризации оформляются протоколом </w:t>
      </w:r>
      <w:r>
        <w:t xml:space="preserve">К</w:t>
      </w:r>
      <w:r>
        <w:t xml:space="preserve">омиссии с приложением информации, обосновывающей решения </w:t>
      </w:r>
      <w:r>
        <w:t xml:space="preserve">К</w:t>
      </w:r>
      <w:r>
        <w:t xml:space="preserve">омиссии.</w:t>
      </w:r>
      <w:r>
        <w:t xml:space="preserve"> </w:t>
      </w:r>
      <w:r/>
    </w:p>
    <w:p>
      <w:pPr>
        <w:pStyle w:val="982"/>
        <w:ind w:firstLine="708"/>
        <w:jc w:val="both"/>
        <w:spacing w:before="0" w:beforeAutospacing="0" w:after="0" w:afterAutospacing="0" w:line="288" w:lineRule="atLeast"/>
      </w:pPr>
      <w:r>
        <w:t xml:space="preserve">3.</w:t>
      </w:r>
      <w:r>
        <w:t xml:space="preserve">11</w:t>
      </w:r>
      <w:r>
        <w:t xml:space="preserve">. </w:t>
      </w:r>
      <w:r>
        <w:t xml:space="preserve">При принятии решений К</w:t>
      </w:r>
      <w:r>
        <w:t xml:space="preserve">омисси</w:t>
      </w:r>
      <w:r>
        <w:t xml:space="preserve">ей</w:t>
      </w:r>
      <w:r>
        <w:t xml:space="preserve"> в протоколе </w:t>
      </w:r>
      <w:r>
        <w:t xml:space="preserve">Комиссии </w:t>
      </w:r>
      <w:r>
        <w:t xml:space="preserve">отображаются сведения об информации (при наличии), требующей уточнения или отсутствующей в системе контроля.</w:t>
      </w:r>
      <w:r>
        <w:t xml:space="preserve"> </w:t>
      </w:r>
      <w:r/>
    </w:p>
    <w:p>
      <w:pPr>
        <w:pStyle w:val="982"/>
        <w:ind w:firstLine="708"/>
        <w:jc w:val="both"/>
        <w:spacing w:before="0" w:beforeAutospacing="0" w:after="0" w:afterAutospacing="0" w:line="288" w:lineRule="atLeast"/>
      </w:pPr>
      <w:r>
        <w:t xml:space="preserve">3.1</w:t>
      </w:r>
      <w:r>
        <w:t xml:space="preserve">2</w:t>
      </w:r>
      <w:r>
        <w:t xml:space="preserve">. </w:t>
      </w:r>
      <w:r>
        <w:t xml:space="preserve">Оценка технического состояния улично-дорожной сети опорного населенного пункта проводится по двум параметрам (продольная ровность и отсутствие дефектов проезжей части) на основании результатов проведения инвентаризации.</w:t>
      </w:r>
      <w:r>
        <w:t xml:space="preserve"> </w:t>
      </w:r>
      <w:r/>
    </w:p>
    <w:p>
      <w:pPr>
        <w:pStyle w:val="982"/>
        <w:ind w:firstLine="708"/>
        <w:jc w:val="both"/>
        <w:spacing w:before="0" w:beforeAutospacing="0" w:after="0" w:afterAutospacing="0" w:line="288" w:lineRule="atLeast"/>
      </w:pPr>
      <w:r>
        <w:t xml:space="preserve">3.1</w:t>
      </w:r>
      <w:r>
        <w:t xml:space="preserve">3</w:t>
      </w:r>
      <w:r>
        <w:t xml:space="preserve">. </w:t>
      </w:r>
      <w:r>
        <w:t xml:space="preserve">Для проведения оценки технического состояния улично-дорожной сети опорного населенного пункта допускается привлечение к работе </w:t>
      </w:r>
      <w:r>
        <w:t xml:space="preserve">К</w:t>
      </w:r>
      <w:r>
        <w:t xml:space="preserve">омиссии представителей научных, общественных организаций и квалифицированных специалистов в сфере осуществления дорожной деятельности, в том числе выполняющих работы по инструментальному измерению параметров и транспортно-эксплуатационных характеристик.</w:t>
      </w:r>
      <w:r/>
    </w:p>
    <w:p>
      <w:pPr>
        <w:pStyle w:val="982"/>
        <w:ind w:firstLine="708"/>
        <w:jc w:val="both"/>
        <w:spacing w:before="0" w:beforeAutospacing="0" w:after="0" w:afterAutospacing="0" w:line="288" w:lineRule="atLeast"/>
      </w:pPr>
      <w:r>
        <w:t xml:space="preserve">3</w:t>
      </w:r>
      <w:r>
        <w:t xml:space="preserve">.1</w:t>
      </w:r>
      <w:r>
        <w:t xml:space="preserve">4</w:t>
      </w:r>
      <w:r>
        <w:t xml:space="preserve">. </w:t>
      </w:r>
      <w:r>
        <w:t xml:space="preserve">В случае выявления </w:t>
      </w:r>
      <w:r>
        <w:t xml:space="preserve">несоответствия</w:t>
      </w:r>
      <w:r>
        <w:t xml:space="preserve"> </w:t>
      </w:r>
      <w:r>
        <w:t xml:space="preserve">транспортно</w:t>
      </w:r>
      <w:r>
        <w:t xml:space="preserve">-эксплуатационных характеристик автомобильных дорог требованиям технических регламентов, Комиссия вырабатывает предложения о проведении неотложных и перспективных мероприятий, направленных на их устранение.</w:t>
      </w:r>
      <w:r/>
    </w:p>
    <w:p>
      <w:pPr>
        <w:pStyle w:val="982"/>
        <w:ind w:firstLine="708"/>
        <w:jc w:val="both"/>
        <w:spacing w:before="0" w:beforeAutospacing="0" w:after="0" w:afterAutospacing="0" w:line="288" w:lineRule="atLeast"/>
      </w:pPr>
      <w:r/>
      <w:r/>
    </w:p>
    <w:p>
      <w:pPr>
        <w:pStyle w:val="982"/>
        <w:ind w:firstLine="708"/>
        <w:jc w:val="both"/>
        <w:spacing w:before="0" w:beforeAutospacing="0" w:after="0" w:afterAutospacing="0" w:line="288" w:lineRule="atLeast"/>
        <w:rPr>
          <w:u w:val="single"/>
        </w:rPr>
      </w:pPr>
      <w:r>
        <w:rPr>
          <w:u w:val="single"/>
        </w:rPr>
      </w:r>
      <w:r>
        <w:rPr>
          <w:u w:val="single"/>
        </w:rPr>
      </w:r>
      <w:r>
        <w:rPr>
          <w:u w:val="single"/>
        </w:rPr>
      </w:r>
    </w:p>
    <w:tbl>
      <w:tblPr>
        <w:tblStyle w:val="989"/>
        <w:tblW w:w="9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pPr>
              <w:jc w:val="center"/>
              <w:widowControl/>
              <w:rPr>
                <w:b/>
                <w:sz w:val="28"/>
                <w:szCs w:val="20"/>
              </w:rPr>
            </w:pPr>
            <w:r>
              <w:rPr>
                <w:b/>
                <w:sz w:val="28"/>
                <w:szCs w:val="20"/>
              </w:rPr>
            </w:r>
            <w:r>
              <w:rPr>
                <w:b/>
                <w:sz w:val="28"/>
                <w:szCs w:val="20"/>
              </w:rPr>
            </w:r>
            <w:r>
              <w:rPr>
                <w:b/>
                <w:sz w:val="28"/>
                <w:szCs w:val="20"/>
              </w:rPr>
            </w:r>
          </w:p>
        </w:tc>
        <w:tc>
          <w:tcPr>
            <w:tcW w:w="2258" w:type="dxa"/>
            <w:textDirection w:val="lrTb"/>
            <w:noWrap w:val="false"/>
          </w:tcPr>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tc>
        <w:tc>
          <w:tcPr>
            <w:tcW w:w="4066" w:type="dxa"/>
            <w:textDirection w:val="lrTb"/>
            <w:noWrap w:val="false"/>
          </w:tcPr>
          <w:p>
            <w:pPr>
              <w:widowControl/>
            </w:pPr>
            <w:r>
              <w:t xml:space="preserve">Приложение 2</w:t>
            </w:r>
            <w:r/>
          </w:p>
          <w:p>
            <w:pPr>
              <w:widowControl/>
            </w:pPr>
            <w:r>
              <w:t xml:space="preserve">к постановлению администрации Печенгского муниципального округа</w:t>
            </w:r>
            <w:r/>
          </w:p>
          <w:p>
            <w:pPr>
              <w:widowControl/>
              <w:rPr>
                <w:b/>
                <w:sz w:val="28"/>
                <w:szCs w:val="20"/>
              </w:rPr>
            </w:pPr>
            <w:r>
              <w:t xml:space="preserve">от </w:t>
            </w:r>
            <w:r>
              <w:t xml:space="preserve">17.09.2025 № 1479</w:t>
            </w:r>
            <w:r>
              <w:rPr>
                <w:b/>
                <w:sz w:val="28"/>
                <w:szCs w:val="20"/>
              </w:rPr>
            </w:r>
            <w:r>
              <w:rPr>
                <w:b/>
                <w:sz w:val="28"/>
                <w:szCs w:val="20"/>
              </w:rPr>
            </w:r>
          </w:p>
        </w:tc>
      </w:tr>
    </w:tbl>
    <w:p>
      <w:pPr>
        <w:jc w:val="center"/>
        <w:widowControl/>
        <w:rPr>
          <w:b/>
        </w:rPr>
      </w:pPr>
      <w:r>
        <w:rPr>
          <w:b/>
        </w:rPr>
      </w:r>
      <w:r>
        <w:rPr>
          <w:b/>
        </w:rPr>
      </w:r>
      <w:r>
        <w:rPr>
          <w:b/>
        </w:rPr>
      </w:r>
    </w:p>
    <w:p>
      <w:pPr>
        <w:jc w:val="center"/>
        <w:widowControl/>
        <w:rPr>
          <w:b/>
        </w:rPr>
      </w:pPr>
      <w:r>
        <w:rPr>
          <w:b/>
        </w:rPr>
        <w:t xml:space="preserve">СОСТАВ</w:t>
      </w:r>
      <w:r>
        <w:rPr>
          <w:b/>
        </w:rPr>
        <w:t xml:space="preserve"> КОМИССИИ</w:t>
      </w:r>
      <w:bookmarkStart w:id="0" w:name="_GoBack"/>
      <w:r/>
      <w:bookmarkEnd w:id="0"/>
      <w:r>
        <w:rPr>
          <w:b/>
        </w:rPr>
      </w:r>
      <w:r>
        <w:rPr>
          <w:b/>
        </w:rPr>
      </w:r>
    </w:p>
    <w:p>
      <w:pPr>
        <w:jc w:val="center"/>
        <w:widowControl/>
        <w:rPr>
          <w:b/>
        </w:rPr>
      </w:pPr>
      <w:r>
        <w:rPr>
          <w:b/>
        </w:rPr>
        <w:t xml:space="preserve">по проведению инвентаризации улично-дорожной сети опорного населенного пункта </w:t>
      </w:r>
      <w:r>
        <w:rPr>
          <w:b/>
        </w:rPr>
        <w:t xml:space="preserve">г</w:t>
      </w:r>
      <w:r>
        <w:rPr>
          <w:b/>
        </w:rPr>
        <w:t xml:space="preserve">. </w:t>
      </w:r>
      <w:r>
        <w:rPr>
          <w:b/>
        </w:rPr>
        <w:t xml:space="preserve">Заполярный </w:t>
      </w:r>
      <w:r>
        <w:rPr>
          <w:b/>
        </w:rPr>
        <w:t xml:space="preserve">и оценки ее технического состояния </w:t>
      </w:r>
      <w:r>
        <w:rPr>
          <w:b/>
        </w:rPr>
      </w:r>
      <w:r>
        <w:rPr>
          <w:b/>
        </w:rPr>
      </w:r>
    </w:p>
    <w:p>
      <w:pPr>
        <w:jc w:val="center"/>
        <w:widowControl/>
        <w:rPr>
          <w:rFonts w:eastAsiaTheme="minorEastAsia"/>
        </w:rPr>
      </w:pPr>
      <w:r>
        <w:rPr>
          <w:rFonts w:eastAsiaTheme="minorEastAsia"/>
        </w:rPr>
      </w:r>
      <w:r>
        <w:rPr>
          <w:rFonts w:eastAsiaTheme="minorEastAsia"/>
        </w:rPr>
      </w:r>
      <w:r>
        <w:rPr>
          <w:rFonts w:eastAsiaTheme="minorEastAsia"/>
        </w:rPr>
      </w:r>
    </w:p>
    <w:p>
      <w:pPr>
        <w:jc w:val="center"/>
        <w:widowControl/>
      </w:pPr>
      <w:r/>
      <w:r/>
    </w:p>
    <w:tbl>
      <w:tblPr>
        <w:tblStyle w:val="989"/>
        <w:tblW w:w="946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Look w:val="04A0" w:firstRow="1" w:lastRow="0" w:firstColumn="1" w:lastColumn="0" w:noHBand="0" w:noVBand="1"/>
      </w:tblPr>
      <w:tblGrid>
        <w:gridCol w:w="2660"/>
        <w:gridCol w:w="425"/>
        <w:gridCol w:w="6379"/>
      </w:tblGrid>
      <w:tr>
        <w:tblPrEx/>
        <w:trPr/>
        <w:tc>
          <w:tcPr>
            <w:tcW w:w="2660" w:type="dxa"/>
            <w:textDirection w:val="lrTb"/>
            <w:noWrap w:val="false"/>
          </w:tcPr>
          <w:p>
            <w:pPr>
              <w:jc w:val="both"/>
            </w:pPr>
            <w:r>
              <w:t xml:space="preserve">Пономарев </w:t>
            </w:r>
            <w:r/>
          </w:p>
          <w:p>
            <w:pPr>
              <w:jc w:val="both"/>
            </w:pPr>
            <w:r>
              <w:t xml:space="preserve">Андрей Валерьевич</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Заместитель Главы Печенгского муниципального округа, председатель комиссии;</w:t>
            </w:r>
            <w:r/>
          </w:p>
          <w:p>
            <w:pPr>
              <w:jc w:val="both"/>
            </w:pPr>
            <w:r/>
            <w:r/>
          </w:p>
        </w:tc>
      </w:tr>
      <w:tr>
        <w:tblPrEx/>
        <w:trPr/>
        <w:tc>
          <w:tcPr>
            <w:tcW w:w="2660" w:type="dxa"/>
            <w:textDirection w:val="lrTb"/>
            <w:noWrap w:val="false"/>
          </w:tcPr>
          <w:p>
            <w:pPr>
              <w:jc w:val="both"/>
            </w:pPr>
            <w:r>
              <w:t xml:space="preserve">Поздняков </w:t>
            </w:r>
            <w:r/>
          </w:p>
          <w:p>
            <w:pPr>
              <w:jc w:val="both"/>
            </w:pPr>
            <w:r>
              <w:t xml:space="preserve">Дмитрий Михайлович</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Советник Главы Печенгского муниципального округа, заместитель </w:t>
            </w:r>
            <w:r>
              <w:t xml:space="preserve">председател</w:t>
            </w:r>
            <w:r>
              <w:t xml:space="preserve">я</w:t>
            </w:r>
            <w:r>
              <w:t xml:space="preserve"> комиссии;</w:t>
            </w:r>
            <w:r/>
          </w:p>
          <w:p>
            <w:pPr>
              <w:jc w:val="both"/>
            </w:pPr>
            <w:r/>
            <w:r/>
          </w:p>
        </w:tc>
      </w:tr>
      <w:tr>
        <w:tblPrEx/>
        <w:trPr/>
        <w:tc>
          <w:tcPr>
            <w:tcW w:w="2660" w:type="dxa"/>
            <w:textDirection w:val="lrTb"/>
            <w:noWrap w:val="false"/>
          </w:tcPr>
          <w:p>
            <w:pPr>
              <w:jc w:val="both"/>
            </w:pPr>
            <w:r>
              <w:t xml:space="preserve">Федотова</w:t>
            </w:r>
            <w:r/>
          </w:p>
          <w:p>
            <w:pPr>
              <w:jc w:val="both"/>
            </w:pPr>
            <w:r>
              <w:t xml:space="preserve">Евгения Владимировна</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специалист 1 категории отдела строительства и жилищно-коммунального хозяйства администрации Печенгского муниципального округа;</w:t>
            </w:r>
            <w:r/>
          </w:p>
          <w:p>
            <w:pPr>
              <w:jc w:val="both"/>
            </w:pPr>
            <w:r/>
            <w:r/>
          </w:p>
        </w:tc>
      </w:tr>
      <w:tr>
        <w:tblPrEx/>
        <w:trPr/>
        <w:tc>
          <w:tcPr>
            <w:gridSpan w:val="3"/>
            <w:tcW w:w="9464" w:type="dxa"/>
            <w:textDirection w:val="lrTb"/>
            <w:noWrap w:val="false"/>
          </w:tcPr>
          <w:p>
            <w:pPr>
              <w:jc w:val="both"/>
              <w:rPr>
                <w:b/>
              </w:rPr>
            </w:pPr>
            <w:r>
              <w:rPr>
                <w:b/>
              </w:rPr>
              <w:t xml:space="preserve">Члены Комиссии:</w:t>
            </w:r>
            <w:r>
              <w:rPr>
                <w:b/>
              </w:rPr>
            </w:r>
            <w:r>
              <w:rPr>
                <w:b/>
              </w:rPr>
            </w:r>
          </w:p>
          <w:p>
            <w:pPr>
              <w:jc w:val="both"/>
              <w:rPr>
                <w:b/>
              </w:rPr>
            </w:pPr>
            <w:r>
              <w:rPr>
                <w:b/>
              </w:rPr>
            </w:r>
            <w:r>
              <w:rPr>
                <w:b/>
              </w:rPr>
            </w:r>
            <w:r>
              <w:rPr>
                <w:b/>
              </w:rPr>
            </w:r>
          </w:p>
        </w:tc>
      </w:tr>
      <w:tr>
        <w:tblPrEx/>
        <w:trPr/>
        <w:tc>
          <w:tcPr>
            <w:tcW w:w="2660" w:type="dxa"/>
            <w:textDirection w:val="lrTb"/>
            <w:noWrap w:val="false"/>
          </w:tcPr>
          <w:p>
            <w:pPr>
              <w:jc w:val="both"/>
            </w:pPr>
            <w:r>
              <w:t xml:space="preserve">Князева </w:t>
            </w:r>
            <w:r/>
          </w:p>
          <w:p>
            <w:pPr>
              <w:jc w:val="both"/>
            </w:pPr>
            <w:r>
              <w:t xml:space="preserve">Элеонора Геннадьевна </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заместитель начальника отдела строительства и жилищно-коммунального хозяйства администрации Печенгского муниципального округа</w:t>
            </w:r>
            <w:r>
              <w:t xml:space="preserve">;</w:t>
            </w:r>
            <w:r/>
          </w:p>
          <w:p>
            <w:pPr>
              <w:jc w:val="both"/>
            </w:pPr>
            <w:r/>
            <w:r/>
          </w:p>
        </w:tc>
      </w:tr>
      <w:tr>
        <w:tblPrEx/>
        <w:trPr/>
        <w:tc>
          <w:tcPr>
            <w:tcW w:w="2660" w:type="dxa"/>
            <w:textDirection w:val="lrTb"/>
            <w:noWrap w:val="false"/>
          </w:tcPr>
          <w:p>
            <w:pPr>
              <w:jc w:val="both"/>
            </w:pPr>
            <w:r>
              <w:t xml:space="preserve">Маров </w:t>
            </w:r>
            <w:r/>
          </w:p>
          <w:p>
            <w:pPr>
              <w:jc w:val="both"/>
            </w:pPr>
            <w:r>
              <w:t xml:space="preserve">Дмитрий Игоревич</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руководитель </w:t>
            </w:r>
            <w:r>
              <w:t xml:space="preserve">муниципального бюджетного учреждений «Ремонтно-эксплуатационная служба»;</w:t>
            </w:r>
            <w:r/>
          </w:p>
          <w:p>
            <w:pPr>
              <w:jc w:val="both"/>
            </w:pPr>
            <w:r/>
            <w:r/>
          </w:p>
        </w:tc>
      </w:tr>
      <w:tr>
        <w:tblPrEx/>
        <w:trPr/>
        <w:tc>
          <w:tcPr>
            <w:tcW w:w="2660" w:type="dxa"/>
            <w:textDirection w:val="lrTb"/>
            <w:noWrap w:val="false"/>
          </w:tcPr>
          <w:p>
            <w:pPr>
              <w:jc w:val="both"/>
            </w:pPr>
            <w:r>
              <w:t xml:space="preserve">Александрова</w:t>
            </w:r>
            <w:r/>
          </w:p>
          <w:p>
            <w:pPr>
              <w:jc w:val="both"/>
            </w:pPr>
            <w:r>
              <w:t xml:space="preserve">Диана Александровна</w:t>
            </w:r>
            <w:r/>
          </w:p>
        </w:tc>
        <w:tc>
          <w:tcPr>
            <w:tcW w:w="425" w:type="dxa"/>
            <w:textDirection w:val="lrTb"/>
            <w:noWrap w:val="false"/>
          </w:tcPr>
          <w:p>
            <w:pPr>
              <w:jc w:val="center"/>
            </w:pPr>
            <w:r>
              <w:t xml:space="preserve">-</w:t>
            </w:r>
            <w:r/>
          </w:p>
        </w:tc>
        <w:tc>
          <w:tcPr>
            <w:tcW w:w="6379" w:type="dxa"/>
            <w:textDirection w:val="lrTb"/>
            <w:noWrap w:val="false"/>
          </w:tcPr>
          <w:p>
            <w:pPr>
              <w:jc w:val="both"/>
            </w:pPr>
            <w:r>
              <w:t xml:space="preserve">директор муниципального казенного учреждений «Управление благоустройства и развития» Печенгского муниципального округа.</w:t>
            </w:r>
            <w:r/>
          </w:p>
        </w:tc>
      </w:tr>
    </w:tbl>
    <w:p>
      <w:pP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tbl>
      <w:tblPr>
        <w:tblStyle w:val="989"/>
        <w:tblW w:w="950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177"/>
        <w:gridCol w:w="2258"/>
        <w:gridCol w:w="4066"/>
      </w:tblGrid>
      <w:tr>
        <w:tblPrEx/>
        <w:trPr>
          <w:trHeight w:val="1222"/>
        </w:trPr>
        <w:tc>
          <w:tcPr>
            <w:tcW w:w="3177" w:type="dxa"/>
            <w:textDirection w:val="lrTb"/>
            <w:noWrap w:val="false"/>
          </w:tcPr>
          <w:p>
            <w:pPr>
              <w:jc w:val="center"/>
              <w:widowControl/>
              <w:rPr>
                <w:b/>
                <w:sz w:val="28"/>
                <w:szCs w:val="20"/>
              </w:rPr>
            </w:pPr>
            <w:r>
              <w:rPr>
                <w:b/>
                <w:sz w:val="28"/>
                <w:szCs w:val="20"/>
              </w:rPr>
            </w:r>
            <w:r>
              <w:rPr>
                <w:b/>
                <w:sz w:val="28"/>
                <w:szCs w:val="20"/>
              </w:rPr>
            </w:r>
            <w:r>
              <w:rPr>
                <w:b/>
                <w:sz w:val="28"/>
                <w:szCs w:val="20"/>
              </w:rPr>
            </w:r>
          </w:p>
        </w:tc>
        <w:tc>
          <w:tcPr>
            <w:tcW w:w="2258" w:type="dxa"/>
            <w:textDirection w:val="lrTb"/>
            <w:noWrap w:val="false"/>
          </w:tcPr>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p>
            <w:pPr>
              <w:jc w:val="center"/>
              <w:widowControl/>
              <w:rPr>
                <w:b/>
                <w:sz w:val="28"/>
                <w:szCs w:val="20"/>
              </w:rPr>
            </w:pPr>
            <w:r>
              <w:rPr>
                <w:b/>
                <w:sz w:val="28"/>
                <w:szCs w:val="20"/>
              </w:rPr>
            </w:r>
            <w:r>
              <w:rPr>
                <w:b/>
                <w:sz w:val="28"/>
                <w:szCs w:val="20"/>
              </w:rPr>
            </w:r>
            <w:r>
              <w:rPr>
                <w:b/>
                <w:sz w:val="28"/>
                <w:szCs w:val="20"/>
              </w:rPr>
            </w:r>
          </w:p>
        </w:tc>
        <w:tc>
          <w:tcPr>
            <w:tcW w:w="4066" w:type="dxa"/>
            <w:textDirection w:val="lrTb"/>
            <w:noWrap w:val="false"/>
          </w:tcPr>
          <w:p>
            <w:pPr>
              <w:widowControl/>
            </w:pPr>
            <w:r>
              <w:t xml:space="preserve">Приложение 3</w:t>
            </w:r>
            <w:r/>
          </w:p>
          <w:p>
            <w:pPr>
              <w:widowControl/>
            </w:pPr>
            <w:r>
              <w:t xml:space="preserve">к постановлению администрации Печенгского муниципального округа</w:t>
            </w:r>
            <w:r/>
          </w:p>
          <w:p>
            <w:pPr>
              <w:widowControl/>
            </w:pPr>
            <w:r>
              <w:t xml:space="preserve">от 17.09.2025 № 1479</w:t>
            </w:r>
            <w:r/>
          </w:p>
          <w:p>
            <w:pPr>
              <w:widowControl/>
              <w:rPr>
                <w:b/>
                <w:sz w:val="28"/>
                <w:szCs w:val="20"/>
              </w:rPr>
            </w:pPr>
            <w:r>
              <w:rPr>
                <w:b/>
                <w:sz w:val="28"/>
                <w:szCs w:val="20"/>
              </w:rPr>
            </w:r>
            <w:r>
              <w:rPr>
                <w:b/>
                <w:sz w:val="28"/>
                <w:szCs w:val="20"/>
              </w:rPr>
            </w:r>
            <w:r>
              <w:rPr>
                <w:b/>
                <w:sz w:val="28"/>
                <w:szCs w:val="20"/>
              </w:rPr>
            </w:r>
          </w:p>
        </w:tc>
      </w:tr>
    </w:tbl>
    <w:p>
      <w:pPr>
        <w:jc w:val="center"/>
        <w:widowControl/>
        <w:rPr>
          <w:b/>
        </w:rPr>
      </w:pPr>
      <w:r>
        <w:rPr>
          <w:b/>
        </w:rPr>
      </w:r>
      <w:r>
        <w:rPr>
          <w:b/>
        </w:rPr>
      </w:r>
      <w:r>
        <w:rPr>
          <w:b/>
        </w:rPr>
      </w:r>
    </w:p>
    <w:p>
      <w:pPr>
        <w:jc w:val="center"/>
        <w:widowControl/>
        <w:rPr>
          <w:b/>
        </w:rPr>
      </w:pPr>
      <w:r>
        <w:rPr>
          <w:b/>
        </w:rPr>
        <w:t xml:space="preserve">ПЛАН </w:t>
      </w:r>
      <w:r>
        <w:rPr>
          <w:b/>
        </w:rPr>
        <w:t xml:space="preserve">РАБОТЫ </w:t>
      </w:r>
      <w:r>
        <w:rPr>
          <w:b/>
        </w:rPr>
      </w:r>
      <w:r>
        <w:rPr>
          <w:b/>
        </w:rPr>
      </w:r>
    </w:p>
    <w:p>
      <w:pPr>
        <w:jc w:val="center"/>
        <w:widowControl/>
        <w:rPr>
          <w:rFonts w:eastAsiaTheme="minorEastAsia"/>
        </w:rPr>
      </w:pPr>
      <w:r>
        <w:rPr>
          <w:b/>
        </w:rPr>
        <w:t xml:space="preserve">комиссии </w:t>
      </w:r>
      <w:r>
        <w:rPr>
          <w:b/>
        </w:rPr>
        <w:t xml:space="preserve">по проведению </w:t>
      </w:r>
      <w:r>
        <w:rPr>
          <w:b/>
        </w:rPr>
        <w:t xml:space="preserve">инвентаризации улично-дорожной сети опорного населенного </w:t>
      </w:r>
      <w:r>
        <w:rPr>
          <w:b/>
        </w:rPr>
        <w:t xml:space="preserve">пункта г</w:t>
      </w:r>
      <w:r>
        <w:rPr>
          <w:b/>
        </w:rPr>
        <w:t xml:space="preserve">.</w:t>
      </w:r>
      <w:r>
        <w:rPr>
          <w:b/>
          <w:lang w:val="en-US"/>
        </w:rPr>
        <w:t xml:space="preserve"> </w:t>
      </w:r>
      <w:r>
        <w:rPr>
          <w:b/>
        </w:rPr>
        <w:t xml:space="preserve">Заполярный </w:t>
      </w:r>
      <w:r>
        <w:rPr>
          <w:b/>
        </w:rPr>
        <w:t xml:space="preserve">и оценки ее технического состояния</w:t>
      </w:r>
      <w:r>
        <w:rPr>
          <w:b/>
        </w:rPr>
        <w:t xml:space="preserve"> </w:t>
      </w:r>
      <w:r>
        <w:rPr>
          <w:rFonts w:eastAsiaTheme="minorEastAsia"/>
        </w:rPr>
      </w:r>
      <w:r>
        <w:rPr>
          <w:rFonts w:eastAsiaTheme="minorEastAsia"/>
        </w:rPr>
      </w:r>
    </w:p>
    <w:p>
      <w:pPr>
        <w:jc w:val="center"/>
        <w:widowControl/>
      </w:pPr>
      <w:r/>
      <w:r/>
    </w:p>
    <w:tbl>
      <w:tblPr>
        <w:tblStyle w:val="973"/>
        <w:tblW w:w="0" w:type="auto"/>
        <w:tblLook w:val="04A0" w:firstRow="1" w:lastRow="0" w:firstColumn="1" w:lastColumn="0" w:noHBand="0" w:noVBand="1"/>
      </w:tblPr>
      <w:tblGrid>
        <w:gridCol w:w="704"/>
        <w:gridCol w:w="5954"/>
        <w:gridCol w:w="2686"/>
      </w:tblGrid>
      <w:tr>
        <w:tblPrEx/>
        <w:trPr>
          <w:trHeight w:val="808"/>
        </w:trPr>
        <w:tc>
          <w:tcPr>
            <w:tcW w:w="704" w:type="dxa"/>
            <w:vAlign w:val="center"/>
            <w:textDirection w:val="lrTb"/>
            <w:noWrap w:val="false"/>
          </w:tcPr>
          <w:p>
            <w:pPr>
              <w:jc w:val="center"/>
              <w:widowControl/>
            </w:pPr>
            <w:r>
              <w:t xml:space="preserve">№ п</w:t>
            </w:r>
            <w:r>
              <w:t xml:space="preserve">/</w:t>
            </w:r>
            <w:r>
              <w:t xml:space="preserve">п</w:t>
            </w:r>
            <w:r/>
          </w:p>
        </w:tc>
        <w:tc>
          <w:tcPr>
            <w:tcW w:w="5954" w:type="dxa"/>
            <w:vAlign w:val="center"/>
            <w:textDirection w:val="lrTb"/>
            <w:noWrap w:val="false"/>
          </w:tcPr>
          <w:p>
            <w:pPr>
              <w:jc w:val="center"/>
              <w:widowControl/>
            </w:pPr>
            <w:r>
              <w:t xml:space="preserve">Мероприятия </w:t>
            </w:r>
            <w:r/>
          </w:p>
        </w:tc>
        <w:tc>
          <w:tcPr>
            <w:tcW w:w="2686" w:type="dxa"/>
            <w:vAlign w:val="center"/>
            <w:textDirection w:val="lrTb"/>
            <w:noWrap w:val="false"/>
          </w:tcPr>
          <w:p>
            <w:pPr>
              <w:jc w:val="center"/>
              <w:widowControl/>
            </w:pPr>
            <w:r>
              <w:t xml:space="preserve">Срок исполнения</w:t>
            </w:r>
            <w:r/>
          </w:p>
        </w:tc>
      </w:tr>
      <w:tr>
        <w:tblPrEx/>
        <w:trPr>
          <w:trHeight w:val="1260"/>
        </w:trPr>
        <w:tc>
          <w:tcPr>
            <w:tcW w:w="704" w:type="dxa"/>
            <w:vAlign w:val="center"/>
            <w:textDirection w:val="lrTb"/>
            <w:noWrap w:val="false"/>
          </w:tcPr>
          <w:p>
            <w:pPr>
              <w:jc w:val="center"/>
              <w:widowControl/>
            </w:pPr>
            <w:r>
              <w:t xml:space="preserve">1.</w:t>
            </w:r>
            <w:r/>
          </w:p>
        </w:tc>
        <w:tc>
          <w:tcPr>
            <w:tcW w:w="5954" w:type="dxa"/>
            <w:vAlign w:val="center"/>
            <w:textDirection w:val="lrTb"/>
            <w:noWrap w:val="false"/>
          </w:tcPr>
          <w:p>
            <w:pPr>
              <w:jc w:val="both"/>
              <w:widowControl/>
            </w:pPr>
            <w:r>
              <w:t xml:space="preserve">Проведение инвентаризации улично-дорожной с</w:t>
            </w:r>
            <w:r>
              <w:t xml:space="preserve">ети опорного населенного пункта и</w:t>
            </w:r>
            <w:r>
              <w:t xml:space="preserve"> оценка ее технического состояния</w:t>
            </w:r>
            <w:r>
              <w:t xml:space="preserve"> по двум параметрам (продольная ровность и отсутствие дефектов проезжей части)</w:t>
            </w:r>
            <w:r/>
          </w:p>
        </w:tc>
        <w:tc>
          <w:tcPr>
            <w:tcW w:w="2686" w:type="dxa"/>
            <w:vAlign w:val="center"/>
            <w:textDirection w:val="lrTb"/>
            <w:noWrap w:val="false"/>
          </w:tcPr>
          <w:p>
            <w:pPr>
              <w:jc w:val="center"/>
              <w:widowControl/>
            </w:pPr>
            <w:r>
              <w:t xml:space="preserve">до 30 сентября 2025 г</w:t>
            </w:r>
            <w:r>
              <w:t xml:space="preserve">.</w:t>
            </w:r>
            <w:r>
              <w:t xml:space="preserve">, далее ежегодно (при необходимости)</w:t>
            </w:r>
            <w:r/>
          </w:p>
        </w:tc>
      </w:tr>
      <w:tr>
        <w:tblPrEx/>
        <w:trPr>
          <w:trHeight w:val="1278"/>
        </w:trPr>
        <w:tc>
          <w:tcPr>
            <w:tcW w:w="704" w:type="dxa"/>
            <w:vAlign w:val="center"/>
            <w:textDirection w:val="lrTb"/>
            <w:noWrap w:val="false"/>
          </w:tcPr>
          <w:p>
            <w:pPr>
              <w:jc w:val="center"/>
              <w:widowControl/>
            </w:pPr>
            <w:r>
              <w:t xml:space="preserve">2.</w:t>
            </w:r>
            <w:r/>
          </w:p>
        </w:tc>
        <w:tc>
          <w:tcPr>
            <w:tcW w:w="5954" w:type="dxa"/>
            <w:vAlign w:val="center"/>
            <w:textDirection w:val="lrTb"/>
            <w:noWrap w:val="false"/>
          </w:tcPr>
          <w:p>
            <w:pPr>
              <w:jc w:val="both"/>
              <w:widowControl/>
            </w:pPr>
            <w:r>
              <w:t xml:space="preserve">Составление протокола по результатам инвентаризации и оценки технического состояния улично-дорожной сети опорного населенного пункта с приложением документов, обосновывающих принятое решение</w:t>
            </w:r>
            <w:r/>
          </w:p>
        </w:tc>
        <w:tc>
          <w:tcPr>
            <w:tcW w:w="2686" w:type="dxa"/>
            <w:vAlign w:val="center"/>
            <w:textDirection w:val="lrTb"/>
            <w:noWrap w:val="false"/>
          </w:tcPr>
          <w:p>
            <w:pPr>
              <w:jc w:val="center"/>
              <w:widowControl/>
            </w:pPr>
            <w:r>
              <w:t xml:space="preserve">до 03 октября 2025 г.</w:t>
            </w:r>
            <w:r/>
          </w:p>
        </w:tc>
      </w:tr>
    </w:tbl>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pPr>
      <w: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p>
      <w:pPr>
        <w:jc w:val="center"/>
        <w:widowControl/>
        <w:rPr>
          <w:b/>
        </w:rPr>
      </w:pPr>
      <w:r>
        <w:rPr>
          <w:b/>
        </w:rPr>
      </w:r>
      <w:r>
        <w:rPr>
          <w:b/>
        </w:rPr>
      </w:r>
      <w:r>
        <w:rPr>
          <w:b/>
        </w:rPr>
      </w:r>
    </w:p>
    <w:sectPr>
      <w:footnotePr/>
      <w:endnotePr/>
      <w:type w:val="nextPage"/>
      <w:pgSz w:w="11906" w:h="16838" w:orient="portrait"/>
      <w:pgMar w:top="1134" w:right="851" w:bottom="822"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none"/>
      <w:isLgl w:val="false"/>
      <w:suff w:val="space"/>
      <w:lvlText w:val="1.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abstractNum w:abstractNumId="5">
    <w:multiLevelType w:val="hybridMultilevel"/>
    <w:lvl w:ilvl="0">
      <w:start w:val="1"/>
      <w:numFmt w:val="none"/>
      <w:isLgl w:val="false"/>
      <w:suff w:val="space"/>
      <w:lvlText w:val="4.5."/>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7">
    <w:multiLevelType w:val="hybridMultilevel"/>
    <w:lvl w:ilvl="0">
      <w:start w:val="1"/>
      <w:numFmt w:val="decimal"/>
      <w:isLgl w:val="false"/>
      <w:suff w:val="tab"/>
      <w:lvlText w:val="%1."/>
      <w:lvlJc w:val="left"/>
      <w:pPr>
        <w:ind w:left="720" w:hanging="360"/>
      </w:pPr>
      <w:rPr>
        <w:rFonts w:hint="default"/>
        <w:b w:val="0"/>
      </w:rPr>
    </w:lvl>
    <w:lvl w:ilvl="1">
      <w:start w:val="1"/>
      <w:numFmt w:val="decimal"/>
      <w:isLgl/>
      <w:suff w:val="tab"/>
      <w:lvlText w:val="%1.%2."/>
      <w:lvlJc w:val="left"/>
      <w:pPr>
        <w:ind w:left="1080" w:hanging="360"/>
      </w:pPr>
      <w:rPr>
        <w:rFonts w:hint="default"/>
      </w:rPr>
    </w:lvl>
    <w:lvl w:ilvl="2">
      <w:start w:val="1"/>
      <w:numFmt w:val="decimal"/>
      <w:isLgl/>
      <w:suff w:val="tab"/>
      <w:lvlText w:val="%1.%2.%3."/>
      <w:lvlJc w:val="left"/>
      <w:pPr>
        <w:ind w:left="1800" w:hanging="720"/>
      </w:pPr>
      <w:rPr>
        <w:rFonts w:hint="default"/>
      </w:rPr>
    </w:lvl>
    <w:lvl w:ilvl="3">
      <w:start w:val="1"/>
      <w:numFmt w:val="decimal"/>
      <w:isLgl/>
      <w:suff w:val="tab"/>
      <w:lvlText w:val="%1.%2.%3.%4."/>
      <w:lvlJc w:val="left"/>
      <w:pPr>
        <w:ind w:left="2160" w:hanging="720"/>
      </w:pPr>
      <w:rPr>
        <w:rFonts w:hint="default"/>
      </w:rPr>
    </w:lvl>
    <w:lvl w:ilvl="4">
      <w:start w:val="1"/>
      <w:numFmt w:val="decimal"/>
      <w:isLgl/>
      <w:suff w:val="tab"/>
      <w:lvlText w:val="%1.%2.%3.%4.%5."/>
      <w:lvlJc w:val="left"/>
      <w:pPr>
        <w:ind w:left="2880" w:hanging="1080"/>
      </w:pPr>
      <w:rPr>
        <w:rFonts w:hint="default"/>
      </w:rPr>
    </w:lvl>
    <w:lvl w:ilvl="5">
      <w:start w:val="1"/>
      <w:numFmt w:val="decimal"/>
      <w:isLgl/>
      <w:suff w:val="tab"/>
      <w:lvlText w:val="%1.%2.%3.%4.%5.%6."/>
      <w:lvlJc w:val="left"/>
      <w:pPr>
        <w:ind w:left="3240" w:hanging="1080"/>
      </w:pPr>
      <w:rPr>
        <w:rFonts w:hint="default"/>
      </w:rPr>
    </w:lvl>
    <w:lvl w:ilvl="6">
      <w:start w:val="1"/>
      <w:numFmt w:val="decimal"/>
      <w:isLgl/>
      <w:suff w:val="tab"/>
      <w:lvlText w:val="%1.%2.%3.%4.%5.%6.%7."/>
      <w:lvlJc w:val="left"/>
      <w:pPr>
        <w:ind w:left="3960" w:hanging="1440"/>
      </w:pPr>
      <w:rPr>
        <w:rFonts w:hint="default"/>
      </w:rPr>
    </w:lvl>
    <w:lvl w:ilvl="7">
      <w:start w:val="1"/>
      <w:numFmt w:val="decimal"/>
      <w:isLgl/>
      <w:suff w:val="tab"/>
      <w:lvlText w:val="%1.%2.%3.%4.%5.%6.%7.%8."/>
      <w:lvlJc w:val="left"/>
      <w:pPr>
        <w:ind w:left="4320" w:hanging="1440"/>
      </w:pPr>
      <w:rPr>
        <w:rFonts w:hint="default"/>
      </w:rPr>
    </w:lvl>
    <w:lvl w:ilvl="8">
      <w:start w:val="1"/>
      <w:numFmt w:val="decimal"/>
      <w:isLgl/>
      <w:suff w:val="tab"/>
      <w:lvlText w:val="%1.%2.%3.%4.%5.%6.%7.%8.%9."/>
      <w:lvlJc w:val="left"/>
      <w:pPr>
        <w:ind w:left="5040" w:hanging="1800"/>
      </w:pPr>
      <w:rPr>
        <w:rFonts w:hint="default"/>
      </w:rPr>
    </w:lvl>
  </w:abstractNum>
  <w:abstractNum w:abstractNumId="8">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9">
    <w:multiLevelType w:val="hybridMultilevel"/>
    <w:lvl w:ilvl="0">
      <w:start w:val="1"/>
      <w:numFmt w:val="none"/>
      <w:isLgl w:val="false"/>
      <w:suff w:val="space"/>
      <w:lvlText w:val="2.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2">
    <w:multiLevelType w:val="hybridMultilevel"/>
    <w:lvl w:ilvl="0">
      <w:start w:val="1"/>
      <w:numFmt w:val="none"/>
      <w:isLgl w:val="false"/>
      <w:suff w:val="space"/>
      <w:lvlText w:val="1.4."/>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3">
    <w:multiLevelType w:val="hybridMultilevel"/>
    <w:lvl w:ilvl="0">
      <w:start w:val="1"/>
      <w:numFmt w:val="none"/>
      <w:isLgl w:val="false"/>
      <w:suff w:val="space"/>
      <w:lvlText w:val="3.3."/>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none"/>
      <w:isLgl w:val="false"/>
      <w:suff w:val="space"/>
      <w:lvlText w:val="2.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17">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9">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none"/>
      <w:isLgl w:val="false"/>
      <w:suff w:val="space"/>
      <w:lvlText w:val="1.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26">
    <w:multiLevelType w:val="hybridMultilevel"/>
    <w:lvl w:ilvl="0">
      <w:start w:val="1"/>
      <w:numFmt w:val="none"/>
      <w:isLgl w:val="false"/>
      <w:suff w:val="space"/>
      <w:lvlText w:val="3.5."/>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27">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none"/>
      <w:isLgl w:val="false"/>
      <w:suff w:val="space"/>
      <w:lvlText w:val="1.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0">
    <w:multiLevelType w:val="hybridMultilevel"/>
    <w:lvl w:ilvl="0">
      <w:start w:val="1"/>
      <w:numFmt w:val="none"/>
      <w:isLgl w:val="false"/>
      <w:suff w:val="space"/>
      <w:lvlText w:val="3.2."/>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31">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32">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36">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38">
    <w:multiLevelType w:val="hybridMultilevel"/>
    <w:lvl w:ilvl="0">
      <w:start w:val="1"/>
      <w:numFmt w:val="none"/>
      <w:isLgl w:val="false"/>
      <w:suff w:val="space"/>
      <w:lvlText w:val="3.6."/>
      <w:lvlJc w:val="left"/>
      <w:pPr>
        <w:ind w:left="1417" w:hanging="360"/>
      </w:pPr>
    </w:lvl>
    <w:lvl w:ilvl="1">
      <w:start w:val="1"/>
      <w:numFmt w:val="bullet"/>
      <w:isLgl w:val="false"/>
      <w:suff w:val="tab"/>
      <w:lvlText w:val="o"/>
      <w:lvlJc w:val="left"/>
      <w:pPr>
        <w:ind w:left="2137" w:hanging="360"/>
      </w:pPr>
      <w:rPr>
        <w:rFonts w:hint="default" w:ascii="Courier New" w:hAnsi="Courier New" w:eastAsia="Courier New" w:cs="Courier New"/>
      </w:rPr>
    </w:lvl>
    <w:lvl w:ilvl="2">
      <w:start w:val="1"/>
      <w:numFmt w:val="bullet"/>
      <w:isLgl w:val="false"/>
      <w:suff w:val="tab"/>
      <w:lvlText w:val="§"/>
      <w:lvlJc w:val="left"/>
      <w:pPr>
        <w:ind w:left="2857" w:hanging="360"/>
      </w:pPr>
      <w:rPr>
        <w:rFonts w:hint="default" w:ascii="Wingdings" w:hAnsi="Wingdings" w:eastAsia="Wingdings" w:cs="Wingdings"/>
      </w:rPr>
    </w:lvl>
    <w:lvl w:ilvl="3">
      <w:start w:val="1"/>
      <w:numFmt w:val="bullet"/>
      <w:isLgl w:val="false"/>
      <w:suff w:val="tab"/>
      <w:lvlText w:val="·"/>
      <w:lvlJc w:val="left"/>
      <w:pPr>
        <w:ind w:left="3577" w:hanging="360"/>
      </w:pPr>
      <w:rPr>
        <w:rFonts w:hint="default" w:ascii="Symbol" w:hAnsi="Symbol" w:eastAsia="Symbol" w:cs="Symbol"/>
      </w:rPr>
    </w:lvl>
    <w:lvl w:ilvl="4">
      <w:start w:val="1"/>
      <w:numFmt w:val="bullet"/>
      <w:isLgl w:val="false"/>
      <w:suff w:val="tab"/>
      <w:lvlText w:val="o"/>
      <w:lvlJc w:val="left"/>
      <w:pPr>
        <w:ind w:left="4297" w:hanging="360"/>
      </w:pPr>
      <w:rPr>
        <w:rFonts w:hint="default" w:ascii="Courier New" w:hAnsi="Courier New" w:eastAsia="Courier New" w:cs="Courier New"/>
      </w:rPr>
    </w:lvl>
    <w:lvl w:ilvl="5">
      <w:start w:val="1"/>
      <w:numFmt w:val="bullet"/>
      <w:isLgl w:val="false"/>
      <w:suff w:val="tab"/>
      <w:lvlText w:val="§"/>
      <w:lvlJc w:val="left"/>
      <w:pPr>
        <w:ind w:left="5017" w:hanging="360"/>
      </w:pPr>
      <w:rPr>
        <w:rFonts w:hint="default" w:ascii="Wingdings" w:hAnsi="Wingdings" w:eastAsia="Wingdings" w:cs="Wingdings"/>
      </w:rPr>
    </w:lvl>
    <w:lvl w:ilvl="6">
      <w:start w:val="1"/>
      <w:numFmt w:val="bullet"/>
      <w:isLgl w:val="false"/>
      <w:suff w:val="tab"/>
      <w:lvlText w:val="·"/>
      <w:lvlJc w:val="left"/>
      <w:pPr>
        <w:ind w:left="5737" w:hanging="360"/>
      </w:pPr>
      <w:rPr>
        <w:rFonts w:hint="default" w:ascii="Symbol" w:hAnsi="Symbol" w:eastAsia="Symbol" w:cs="Symbol"/>
      </w:rPr>
    </w:lvl>
    <w:lvl w:ilvl="7">
      <w:start w:val="1"/>
      <w:numFmt w:val="bullet"/>
      <w:isLgl w:val="false"/>
      <w:suff w:val="tab"/>
      <w:lvlText w:val="o"/>
      <w:lvlJc w:val="left"/>
      <w:pPr>
        <w:ind w:left="6457" w:hanging="360"/>
      </w:pPr>
      <w:rPr>
        <w:rFonts w:hint="default" w:ascii="Courier New" w:hAnsi="Courier New" w:eastAsia="Courier New" w:cs="Courier New"/>
      </w:rPr>
    </w:lvl>
    <w:lvl w:ilvl="8">
      <w:start w:val="1"/>
      <w:numFmt w:val="bullet"/>
      <w:isLgl w:val="false"/>
      <w:suff w:val="tab"/>
      <w:lvlText w:val="§"/>
      <w:lvlJc w:val="left"/>
      <w:pPr>
        <w:ind w:left="7177" w:hanging="360"/>
      </w:pPr>
      <w:rPr>
        <w:rFonts w:hint="default" w:ascii="Wingdings" w:hAnsi="Wingdings" w:eastAsia="Wingdings" w:cs="Wingdings"/>
      </w:rPr>
    </w:lvl>
  </w:abstractNum>
  <w:abstractNum w:abstractNumId="39">
    <w:multiLevelType w:val="hybridMultilevel"/>
    <w:lvl w:ilvl="0">
      <w:start w:val="1"/>
      <w:numFmt w:val="bullet"/>
      <w:isLgl w:val="false"/>
      <w:suff w:val="space"/>
      <w:lvlText w:val="–"/>
      <w:lvlJc w:val="left"/>
      <w:pPr>
        <w:ind w:left="720" w:hanging="360"/>
      </w:pPr>
      <w:rPr>
        <w:rFonts w:ascii="Arial" w:hAnsi="Arial" w:eastAsia="Arial" w:cs="Aria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42">
    <w:multiLevelType w:val="hybridMultilevel"/>
    <w:lvl w:ilvl="0">
      <w:start w:val="1"/>
      <w:numFmt w:val="none"/>
      <w:isLgl w:val="false"/>
      <w:suff w:val="space"/>
      <w:lvlText w:val="3.1."/>
      <w:lvlJc w:val="left"/>
      <w:pPr>
        <w:ind w:left="1418" w:hanging="360"/>
      </w:pPr>
    </w:lvl>
    <w:lvl w:ilvl="1">
      <w:start w:val="1"/>
      <w:numFmt w:val="bullet"/>
      <w:isLgl w:val="false"/>
      <w:suff w:val="tab"/>
      <w:lvlText w:val="o"/>
      <w:lvlJc w:val="left"/>
      <w:pPr>
        <w:ind w:left="2138" w:hanging="360"/>
      </w:pPr>
      <w:rPr>
        <w:rFonts w:hint="default" w:ascii="Courier New" w:hAnsi="Courier New" w:eastAsia="Courier New" w:cs="Courier New"/>
      </w:rPr>
    </w:lvl>
    <w:lvl w:ilvl="2">
      <w:start w:val="1"/>
      <w:numFmt w:val="bullet"/>
      <w:isLgl w:val="false"/>
      <w:suff w:val="tab"/>
      <w:lvlText w:val="§"/>
      <w:lvlJc w:val="left"/>
      <w:pPr>
        <w:ind w:left="2858" w:hanging="360"/>
      </w:pPr>
      <w:rPr>
        <w:rFonts w:hint="default" w:ascii="Wingdings" w:hAnsi="Wingdings" w:eastAsia="Wingdings" w:cs="Wingdings"/>
      </w:rPr>
    </w:lvl>
    <w:lvl w:ilvl="3">
      <w:start w:val="1"/>
      <w:numFmt w:val="bullet"/>
      <w:isLgl w:val="false"/>
      <w:suff w:val="tab"/>
      <w:lvlText w:val="·"/>
      <w:lvlJc w:val="left"/>
      <w:pPr>
        <w:ind w:left="3578" w:hanging="360"/>
      </w:pPr>
      <w:rPr>
        <w:rFonts w:hint="default" w:ascii="Symbol" w:hAnsi="Symbol" w:eastAsia="Symbol" w:cs="Symbol"/>
      </w:rPr>
    </w:lvl>
    <w:lvl w:ilvl="4">
      <w:start w:val="1"/>
      <w:numFmt w:val="bullet"/>
      <w:isLgl w:val="false"/>
      <w:suff w:val="tab"/>
      <w:lvlText w:val="o"/>
      <w:lvlJc w:val="left"/>
      <w:pPr>
        <w:ind w:left="4298" w:hanging="360"/>
      </w:pPr>
      <w:rPr>
        <w:rFonts w:hint="default" w:ascii="Courier New" w:hAnsi="Courier New" w:eastAsia="Courier New" w:cs="Courier New"/>
      </w:rPr>
    </w:lvl>
    <w:lvl w:ilvl="5">
      <w:start w:val="1"/>
      <w:numFmt w:val="bullet"/>
      <w:isLgl w:val="false"/>
      <w:suff w:val="tab"/>
      <w:lvlText w:val="§"/>
      <w:lvlJc w:val="left"/>
      <w:pPr>
        <w:ind w:left="5018" w:hanging="360"/>
      </w:pPr>
      <w:rPr>
        <w:rFonts w:hint="default" w:ascii="Wingdings" w:hAnsi="Wingdings" w:eastAsia="Wingdings" w:cs="Wingdings"/>
      </w:rPr>
    </w:lvl>
    <w:lvl w:ilvl="6">
      <w:start w:val="1"/>
      <w:numFmt w:val="bullet"/>
      <w:isLgl w:val="false"/>
      <w:suff w:val="tab"/>
      <w:lvlText w:val="·"/>
      <w:lvlJc w:val="left"/>
      <w:pPr>
        <w:ind w:left="5738" w:hanging="360"/>
      </w:pPr>
      <w:rPr>
        <w:rFonts w:hint="default" w:ascii="Symbol" w:hAnsi="Symbol" w:eastAsia="Symbol" w:cs="Symbol"/>
      </w:rPr>
    </w:lvl>
    <w:lvl w:ilvl="7">
      <w:start w:val="1"/>
      <w:numFmt w:val="bullet"/>
      <w:isLgl w:val="false"/>
      <w:suff w:val="tab"/>
      <w:lvlText w:val="o"/>
      <w:lvlJc w:val="left"/>
      <w:pPr>
        <w:ind w:left="6458" w:hanging="360"/>
      </w:pPr>
      <w:rPr>
        <w:rFonts w:hint="default" w:ascii="Courier New" w:hAnsi="Courier New" w:eastAsia="Courier New" w:cs="Courier New"/>
      </w:rPr>
    </w:lvl>
    <w:lvl w:ilvl="8">
      <w:start w:val="1"/>
      <w:numFmt w:val="bullet"/>
      <w:isLgl w:val="false"/>
      <w:suff w:val="tab"/>
      <w:lvlText w:val="§"/>
      <w:lvlJc w:val="left"/>
      <w:pPr>
        <w:ind w:left="7178"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44">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45">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6"/>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22"/>
  </w:num>
  <w:num w:numId="3">
    <w:abstractNumId w:val="45"/>
  </w:num>
  <w:num w:numId="4">
    <w:abstractNumId w:val="34"/>
  </w:num>
  <w:num w:numId="5">
    <w:abstractNumId w:val="23"/>
  </w:num>
  <w:num w:numId="6">
    <w:abstractNumId w:val="35"/>
  </w:num>
  <w:num w:numId="7">
    <w:abstractNumId w:val="31"/>
  </w:num>
  <w:num w:numId="8">
    <w:abstractNumId w:val="4"/>
  </w:num>
  <w:num w:numId="9">
    <w:abstractNumId w:val="18"/>
  </w:num>
  <w:num w:numId="10">
    <w:abstractNumId w:val="17"/>
  </w:num>
  <w:num w:numId="11">
    <w:abstractNumId w:val="11"/>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0"/>
  </w:num>
  <w:num w:numId="15">
    <w:abstractNumId w:val="28"/>
  </w:num>
  <w:num w:numId="16">
    <w:abstractNumId w:val="40"/>
  </w:num>
  <w:num w:numId="17">
    <w:abstractNumId w:val="14"/>
  </w:num>
  <w:num w:numId="18">
    <w:abstractNumId w:val="20"/>
  </w:num>
  <w:num w:numId="19">
    <w:abstractNumId w:val="15"/>
  </w:num>
  <w:num w:numId="20">
    <w:abstractNumId w:val="2"/>
  </w:num>
  <w:num w:numId="21">
    <w:abstractNumId w:val="24"/>
  </w:num>
  <w:num w:numId="22">
    <w:abstractNumId w:val="27"/>
  </w:num>
  <w:num w:numId="23">
    <w:abstractNumId w:val="41"/>
  </w:num>
  <w:num w:numId="24">
    <w:abstractNumId w:val="44"/>
  </w:num>
  <w:num w:numId="25">
    <w:abstractNumId w:val="6"/>
  </w:num>
  <w:num w:numId="26">
    <w:abstractNumId w:val="37"/>
  </w:num>
  <w:num w:numId="27">
    <w:abstractNumId w:val="8"/>
  </w:num>
  <w:num w:numId="28">
    <w:abstractNumId w:val="7"/>
  </w:num>
  <w:num w:numId="29">
    <w:abstractNumId w:val="43"/>
  </w:num>
  <w:num w:numId="30">
    <w:abstractNumId w:val="25"/>
  </w:num>
  <w:num w:numId="31">
    <w:abstractNumId w:val="29"/>
  </w:num>
  <w:num w:numId="32">
    <w:abstractNumId w:val="0"/>
  </w:num>
  <w:num w:numId="33">
    <w:abstractNumId w:val="33"/>
  </w:num>
  <w:num w:numId="34">
    <w:abstractNumId w:val="12"/>
  </w:num>
  <w:num w:numId="35">
    <w:abstractNumId w:val="9"/>
  </w:num>
  <w:num w:numId="36">
    <w:abstractNumId w:val="16"/>
  </w:num>
  <w:num w:numId="37">
    <w:abstractNumId w:val="32"/>
  </w:num>
  <w:num w:numId="38">
    <w:abstractNumId w:val="42"/>
  </w:num>
  <w:num w:numId="39">
    <w:abstractNumId w:val="30"/>
  </w:num>
  <w:num w:numId="40">
    <w:abstractNumId w:val="13"/>
  </w:num>
  <w:num w:numId="41">
    <w:abstractNumId w:val="3"/>
  </w:num>
  <w:num w:numId="42">
    <w:abstractNumId w:val="1"/>
  </w:num>
  <w:num w:numId="43">
    <w:abstractNumId w:val="26"/>
  </w:num>
  <w:num w:numId="44">
    <w:abstractNumId w:val="19"/>
  </w:num>
  <w:num w:numId="45">
    <w:abstractNumId w:val="38"/>
  </w:num>
  <w:num w:numId="46">
    <w:abstractNumId w:val="39"/>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7" w:default="1">
    <w:name w:val="Normal"/>
    <w:qFormat/>
    <w:pPr>
      <w:widowControl w:val="off"/>
    </w:pPr>
    <w:rPr>
      <w:rFonts w:ascii="Times New Roman" w:hAnsi="Times New Roman" w:eastAsia="Times New Roman"/>
      <w:sz w:val="24"/>
      <w:szCs w:val="24"/>
    </w:rPr>
  </w:style>
  <w:style w:type="paragraph" w:styleId="748">
    <w:name w:val="Heading 1"/>
    <w:basedOn w:val="747"/>
    <w:next w:val="747"/>
    <w:link w:val="796"/>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97"/>
    <w:qFormat/>
    <w:pPr>
      <w:jc w:val="center"/>
      <w:keepNext/>
      <w:widowControl/>
      <w:outlineLvl w:val="1"/>
    </w:pPr>
    <w:rPr>
      <w:b/>
      <w:sz w:val="44"/>
    </w:rPr>
  </w:style>
  <w:style w:type="paragraph" w:styleId="750">
    <w:name w:val="Heading 3"/>
    <w:basedOn w:val="747"/>
    <w:next w:val="747"/>
    <w:link w:val="798"/>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99"/>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800"/>
    <w:uiPriority w:val="9"/>
    <w:unhideWhenUsed/>
    <w:qFormat/>
    <w:pPr>
      <w:keepLines/>
      <w:keepNext/>
      <w:spacing w:before="320" w:after="200"/>
      <w:outlineLvl w:val="4"/>
    </w:pPr>
    <w:rPr>
      <w:rFonts w:ascii="Arial" w:hAnsi="Arial" w:eastAsia="Arial" w:cs="Arial"/>
      <w:b/>
      <w:bCs/>
    </w:rPr>
  </w:style>
  <w:style w:type="paragraph" w:styleId="753">
    <w:name w:val="Heading 6"/>
    <w:basedOn w:val="747"/>
    <w:next w:val="747"/>
    <w:link w:val="801"/>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802"/>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803"/>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804"/>
    <w:uiPriority w:val="9"/>
    <w:unhideWhenUsed/>
    <w:qFormat/>
    <w:pPr>
      <w:keepLines/>
      <w:keepNext/>
      <w:spacing w:before="320" w:after="200"/>
      <w:outlineLvl w:val="8"/>
    </w:pPr>
    <w:rPr>
      <w:rFonts w:ascii="Arial" w:hAnsi="Arial" w:eastAsia="Arial" w:cs="Arial"/>
      <w:i/>
      <w:iCs/>
      <w:sz w:val="21"/>
      <w:szCs w:val="21"/>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character" w:styleId="760" w:customStyle="1">
    <w:name w:val="Heading 1 Char"/>
    <w:basedOn w:val="757"/>
    <w:uiPriority w:val="9"/>
    <w:rPr>
      <w:rFonts w:ascii="Arial" w:hAnsi="Arial" w:eastAsia="Arial" w:cs="Arial"/>
      <w:sz w:val="40"/>
      <w:szCs w:val="40"/>
    </w:rPr>
  </w:style>
  <w:style w:type="character" w:styleId="761" w:customStyle="1">
    <w:name w:val="Heading 2 Char"/>
    <w:basedOn w:val="757"/>
    <w:uiPriority w:val="9"/>
    <w:rPr>
      <w:rFonts w:ascii="Arial" w:hAnsi="Arial" w:eastAsia="Arial" w:cs="Arial"/>
      <w:sz w:val="34"/>
    </w:rPr>
  </w:style>
  <w:style w:type="character" w:styleId="762" w:customStyle="1">
    <w:name w:val="Heading 3 Char"/>
    <w:basedOn w:val="757"/>
    <w:uiPriority w:val="9"/>
    <w:rPr>
      <w:rFonts w:ascii="Arial" w:hAnsi="Arial" w:eastAsia="Arial" w:cs="Arial"/>
      <w:sz w:val="30"/>
      <w:szCs w:val="30"/>
    </w:rPr>
  </w:style>
  <w:style w:type="character" w:styleId="763" w:customStyle="1">
    <w:name w:val="Heading 4 Char"/>
    <w:basedOn w:val="757"/>
    <w:uiPriority w:val="9"/>
    <w:rPr>
      <w:rFonts w:ascii="Arial" w:hAnsi="Arial" w:eastAsia="Arial" w:cs="Arial"/>
      <w:b/>
      <w:bCs/>
      <w:sz w:val="26"/>
      <w:szCs w:val="26"/>
    </w:rPr>
  </w:style>
  <w:style w:type="character" w:styleId="764" w:customStyle="1">
    <w:name w:val="Heading 5 Char"/>
    <w:basedOn w:val="757"/>
    <w:uiPriority w:val="9"/>
    <w:rPr>
      <w:rFonts w:ascii="Arial" w:hAnsi="Arial" w:eastAsia="Arial" w:cs="Arial"/>
      <w:b/>
      <w:bCs/>
      <w:sz w:val="24"/>
      <w:szCs w:val="24"/>
    </w:rPr>
  </w:style>
  <w:style w:type="character" w:styleId="765" w:customStyle="1">
    <w:name w:val="Heading 6 Char"/>
    <w:basedOn w:val="757"/>
    <w:uiPriority w:val="9"/>
    <w:rPr>
      <w:rFonts w:ascii="Arial" w:hAnsi="Arial" w:eastAsia="Arial" w:cs="Arial"/>
      <w:b/>
      <w:bCs/>
      <w:sz w:val="22"/>
      <w:szCs w:val="22"/>
    </w:rPr>
  </w:style>
  <w:style w:type="character" w:styleId="766" w:customStyle="1">
    <w:name w:val="Heading 7 Char"/>
    <w:basedOn w:val="757"/>
    <w:uiPriority w:val="9"/>
    <w:rPr>
      <w:rFonts w:ascii="Arial" w:hAnsi="Arial" w:eastAsia="Arial" w:cs="Arial"/>
      <w:b/>
      <w:bCs/>
      <w:i/>
      <w:iCs/>
      <w:sz w:val="22"/>
      <w:szCs w:val="22"/>
    </w:rPr>
  </w:style>
  <w:style w:type="character" w:styleId="767" w:customStyle="1">
    <w:name w:val="Heading 8 Char"/>
    <w:basedOn w:val="757"/>
    <w:uiPriority w:val="9"/>
    <w:rPr>
      <w:rFonts w:ascii="Arial" w:hAnsi="Arial" w:eastAsia="Arial" w:cs="Arial"/>
      <w:i/>
      <w:iCs/>
      <w:sz w:val="22"/>
      <w:szCs w:val="22"/>
    </w:rPr>
  </w:style>
  <w:style w:type="character" w:styleId="768" w:customStyle="1">
    <w:name w:val="Heading 9 Char"/>
    <w:basedOn w:val="757"/>
    <w:uiPriority w:val="9"/>
    <w:rPr>
      <w:rFonts w:ascii="Arial" w:hAnsi="Arial" w:eastAsia="Arial" w:cs="Arial"/>
      <w:i/>
      <w:iCs/>
      <w:sz w:val="21"/>
      <w:szCs w:val="21"/>
    </w:rPr>
  </w:style>
  <w:style w:type="character" w:styleId="769" w:customStyle="1">
    <w:name w:val="Title Char"/>
    <w:basedOn w:val="757"/>
    <w:uiPriority w:val="10"/>
    <w:rPr>
      <w:sz w:val="48"/>
      <w:szCs w:val="48"/>
    </w:rPr>
  </w:style>
  <w:style w:type="character" w:styleId="770" w:customStyle="1">
    <w:name w:val="Subtitle Char"/>
    <w:basedOn w:val="757"/>
    <w:uiPriority w:val="11"/>
    <w:rPr>
      <w:sz w:val="24"/>
      <w:szCs w:val="24"/>
    </w:rPr>
  </w:style>
  <w:style w:type="character" w:styleId="771" w:customStyle="1">
    <w:name w:val="Quote Char"/>
    <w:uiPriority w:val="29"/>
    <w:rPr>
      <w:i/>
    </w:rPr>
  </w:style>
  <w:style w:type="character" w:styleId="772" w:customStyle="1">
    <w:name w:val="Intense Quote Char"/>
    <w:uiPriority w:val="30"/>
    <w:rPr>
      <w:i/>
    </w:rPr>
  </w:style>
  <w:style w:type="character" w:styleId="773" w:customStyle="1">
    <w:name w:val="Header Char"/>
    <w:basedOn w:val="757"/>
    <w:uiPriority w:val="99"/>
  </w:style>
  <w:style w:type="character" w:styleId="774" w:customStyle="1">
    <w:name w:val="Caption Char"/>
    <w:uiPriority w:val="99"/>
  </w:style>
  <w:style w:type="table" w:styleId="775">
    <w:name w:val="Plain Table 1"/>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basedOn w:val="7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name w:val="Grid Table 1 Light"/>
    <w:basedOn w:val="75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81">
    <w:name w:val="Grid Table 2"/>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2">
    <w:name w:val="Grid Table 3"/>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75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5 Dark"/>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name w:val="Grid Table 6 Colorful"/>
    <w:basedOn w:val="75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6">
    <w:name w:val="Grid Table 7 Colorful"/>
    <w:basedOn w:val="75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787">
    <w:name w:val="List Table 1 Light"/>
    <w:basedOn w:val="75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2"/>
    <w:basedOn w:val="75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89">
    <w:name w:val="List Table 3"/>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name w:val="List Table 4"/>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name w:val="List Table 5 Dark"/>
    <w:basedOn w:val="75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92">
    <w:name w:val="List Table 6 Colorful"/>
    <w:basedOn w:val="75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93">
    <w:name w:val="List Table 7 Colorful"/>
    <w:basedOn w:val="75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character" w:styleId="794" w:customStyle="1">
    <w:name w:val="Footnote Text Char"/>
    <w:uiPriority w:val="99"/>
    <w:rPr>
      <w:sz w:val="18"/>
    </w:rPr>
  </w:style>
  <w:style w:type="character" w:styleId="795" w:customStyle="1">
    <w:name w:val="Endnote Text Char"/>
    <w:uiPriority w:val="99"/>
    <w:rPr>
      <w:sz w:val="20"/>
    </w:rPr>
  </w:style>
  <w:style w:type="character" w:styleId="796" w:customStyle="1">
    <w:name w:val="Заголовок 1 Знак"/>
    <w:basedOn w:val="757"/>
    <w:link w:val="748"/>
    <w:uiPriority w:val="9"/>
    <w:rPr>
      <w:rFonts w:ascii="Arial" w:hAnsi="Arial" w:eastAsia="Arial" w:cs="Arial"/>
      <w:sz w:val="40"/>
      <w:szCs w:val="40"/>
    </w:rPr>
  </w:style>
  <w:style w:type="character" w:styleId="797" w:customStyle="1">
    <w:name w:val="Заголовок 2 Знак"/>
    <w:basedOn w:val="757"/>
    <w:link w:val="749"/>
    <w:uiPriority w:val="9"/>
    <w:rPr>
      <w:rFonts w:ascii="Arial" w:hAnsi="Arial" w:eastAsia="Arial" w:cs="Arial"/>
      <w:sz w:val="34"/>
    </w:rPr>
  </w:style>
  <w:style w:type="character" w:styleId="798" w:customStyle="1">
    <w:name w:val="Заголовок 3 Знак"/>
    <w:basedOn w:val="757"/>
    <w:link w:val="750"/>
    <w:uiPriority w:val="9"/>
    <w:rPr>
      <w:rFonts w:ascii="Arial" w:hAnsi="Arial" w:eastAsia="Arial" w:cs="Arial"/>
      <w:sz w:val="30"/>
      <w:szCs w:val="30"/>
    </w:rPr>
  </w:style>
  <w:style w:type="character" w:styleId="799" w:customStyle="1">
    <w:name w:val="Заголовок 4 Знак"/>
    <w:basedOn w:val="757"/>
    <w:link w:val="751"/>
    <w:uiPriority w:val="9"/>
    <w:rPr>
      <w:rFonts w:ascii="Arial" w:hAnsi="Arial" w:eastAsia="Arial" w:cs="Arial"/>
      <w:b/>
      <w:bCs/>
      <w:sz w:val="26"/>
      <w:szCs w:val="26"/>
    </w:rPr>
  </w:style>
  <w:style w:type="character" w:styleId="800" w:customStyle="1">
    <w:name w:val="Заголовок 5 Знак"/>
    <w:basedOn w:val="757"/>
    <w:link w:val="752"/>
    <w:uiPriority w:val="9"/>
    <w:rPr>
      <w:rFonts w:ascii="Arial" w:hAnsi="Arial" w:eastAsia="Arial" w:cs="Arial"/>
      <w:b/>
      <w:bCs/>
      <w:sz w:val="24"/>
      <w:szCs w:val="24"/>
    </w:rPr>
  </w:style>
  <w:style w:type="character" w:styleId="801" w:customStyle="1">
    <w:name w:val="Заголовок 6 Знак"/>
    <w:basedOn w:val="757"/>
    <w:link w:val="753"/>
    <w:uiPriority w:val="9"/>
    <w:rPr>
      <w:rFonts w:ascii="Arial" w:hAnsi="Arial" w:eastAsia="Arial" w:cs="Arial"/>
      <w:b/>
      <w:bCs/>
      <w:sz w:val="22"/>
      <w:szCs w:val="22"/>
    </w:rPr>
  </w:style>
  <w:style w:type="character" w:styleId="802" w:customStyle="1">
    <w:name w:val="Заголовок 7 Знак"/>
    <w:basedOn w:val="757"/>
    <w:link w:val="754"/>
    <w:uiPriority w:val="9"/>
    <w:rPr>
      <w:rFonts w:ascii="Arial" w:hAnsi="Arial" w:eastAsia="Arial" w:cs="Arial"/>
      <w:b/>
      <w:bCs/>
      <w:i/>
      <w:iCs/>
      <w:sz w:val="22"/>
      <w:szCs w:val="22"/>
    </w:rPr>
  </w:style>
  <w:style w:type="character" w:styleId="803" w:customStyle="1">
    <w:name w:val="Заголовок 8 Знак"/>
    <w:basedOn w:val="757"/>
    <w:link w:val="755"/>
    <w:uiPriority w:val="9"/>
    <w:rPr>
      <w:rFonts w:ascii="Arial" w:hAnsi="Arial" w:eastAsia="Arial" w:cs="Arial"/>
      <w:i/>
      <w:iCs/>
      <w:sz w:val="22"/>
      <w:szCs w:val="22"/>
    </w:rPr>
  </w:style>
  <w:style w:type="character" w:styleId="804" w:customStyle="1">
    <w:name w:val="Заголовок 9 Знак"/>
    <w:basedOn w:val="757"/>
    <w:link w:val="756"/>
    <w:uiPriority w:val="9"/>
    <w:rPr>
      <w:rFonts w:ascii="Arial" w:hAnsi="Arial" w:eastAsia="Arial" w:cs="Arial"/>
      <w:i/>
      <w:iCs/>
      <w:sz w:val="21"/>
      <w:szCs w:val="21"/>
    </w:rPr>
  </w:style>
  <w:style w:type="paragraph" w:styleId="805">
    <w:name w:val="No Spacing"/>
    <w:uiPriority w:val="1"/>
    <w:qFormat/>
  </w:style>
  <w:style w:type="paragraph" w:styleId="806">
    <w:name w:val="Title"/>
    <w:basedOn w:val="747"/>
    <w:next w:val="747"/>
    <w:link w:val="807"/>
    <w:uiPriority w:val="10"/>
    <w:qFormat/>
    <w:pPr>
      <w:contextualSpacing/>
      <w:spacing w:before="300" w:after="200"/>
    </w:pPr>
    <w:rPr>
      <w:sz w:val="48"/>
      <w:szCs w:val="48"/>
    </w:rPr>
  </w:style>
  <w:style w:type="character" w:styleId="807" w:customStyle="1">
    <w:name w:val="Заголовок Знак"/>
    <w:basedOn w:val="757"/>
    <w:link w:val="806"/>
    <w:uiPriority w:val="10"/>
    <w:rPr>
      <w:sz w:val="48"/>
      <w:szCs w:val="48"/>
    </w:rPr>
  </w:style>
  <w:style w:type="paragraph" w:styleId="808">
    <w:name w:val="Subtitle"/>
    <w:basedOn w:val="747"/>
    <w:next w:val="747"/>
    <w:link w:val="809"/>
    <w:uiPriority w:val="11"/>
    <w:qFormat/>
    <w:pPr>
      <w:spacing w:before="200" w:after="200"/>
    </w:pPr>
  </w:style>
  <w:style w:type="character" w:styleId="809" w:customStyle="1">
    <w:name w:val="Подзаголовок Знак"/>
    <w:basedOn w:val="757"/>
    <w:link w:val="808"/>
    <w:uiPriority w:val="11"/>
    <w:rPr>
      <w:sz w:val="24"/>
      <w:szCs w:val="24"/>
    </w:rPr>
  </w:style>
  <w:style w:type="paragraph" w:styleId="810">
    <w:name w:val="Quote"/>
    <w:basedOn w:val="747"/>
    <w:next w:val="747"/>
    <w:link w:val="811"/>
    <w:uiPriority w:val="29"/>
    <w:qFormat/>
    <w:pPr>
      <w:ind w:left="720" w:right="720"/>
    </w:pPr>
    <w:rPr>
      <w:i/>
    </w:rPr>
  </w:style>
  <w:style w:type="character" w:styleId="811" w:customStyle="1">
    <w:name w:val="Цитата 2 Знак"/>
    <w:link w:val="810"/>
    <w:uiPriority w:val="29"/>
    <w:rPr>
      <w:i/>
    </w:rPr>
  </w:style>
  <w:style w:type="paragraph" w:styleId="812">
    <w:name w:val="Intense Quote"/>
    <w:basedOn w:val="747"/>
    <w:next w:val="747"/>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Выделенная цитата Знак"/>
    <w:link w:val="812"/>
    <w:uiPriority w:val="30"/>
    <w:rPr>
      <w:i/>
    </w:rPr>
  </w:style>
  <w:style w:type="character" w:styleId="814" w:customStyle="1">
    <w:name w:val="Верхний колонтитул Знак"/>
    <w:basedOn w:val="757"/>
    <w:link w:val="977"/>
    <w:uiPriority w:val="99"/>
  </w:style>
  <w:style w:type="paragraph" w:styleId="815">
    <w:name w:val="Footer"/>
    <w:basedOn w:val="747"/>
    <w:link w:val="817"/>
    <w:uiPriority w:val="99"/>
    <w:unhideWhenUsed/>
    <w:pPr>
      <w:tabs>
        <w:tab w:val="center" w:pos="7143" w:leader="none"/>
        <w:tab w:val="right" w:pos="14287" w:leader="none"/>
      </w:tabs>
    </w:pPr>
  </w:style>
  <w:style w:type="character" w:styleId="816" w:customStyle="1">
    <w:name w:val="Footer Char"/>
    <w:basedOn w:val="757"/>
    <w:uiPriority w:val="99"/>
  </w:style>
  <w:style w:type="character" w:styleId="817" w:customStyle="1">
    <w:name w:val="Нижний колонтитул Знак"/>
    <w:link w:val="815"/>
    <w:uiPriority w:val="99"/>
  </w:style>
  <w:style w:type="table" w:styleId="818" w:customStyle="1">
    <w:name w:val="Table Grid Light"/>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19" w:customStyle="1">
    <w:name w:val="Таблица простая 11"/>
    <w:basedOn w:val="75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Таблица простая 21"/>
    <w:basedOn w:val="75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Таблица простая 31"/>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Таблица простая 41"/>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Таблица простая 51"/>
    <w:basedOn w:val="75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Таблица-сетка 1 светлая1"/>
    <w:basedOn w:val="75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1"/>
    <w:basedOn w:val="75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2"/>
    <w:basedOn w:val="75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3"/>
    <w:basedOn w:val="75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4"/>
    <w:basedOn w:val="75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5"/>
    <w:basedOn w:val="75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6"/>
    <w:basedOn w:val="75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1" w:customStyle="1">
    <w:name w:val="Таблица-сетка 21"/>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Grid Table 2 - Accent 1"/>
    <w:basedOn w:val="75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5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5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5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5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5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8" w:customStyle="1">
    <w:name w:val="Таблица-сетка 31"/>
    <w:basedOn w:val="75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1"/>
    <w:basedOn w:val="758"/>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2"/>
    <w:basedOn w:val="758"/>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3"/>
    <w:basedOn w:val="758"/>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4"/>
    <w:basedOn w:val="758"/>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5"/>
    <w:basedOn w:val="758"/>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6"/>
    <w:basedOn w:val="758"/>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Таблица-сетка 41"/>
    <w:basedOn w:val="75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6" w:customStyle="1">
    <w:name w:val="Grid Table 4 - Accent 1"/>
    <w:basedOn w:val="758"/>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47" w:customStyle="1">
    <w:name w:val="Grid Table 4 - Accent 2"/>
    <w:basedOn w:val="758"/>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48" w:customStyle="1">
    <w:name w:val="Grid Table 4 - Accent 3"/>
    <w:basedOn w:val="758"/>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49" w:customStyle="1">
    <w:name w:val="Grid Table 4 - Accent 4"/>
    <w:basedOn w:val="758"/>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0" w:customStyle="1">
    <w:name w:val="Grid Table 4 - Accent 5"/>
    <w:basedOn w:val="758"/>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1" w:customStyle="1">
    <w:name w:val="Grid Table 4 - Accent 6"/>
    <w:basedOn w:val="758"/>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2" w:customStyle="1">
    <w:name w:val="Таблица-сетка 5 темная1"/>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3" w:customStyle="1">
    <w:name w:val="Grid Table 5 Dark- Accent 1"/>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4" w:customStyle="1">
    <w:name w:val="Grid Table 5 Dark - Accent 2"/>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5" w:customStyle="1">
    <w:name w:val="Grid Table 5 Dark - Accent 3"/>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6" w:customStyle="1">
    <w:name w:val="Grid Table 5 Dark- Accent 4"/>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7" w:customStyle="1">
    <w:name w:val="Grid Table 5 Dark - Accent 5"/>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8" w:customStyle="1">
    <w:name w:val="Grid Table 5 Dark - Accent 6"/>
    <w:basedOn w:val="75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9" w:customStyle="1">
    <w:name w:val="Таблица-сетка 6 цветная1"/>
    <w:basedOn w:val="75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60" w:customStyle="1">
    <w:name w:val="Grid Table 6 Colorful - Accent 1"/>
    <w:basedOn w:val="758"/>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1" w:customStyle="1">
    <w:name w:val="Grid Table 6 Colorful - Accent 2"/>
    <w:basedOn w:val="75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62" w:customStyle="1">
    <w:name w:val="Grid Table 6 Colorful - Accent 3"/>
    <w:basedOn w:val="758"/>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63" w:customStyle="1">
    <w:name w:val="Grid Table 6 Colorful - Accent 4"/>
    <w:basedOn w:val="75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4" w:customStyle="1">
    <w:name w:val="Grid Table 6 Colorful - Accent 5"/>
    <w:basedOn w:val="758"/>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5" w:customStyle="1">
    <w:name w:val="Grid Table 6 Colorful - Accent 6"/>
    <w:basedOn w:val="758"/>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Таблица-сетка 7 цветная1"/>
    <w:basedOn w:val="75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867" w:customStyle="1">
    <w:name w:val="Grid Table 7 Colorful - Accent 1"/>
    <w:basedOn w:val="758"/>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0" w:space="0"/>
          <w:left w:val="none" w:color="000000" w:sz="0" w:space="0"/>
          <w:bottom w:val="none" w:color="000000"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0" w:space="0"/>
          <w:left w:val="none" w:color="000000" w:sz="0" w:space="0"/>
          <w:bottom w:val="single" w:color="A6BFDD" w:themeColor="accent1" w:themeTint="80" w:sz="4" w:space="0"/>
          <w:right w:val="none" w:color="000000" w:sz="0" w:space="0"/>
        </w:tcBorders>
      </w:tcPr>
    </w:tblStylePr>
    <w:tblStylePr w:type="lastCol">
      <w:rPr>
        <w:rFonts w:ascii="Arial" w:hAnsi="Arial"/>
        <w:i/>
        <w:color w:val="a6bfdd" w:themeColor="accent1" w:themeTint="80" w:themeShade="95"/>
        <w:sz w:val="22"/>
      </w:rPr>
      <w:tcPr>
        <w:shd w:val="clear" w:color="ffffff" w:fill="auto"/>
        <w:tcBorders>
          <w:top w:val="none" w:color="000000" w:sz="0" w:space="0"/>
          <w:left w:val="single" w:color="A6BFDD" w:themeColor="accent1" w:themeTint="80" w:sz="4" w:space="0"/>
          <w:bottom w:val="none" w:color="000000" w:sz="0" w:space="0"/>
          <w:right w:val="none" w:color="000000"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0" w:space="0"/>
          <w:bottom w:val="none" w:color="000000" w:sz="0" w:space="0"/>
          <w:right w:val="none" w:color="000000" w:sz="0" w:space="0"/>
        </w:tcBorders>
      </w:tcPr>
    </w:tblStylePr>
  </w:style>
  <w:style w:type="table" w:styleId="868" w:customStyle="1">
    <w:name w:val="Grid Table 7 Colorful - Accent 2"/>
    <w:basedOn w:val="758"/>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869" w:customStyle="1">
    <w:name w:val="Grid Table 7 Colorful - Accent 3"/>
    <w:basedOn w:val="758"/>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0" w:space="0"/>
          <w:left w:val="none" w:color="000000" w:sz="0" w:space="0"/>
          <w:bottom w:val="none" w:color="000000"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0" w:space="0"/>
          <w:left w:val="none" w:color="000000" w:sz="0" w:space="0"/>
          <w:bottom w:val="single" w:color="9ABB59" w:themeColor="accent3" w:themeTint="FE" w:sz="4" w:space="0"/>
          <w:right w:val="none" w:color="000000" w:sz="0" w:space="0"/>
        </w:tcBorders>
      </w:tcPr>
    </w:tblStylePr>
    <w:tblStylePr w:type="lastCol">
      <w:rPr>
        <w:rFonts w:ascii="Arial" w:hAnsi="Arial"/>
        <w:i/>
        <w:color w:val="9abb59" w:themeColor="accent3" w:themeTint="FE" w:themeShade="95"/>
        <w:sz w:val="22"/>
      </w:rPr>
      <w:tcPr>
        <w:shd w:val="clear" w:color="ffffff" w:fill="auto"/>
        <w:tcBorders>
          <w:top w:val="none" w:color="000000" w:sz="0" w:space="0"/>
          <w:left w:val="single" w:color="9ABB59" w:themeColor="accent3" w:themeTint="FE" w:sz="4" w:space="0"/>
          <w:bottom w:val="none" w:color="000000" w:sz="0" w:space="0"/>
          <w:right w:val="none" w:color="000000"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0" w:space="0"/>
          <w:bottom w:val="none" w:color="000000" w:sz="0" w:space="0"/>
          <w:right w:val="none" w:color="000000" w:sz="0" w:space="0"/>
        </w:tcBorders>
      </w:tcPr>
    </w:tblStylePr>
  </w:style>
  <w:style w:type="table" w:styleId="870" w:customStyle="1">
    <w:name w:val="Grid Table 7 Colorful - Accent 4"/>
    <w:basedOn w:val="758"/>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871" w:customStyle="1">
    <w:name w:val="Grid Table 7 Colorful - Accent 5"/>
    <w:basedOn w:val="758"/>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0" w:space="0"/>
          <w:left w:val="none" w:color="000000" w:sz="0" w:space="0"/>
          <w:bottom w:val="none" w:color="000000"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0" w:space="0"/>
          <w:left w:val="none" w:color="000000" w:sz="0" w:space="0"/>
          <w:bottom w:val="single" w:color="99D0DE" w:themeColor="accent5" w:themeTint="90" w:sz="4" w:space="0"/>
          <w:right w:val="none" w:color="000000" w:sz="0" w:space="0"/>
        </w:tcBorders>
      </w:tcPr>
    </w:tblStylePr>
    <w:tblStylePr w:type="lastCol">
      <w:rPr>
        <w:rFonts w:ascii="Arial" w:hAnsi="Arial"/>
        <w:i/>
        <w:color w:val="266779" w:themeColor="accent5" w:themeShade="95"/>
        <w:sz w:val="22"/>
      </w:rPr>
      <w:tcPr>
        <w:shd w:val="clear" w:color="ffffff" w:fill="auto"/>
        <w:tcBorders>
          <w:top w:val="none" w:color="000000" w:sz="0" w:space="0"/>
          <w:left w:val="single" w:color="99D0DE" w:themeColor="accent5" w:themeTint="90" w:sz="4" w:space="0"/>
          <w:bottom w:val="none" w:color="000000" w:sz="0" w:space="0"/>
          <w:right w:val="none" w:color="000000"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0" w:space="0"/>
          <w:bottom w:val="none" w:color="000000" w:sz="0" w:space="0"/>
          <w:right w:val="none" w:color="000000" w:sz="0" w:space="0"/>
        </w:tcBorders>
      </w:tcPr>
    </w:tblStylePr>
  </w:style>
  <w:style w:type="table" w:styleId="872" w:customStyle="1">
    <w:name w:val="Grid Table 7 Colorful - Accent 6"/>
    <w:basedOn w:val="758"/>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0" w:space="0"/>
          <w:left w:val="none" w:color="000000" w:sz="0" w:space="0"/>
          <w:bottom w:val="none" w:color="000000"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0" w:space="0"/>
          <w:left w:val="none" w:color="000000" w:sz="0" w:space="0"/>
          <w:bottom w:val="single" w:color="FAC396" w:themeColor="accent6" w:themeTint="90" w:sz="4" w:space="0"/>
          <w:right w:val="none" w:color="000000" w:sz="0" w:space="0"/>
        </w:tcBorders>
      </w:tcPr>
    </w:tblStylePr>
    <w:tblStylePr w:type="lastCol">
      <w:rPr>
        <w:rFonts w:ascii="Arial" w:hAnsi="Arial"/>
        <w:i/>
        <w:color w:val="b15407" w:themeColor="accent6" w:themeShade="95"/>
        <w:sz w:val="22"/>
      </w:rPr>
      <w:tcPr>
        <w:shd w:val="clear" w:color="ffffff" w:fill="auto"/>
        <w:tcBorders>
          <w:top w:val="none" w:color="000000" w:sz="0" w:space="0"/>
          <w:left w:val="single" w:color="FAC396" w:themeColor="accent6" w:themeTint="90" w:sz="4" w:space="0"/>
          <w:bottom w:val="none" w:color="000000" w:sz="0" w:space="0"/>
          <w:right w:val="none" w:color="000000"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0" w:space="0"/>
          <w:bottom w:val="none" w:color="000000" w:sz="0" w:space="0"/>
          <w:right w:val="none" w:color="000000" w:sz="0" w:space="0"/>
        </w:tcBorders>
      </w:tcPr>
    </w:tblStylePr>
  </w:style>
  <w:style w:type="table" w:styleId="873" w:customStyle="1">
    <w:name w:val="Список-таблица 1 светлая1"/>
    <w:basedOn w:val="75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1 Light - Accent 1"/>
    <w:basedOn w:val="758"/>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5" w:customStyle="1">
    <w:name w:val="List Table 1 Light - Accent 2"/>
    <w:basedOn w:val="758"/>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6" w:customStyle="1">
    <w:name w:val="List Table 1 Light - Accent 3"/>
    <w:basedOn w:val="758"/>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7" w:customStyle="1">
    <w:name w:val="List Table 1 Light - Accent 4"/>
    <w:basedOn w:val="758"/>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8" w:customStyle="1">
    <w:name w:val="List Table 1 Light - Accent 5"/>
    <w:basedOn w:val="758"/>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List Table 1 Light - Accent 6"/>
    <w:basedOn w:val="758"/>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Список-таблица 21"/>
    <w:basedOn w:val="75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1" w:customStyle="1">
    <w:name w:val="List Table 2 - Accent 1"/>
    <w:basedOn w:val="758"/>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2" w:customStyle="1">
    <w:name w:val="List Table 2 - Accent 2"/>
    <w:basedOn w:val="758"/>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83" w:customStyle="1">
    <w:name w:val="List Table 2 - Accent 3"/>
    <w:basedOn w:val="758"/>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4" w:customStyle="1">
    <w:name w:val="List Table 2 - Accent 4"/>
    <w:basedOn w:val="758"/>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5" w:customStyle="1">
    <w:name w:val="List Table 2 - Accent 5"/>
    <w:basedOn w:val="758"/>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6" w:customStyle="1">
    <w:name w:val="List Table 2 - Accent 6"/>
    <w:basedOn w:val="758"/>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7" w:customStyle="1">
    <w:name w:val="Список-таблица 31"/>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8" w:customStyle="1">
    <w:name w:val="List Table 3 - Accent 1"/>
    <w:basedOn w:val="758"/>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9" w:customStyle="1">
    <w:name w:val="List Table 3 - Accent 2"/>
    <w:basedOn w:val="758"/>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90" w:customStyle="1">
    <w:name w:val="List Table 3 - Accent 3"/>
    <w:basedOn w:val="758"/>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91" w:customStyle="1">
    <w:name w:val="List Table 3 - Accent 4"/>
    <w:basedOn w:val="758"/>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2" w:customStyle="1">
    <w:name w:val="List Table 3 - Accent 5"/>
    <w:basedOn w:val="758"/>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3" w:customStyle="1">
    <w:name w:val="List Table 3 - Accent 6"/>
    <w:basedOn w:val="758"/>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4" w:customStyle="1">
    <w:name w:val="Список-таблица 41"/>
    <w:basedOn w:val="75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4 - Accent 1"/>
    <w:basedOn w:val="758"/>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4 - Accent 2"/>
    <w:basedOn w:val="758"/>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7" w:customStyle="1">
    <w:name w:val="List Table 4 - Accent 3"/>
    <w:basedOn w:val="758"/>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8" w:customStyle="1">
    <w:name w:val="List Table 4 - Accent 4"/>
    <w:basedOn w:val="758"/>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9" w:customStyle="1">
    <w:name w:val="List Table 4 - Accent 5"/>
    <w:basedOn w:val="758"/>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0" w:customStyle="1">
    <w:name w:val="List Table 4 - Accent 6"/>
    <w:basedOn w:val="758"/>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1" w:customStyle="1">
    <w:name w:val="Список-таблица 5 темная1"/>
    <w:basedOn w:val="75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2" w:customStyle="1">
    <w:name w:val="List Table 5 Dark - Accent 1"/>
    <w:basedOn w:val="758"/>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3" w:customStyle="1">
    <w:name w:val="List Table 5 Dark - Accent 2"/>
    <w:basedOn w:val="758"/>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04" w:customStyle="1">
    <w:name w:val="List Table 5 Dark - Accent 3"/>
    <w:basedOn w:val="758"/>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05" w:customStyle="1">
    <w:name w:val="List Table 5 Dark - Accent 4"/>
    <w:basedOn w:val="758"/>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6" w:customStyle="1">
    <w:name w:val="List Table 5 Dark - Accent 5"/>
    <w:basedOn w:val="758"/>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7" w:customStyle="1">
    <w:name w:val="List Table 5 Dark - Accent 6"/>
    <w:basedOn w:val="758"/>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8" w:customStyle="1">
    <w:name w:val="Список-таблица 6 цветная1"/>
    <w:basedOn w:val="75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09" w:customStyle="1">
    <w:name w:val="List Table 6 Colorful - Accent 1"/>
    <w:basedOn w:val="758"/>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10" w:customStyle="1">
    <w:name w:val="List Table 6 Colorful - Accent 2"/>
    <w:basedOn w:val="758"/>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11" w:customStyle="1">
    <w:name w:val="List Table 6 Colorful - Accent 3"/>
    <w:basedOn w:val="758"/>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12" w:customStyle="1">
    <w:name w:val="List Table 6 Colorful - Accent 4"/>
    <w:basedOn w:val="758"/>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3" w:customStyle="1">
    <w:name w:val="List Table 6 Colorful - Accent 5"/>
    <w:basedOn w:val="758"/>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4" w:customStyle="1">
    <w:name w:val="List Table 6 Colorful - Accent 6"/>
    <w:basedOn w:val="758"/>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5" w:customStyle="1">
    <w:name w:val="Список-таблица 7 цветная1"/>
    <w:basedOn w:val="75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0" w:space="0"/>
          <w:left w:val="none" w:color="000000" w:sz="0" w:space="0"/>
          <w:bottom w:val="none" w:color="000000"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0" w:space="0"/>
          <w:left w:val="none" w:color="000000" w:sz="0" w:space="0"/>
          <w:bottom w:val="single" w:color="7F7F7F" w:themeColor="text1" w:themeTint="80" w:sz="4" w:space="0"/>
          <w:right w:val="none" w:color="000000" w:sz="0" w:space="0"/>
        </w:tcBorders>
      </w:tcPr>
    </w:tblStylePr>
    <w:tblStylePr w:type="lastCol">
      <w:rPr>
        <w:rFonts w:ascii="Arial" w:hAnsi="Arial"/>
        <w:i/>
        <w:color w:val="7f7f7f" w:themeColor="text1" w:themeTint="80" w:themeShade="95"/>
        <w:sz w:val="22"/>
      </w:rPr>
      <w:tcPr>
        <w:shd w:val="clear" w:color="ffffff" w:fill="auto"/>
        <w:tcBorders>
          <w:top w:val="none" w:color="000000" w:sz="0" w:space="0"/>
          <w:left w:val="single" w:color="7F7F7F" w:themeColor="text1" w:themeTint="80" w:sz="4" w:space="0"/>
          <w:bottom w:val="none" w:color="000000" w:sz="0" w:space="0"/>
          <w:right w:val="none" w:color="000000"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0" w:space="0"/>
          <w:bottom w:val="none" w:color="000000" w:sz="0" w:space="0"/>
          <w:right w:val="none" w:color="000000" w:sz="0" w:space="0"/>
        </w:tcBorders>
      </w:tcPr>
    </w:tblStylePr>
  </w:style>
  <w:style w:type="table" w:styleId="916" w:customStyle="1">
    <w:name w:val="List Table 7 Colorful - Accent 1"/>
    <w:basedOn w:val="758"/>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0" w:space="0"/>
          <w:left w:val="none" w:color="000000" w:sz="0" w:space="0"/>
          <w:bottom w:val="none" w:color="000000"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0" w:space="0"/>
          <w:left w:val="none" w:color="000000" w:sz="0" w:space="0"/>
          <w:bottom w:val="single" w:color="4F81BD" w:themeColor="accent1" w:sz="4" w:space="0"/>
          <w:right w:val="none" w:color="000000" w:sz="0" w:space="0"/>
        </w:tcBorders>
      </w:tcPr>
    </w:tblStylePr>
    <w:tblStylePr w:type="lastCol">
      <w:rPr>
        <w:rFonts w:ascii="Arial" w:hAnsi="Arial"/>
        <w:i/>
        <w:color w:val="2a4a71" w:themeColor="accent1" w:themeShade="95"/>
        <w:sz w:val="22"/>
      </w:rPr>
      <w:tcPr>
        <w:shd w:val="clear" w:color="ffffff" w:fill="auto"/>
        <w:tcBorders>
          <w:top w:val="none" w:color="000000" w:sz="0" w:space="0"/>
          <w:left w:val="single" w:color="4F81BD" w:themeColor="accent1" w:sz="4" w:space="0"/>
          <w:bottom w:val="none" w:color="000000" w:sz="0" w:space="0"/>
          <w:right w:val="none" w:color="000000"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0" w:space="0"/>
          <w:bottom w:val="none" w:color="000000" w:sz="0" w:space="0"/>
          <w:right w:val="none" w:color="000000" w:sz="0" w:space="0"/>
        </w:tcBorders>
      </w:tcPr>
    </w:tblStylePr>
  </w:style>
  <w:style w:type="table" w:styleId="917" w:customStyle="1">
    <w:name w:val="List Table 7 Colorful - Accent 2"/>
    <w:basedOn w:val="758"/>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0" w:space="0"/>
          <w:left w:val="none" w:color="000000" w:sz="0" w:space="0"/>
          <w:bottom w:val="none" w:color="000000"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0" w:space="0"/>
          <w:left w:val="none" w:color="000000" w:sz="0" w:space="0"/>
          <w:bottom w:val="single" w:color="D99695" w:themeColor="accent2" w:themeTint="97" w:sz="4" w:space="0"/>
          <w:right w:val="none" w:color="000000" w:sz="0" w:space="0"/>
        </w:tcBorders>
      </w:tcPr>
    </w:tblStylePr>
    <w:tblStylePr w:type="lastCol">
      <w:rPr>
        <w:rFonts w:ascii="Arial" w:hAnsi="Arial"/>
        <w:i/>
        <w:color w:val="d99695" w:themeColor="accent2" w:themeTint="97" w:themeShade="95"/>
        <w:sz w:val="22"/>
      </w:rPr>
      <w:tcPr>
        <w:shd w:val="clear" w:color="ffffff" w:fill="auto"/>
        <w:tcBorders>
          <w:top w:val="none" w:color="000000" w:sz="0" w:space="0"/>
          <w:left w:val="single" w:color="D99695" w:themeColor="accent2" w:themeTint="97" w:sz="4" w:space="0"/>
          <w:bottom w:val="none" w:color="000000" w:sz="0" w:space="0"/>
          <w:right w:val="none" w:color="000000"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0" w:space="0"/>
          <w:bottom w:val="none" w:color="000000" w:sz="0" w:space="0"/>
          <w:right w:val="none" w:color="000000" w:sz="0" w:space="0"/>
        </w:tcBorders>
      </w:tcPr>
    </w:tblStylePr>
  </w:style>
  <w:style w:type="table" w:styleId="918" w:customStyle="1">
    <w:name w:val="List Table 7 Colorful - Accent 3"/>
    <w:basedOn w:val="758"/>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0" w:space="0"/>
          <w:left w:val="none" w:color="000000" w:sz="0" w:space="0"/>
          <w:bottom w:val="none" w:color="000000"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0" w:space="0"/>
          <w:left w:val="none" w:color="000000" w:sz="0" w:space="0"/>
          <w:bottom w:val="single" w:color="C3D69B" w:themeColor="accent3" w:themeTint="98" w:sz="4" w:space="0"/>
          <w:right w:val="none" w:color="000000" w:sz="0" w:space="0"/>
        </w:tcBorders>
      </w:tcPr>
    </w:tblStylePr>
    <w:tblStylePr w:type="lastCol">
      <w:rPr>
        <w:rFonts w:ascii="Arial" w:hAnsi="Arial"/>
        <w:i/>
        <w:color w:val="c3d69b" w:themeColor="accent3" w:themeTint="98" w:themeShade="95"/>
        <w:sz w:val="22"/>
      </w:rPr>
      <w:tcPr>
        <w:shd w:val="clear" w:color="ffffff" w:fill="auto"/>
        <w:tcBorders>
          <w:top w:val="none" w:color="000000" w:sz="0" w:space="0"/>
          <w:left w:val="single" w:color="C3D69B" w:themeColor="accent3" w:themeTint="98" w:sz="4" w:space="0"/>
          <w:bottom w:val="none" w:color="000000" w:sz="0" w:space="0"/>
          <w:right w:val="none" w:color="000000"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0" w:space="0"/>
          <w:bottom w:val="none" w:color="000000" w:sz="0" w:space="0"/>
          <w:right w:val="none" w:color="000000" w:sz="0" w:space="0"/>
        </w:tcBorders>
      </w:tcPr>
    </w:tblStylePr>
  </w:style>
  <w:style w:type="table" w:styleId="919" w:customStyle="1">
    <w:name w:val="List Table 7 Colorful - Accent 4"/>
    <w:basedOn w:val="758"/>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0" w:space="0"/>
          <w:left w:val="none" w:color="000000" w:sz="0" w:space="0"/>
          <w:bottom w:val="none" w:color="000000"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0" w:space="0"/>
          <w:left w:val="none" w:color="000000" w:sz="0" w:space="0"/>
          <w:bottom w:val="single" w:color="B2A1C6" w:themeColor="accent4" w:themeTint="9A" w:sz="4" w:space="0"/>
          <w:right w:val="none" w:color="000000" w:sz="0" w:space="0"/>
        </w:tcBorders>
      </w:tcPr>
    </w:tblStylePr>
    <w:tblStylePr w:type="lastCol">
      <w:rPr>
        <w:rFonts w:ascii="Arial" w:hAnsi="Arial"/>
        <w:i/>
        <w:color w:val="b2a1c6" w:themeColor="accent4" w:themeTint="9A" w:themeShade="95"/>
        <w:sz w:val="22"/>
      </w:rPr>
      <w:tcPr>
        <w:shd w:val="clear" w:color="ffffff" w:fill="auto"/>
        <w:tcBorders>
          <w:top w:val="none" w:color="000000" w:sz="0" w:space="0"/>
          <w:left w:val="single" w:color="B2A1C6" w:themeColor="accent4" w:themeTint="9A" w:sz="4" w:space="0"/>
          <w:bottom w:val="none" w:color="000000" w:sz="0" w:space="0"/>
          <w:right w:val="none" w:color="000000"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0" w:space="0"/>
          <w:bottom w:val="none" w:color="000000" w:sz="0" w:space="0"/>
          <w:right w:val="none" w:color="000000" w:sz="0" w:space="0"/>
        </w:tcBorders>
      </w:tcPr>
    </w:tblStylePr>
  </w:style>
  <w:style w:type="table" w:styleId="920" w:customStyle="1">
    <w:name w:val="List Table 7 Colorful - Accent 5"/>
    <w:basedOn w:val="758"/>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0" w:space="0"/>
          <w:left w:val="none" w:color="000000" w:sz="0" w:space="0"/>
          <w:bottom w:val="none" w:color="000000"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0" w:space="0"/>
          <w:left w:val="none" w:color="000000" w:sz="0" w:space="0"/>
          <w:bottom w:val="single" w:color="92CCDC" w:themeColor="accent5" w:themeTint="9A" w:sz="4" w:space="0"/>
          <w:right w:val="none" w:color="000000" w:sz="0" w:space="0"/>
        </w:tcBorders>
      </w:tcPr>
    </w:tblStylePr>
    <w:tblStylePr w:type="lastCol">
      <w:rPr>
        <w:rFonts w:ascii="Arial" w:hAnsi="Arial"/>
        <w:i/>
        <w:color w:val="92ccdc" w:themeColor="accent5" w:themeTint="9A" w:themeShade="95"/>
        <w:sz w:val="22"/>
      </w:rPr>
      <w:tcPr>
        <w:shd w:val="clear" w:color="ffffff" w:fill="auto"/>
        <w:tcBorders>
          <w:top w:val="none" w:color="000000" w:sz="0" w:space="0"/>
          <w:left w:val="single" w:color="92CCDC" w:themeColor="accent5" w:themeTint="9A" w:sz="4" w:space="0"/>
          <w:bottom w:val="none" w:color="000000" w:sz="0" w:space="0"/>
          <w:right w:val="none" w:color="000000"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0" w:space="0"/>
          <w:bottom w:val="none" w:color="000000" w:sz="0" w:space="0"/>
          <w:right w:val="none" w:color="000000" w:sz="0" w:space="0"/>
        </w:tcBorders>
      </w:tcPr>
    </w:tblStylePr>
  </w:style>
  <w:style w:type="table" w:styleId="921" w:customStyle="1">
    <w:name w:val="List Table 7 Colorful - Accent 6"/>
    <w:basedOn w:val="758"/>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0" w:space="0"/>
          <w:left w:val="none" w:color="000000" w:sz="0" w:space="0"/>
          <w:bottom w:val="none" w:color="000000"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0" w:space="0"/>
          <w:left w:val="none" w:color="000000" w:sz="0" w:space="0"/>
          <w:bottom w:val="single" w:color="FAC090" w:themeColor="accent6" w:themeTint="98" w:sz="4" w:space="0"/>
          <w:right w:val="none" w:color="000000" w:sz="0" w:space="0"/>
        </w:tcBorders>
      </w:tcPr>
    </w:tblStylePr>
    <w:tblStylePr w:type="lastCol">
      <w:rPr>
        <w:rFonts w:ascii="Arial" w:hAnsi="Arial"/>
        <w:i/>
        <w:color w:val="fac090" w:themeColor="accent6" w:themeTint="98" w:themeShade="95"/>
        <w:sz w:val="22"/>
      </w:rPr>
      <w:tcPr>
        <w:shd w:val="clear" w:color="ffffff" w:fill="auto"/>
        <w:tcBorders>
          <w:top w:val="none" w:color="000000" w:sz="0" w:space="0"/>
          <w:left w:val="single" w:color="FAC090" w:themeColor="accent6" w:themeTint="98" w:sz="4" w:space="0"/>
          <w:bottom w:val="none" w:color="000000" w:sz="0" w:space="0"/>
          <w:right w:val="none" w:color="000000"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0" w:space="0"/>
          <w:bottom w:val="none" w:color="000000" w:sz="0" w:space="0"/>
          <w:right w:val="none" w:color="000000" w:sz="0" w:space="0"/>
        </w:tcBorders>
      </w:tcPr>
    </w:tblStylePr>
  </w:style>
  <w:style w:type="table" w:styleId="922" w:customStyle="1">
    <w:name w:val="Lined - Accent"/>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3" w:customStyle="1">
    <w:name w:val="Lined - Accent 1"/>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24" w:customStyle="1">
    <w:name w:val="Lined - Accent 2"/>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25" w:customStyle="1">
    <w:name w:val="Lined - Accent 3"/>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26" w:customStyle="1">
    <w:name w:val="Lined - Accent 4"/>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Lined - Accent 5"/>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Lined - Accent 6"/>
    <w:basedOn w:val="75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amp; Lined - Accent"/>
    <w:basedOn w:val="75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0" w:customStyle="1">
    <w:name w:val="Bordered &amp; Lined - Accent 1"/>
    <w:basedOn w:val="758"/>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1" w:customStyle="1">
    <w:name w:val="Bordered &amp; Lined - Accent 2"/>
    <w:basedOn w:val="758"/>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2" w:customStyle="1">
    <w:name w:val="Bordered &amp; Lined - Accent 3"/>
    <w:basedOn w:val="758"/>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3" w:customStyle="1">
    <w:name w:val="Bordered &amp; Lined - Accent 4"/>
    <w:basedOn w:val="758"/>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Bordered &amp; Lined - Accent 5"/>
    <w:basedOn w:val="758"/>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Bordered &amp; Lined - Accent 6"/>
    <w:basedOn w:val="758"/>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w:basedOn w:val="75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37" w:customStyle="1">
    <w:name w:val="Bordered - Accent 1"/>
    <w:basedOn w:val="758"/>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8" w:customStyle="1">
    <w:name w:val="Bordered - Accent 2"/>
    <w:basedOn w:val="758"/>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39" w:customStyle="1">
    <w:name w:val="Bordered - Accent 3"/>
    <w:basedOn w:val="758"/>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40" w:customStyle="1">
    <w:name w:val="Bordered - Accent 4"/>
    <w:basedOn w:val="758"/>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1" w:customStyle="1">
    <w:name w:val="Bordered - Accent 5"/>
    <w:basedOn w:val="758"/>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2" w:customStyle="1">
    <w:name w:val="Bordered - Accent 6"/>
    <w:basedOn w:val="758"/>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43">
    <w:name w:val="footnote text"/>
    <w:basedOn w:val="747"/>
    <w:link w:val="944"/>
    <w:uiPriority w:val="99"/>
    <w:semiHidden/>
    <w:unhideWhenUsed/>
    <w:pPr>
      <w:spacing w:after="40"/>
    </w:pPr>
    <w:rPr>
      <w:sz w:val="18"/>
    </w:rPr>
  </w:style>
  <w:style w:type="character" w:styleId="944" w:customStyle="1">
    <w:name w:val="Текст сноски Знак"/>
    <w:link w:val="943"/>
    <w:uiPriority w:val="99"/>
    <w:rPr>
      <w:sz w:val="18"/>
    </w:rPr>
  </w:style>
  <w:style w:type="character" w:styleId="945">
    <w:name w:val="footnote reference"/>
    <w:basedOn w:val="757"/>
    <w:uiPriority w:val="99"/>
    <w:unhideWhenUsed/>
    <w:rPr>
      <w:vertAlign w:val="superscript"/>
    </w:rPr>
  </w:style>
  <w:style w:type="paragraph" w:styleId="946">
    <w:name w:val="endnote text"/>
    <w:basedOn w:val="747"/>
    <w:link w:val="947"/>
    <w:uiPriority w:val="99"/>
    <w:semiHidden/>
    <w:unhideWhenUsed/>
    <w:rPr>
      <w:sz w:val="20"/>
    </w:rPr>
  </w:style>
  <w:style w:type="character" w:styleId="947" w:customStyle="1">
    <w:name w:val="Текст концевой сноски Знак"/>
    <w:link w:val="946"/>
    <w:uiPriority w:val="99"/>
    <w:rPr>
      <w:sz w:val="20"/>
    </w:rPr>
  </w:style>
  <w:style w:type="character" w:styleId="948">
    <w:name w:val="endnote reference"/>
    <w:basedOn w:val="757"/>
    <w:uiPriority w:val="99"/>
    <w:semiHidden/>
    <w:unhideWhenUsed/>
    <w:rPr>
      <w:vertAlign w:val="superscript"/>
    </w:rPr>
  </w:style>
  <w:style w:type="paragraph" w:styleId="949">
    <w:name w:val="toc 1"/>
    <w:basedOn w:val="747"/>
    <w:next w:val="747"/>
    <w:uiPriority w:val="39"/>
    <w:unhideWhenUsed/>
    <w:pPr>
      <w:spacing w:after="57"/>
    </w:pPr>
  </w:style>
  <w:style w:type="paragraph" w:styleId="950">
    <w:name w:val="toc 2"/>
    <w:basedOn w:val="747"/>
    <w:next w:val="747"/>
    <w:uiPriority w:val="39"/>
    <w:unhideWhenUsed/>
    <w:pPr>
      <w:ind w:left="283"/>
      <w:spacing w:after="57"/>
    </w:pPr>
  </w:style>
  <w:style w:type="paragraph" w:styleId="951">
    <w:name w:val="toc 3"/>
    <w:basedOn w:val="747"/>
    <w:next w:val="747"/>
    <w:uiPriority w:val="39"/>
    <w:unhideWhenUsed/>
    <w:pPr>
      <w:ind w:left="567"/>
      <w:spacing w:after="57"/>
    </w:pPr>
  </w:style>
  <w:style w:type="paragraph" w:styleId="952">
    <w:name w:val="toc 4"/>
    <w:basedOn w:val="747"/>
    <w:next w:val="747"/>
    <w:uiPriority w:val="39"/>
    <w:unhideWhenUsed/>
    <w:pPr>
      <w:ind w:left="850"/>
      <w:spacing w:after="57"/>
    </w:pPr>
  </w:style>
  <w:style w:type="paragraph" w:styleId="953">
    <w:name w:val="toc 5"/>
    <w:basedOn w:val="747"/>
    <w:next w:val="747"/>
    <w:uiPriority w:val="39"/>
    <w:unhideWhenUsed/>
    <w:pPr>
      <w:ind w:left="1134"/>
      <w:spacing w:after="57"/>
    </w:pPr>
  </w:style>
  <w:style w:type="paragraph" w:styleId="954">
    <w:name w:val="toc 6"/>
    <w:basedOn w:val="747"/>
    <w:next w:val="747"/>
    <w:uiPriority w:val="39"/>
    <w:unhideWhenUsed/>
    <w:pPr>
      <w:ind w:left="1417"/>
      <w:spacing w:after="57"/>
    </w:pPr>
  </w:style>
  <w:style w:type="paragraph" w:styleId="955">
    <w:name w:val="toc 7"/>
    <w:basedOn w:val="747"/>
    <w:next w:val="747"/>
    <w:uiPriority w:val="39"/>
    <w:unhideWhenUsed/>
    <w:pPr>
      <w:ind w:left="1701"/>
      <w:spacing w:after="57"/>
    </w:pPr>
  </w:style>
  <w:style w:type="paragraph" w:styleId="956">
    <w:name w:val="toc 8"/>
    <w:basedOn w:val="747"/>
    <w:next w:val="747"/>
    <w:uiPriority w:val="39"/>
    <w:unhideWhenUsed/>
    <w:pPr>
      <w:ind w:left="1984"/>
      <w:spacing w:after="57"/>
    </w:pPr>
  </w:style>
  <w:style w:type="paragraph" w:styleId="957">
    <w:name w:val="toc 9"/>
    <w:basedOn w:val="747"/>
    <w:next w:val="747"/>
    <w:uiPriority w:val="39"/>
    <w:unhideWhenUsed/>
    <w:pPr>
      <w:ind w:left="2268"/>
      <w:spacing w:after="57"/>
    </w:pPr>
  </w:style>
  <w:style w:type="paragraph" w:styleId="958">
    <w:name w:val="TOC Heading"/>
    <w:uiPriority w:val="39"/>
    <w:unhideWhenUsed/>
  </w:style>
  <w:style w:type="paragraph" w:styleId="959">
    <w:name w:val="table of figures"/>
    <w:basedOn w:val="747"/>
    <w:next w:val="747"/>
    <w:uiPriority w:val="99"/>
    <w:unhideWhenUsed/>
  </w:style>
  <w:style w:type="paragraph" w:styleId="960" w:customStyle="1">
    <w:name w:val="Style5"/>
    <w:basedOn w:val="747"/>
    <w:uiPriority w:val="99"/>
    <w:pPr>
      <w:spacing w:line="307" w:lineRule="exact"/>
    </w:pPr>
  </w:style>
  <w:style w:type="paragraph" w:styleId="961" w:customStyle="1">
    <w:name w:val="Style6"/>
    <w:basedOn w:val="747"/>
    <w:uiPriority w:val="99"/>
    <w:pPr>
      <w:ind w:firstLine="749"/>
      <w:spacing w:line="302" w:lineRule="exact"/>
    </w:pPr>
  </w:style>
  <w:style w:type="paragraph" w:styleId="962" w:customStyle="1">
    <w:name w:val="Style7"/>
    <w:basedOn w:val="747"/>
    <w:uiPriority w:val="99"/>
    <w:pPr>
      <w:jc w:val="both"/>
      <w:spacing w:line="298" w:lineRule="exact"/>
    </w:pPr>
  </w:style>
  <w:style w:type="paragraph" w:styleId="963" w:customStyle="1">
    <w:name w:val="Style8"/>
    <w:basedOn w:val="747"/>
    <w:uiPriority w:val="99"/>
  </w:style>
  <w:style w:type="paragraph" w:styleId="964" w:customStyle="1">
    <w:name w:val="Style9"/>
    <w:basedOn w:val="747"/>
    <w:uiPriority w:val="99"/>
    <w:pPr>
      <w:ind w:hanging="125"/>
      <w:spacing w:line="298" w:lineRule="exact"/>
    </w:pPr>
  </w:style>
  <w:style w:type="paragraph" w:styleId="965" w:customStyle="1">
    <w:name w:val="Style10"/>
    <w:basedOn w:val="747"/>
    <w:uiPriority w:val="99"/>
    <w:pPr>
      <w:ind w:firstLine="720"/>
      <w:jc w:val="both"/>
      <w:spacing w:line="288" w:lineRule="exact"/>
    </w:pPr>
  </w:style>
  <w:style w:type="paragraph" w:styleId="966" w:customStyle="1">
    <w:name w:val="Style11"/>
    <w:basedOn w:val="747"/>
    <w:uiPriority w:val="99"/>
  </w:style>
  <w:style w:type="paragraph" w:styleId="967" w:customStyle="1">
    <w:name w:val="Style12"/>
    <w:basedOn w:val="747"/>
    <w:uiPriority w:val="99"/>
    <w:pPr>
      <w:jc w:val="both"/>
      <w:spacing w:line="302" w:lineRule="exact"/>
    </w:pPr>
  </w:style>
  <w:style w:type="character" w:styleId="968" w:customStyle="1">
    <w:name w:val="Font Style18"/>
    <w:uiPriority w:val="99"/>
    <w:rPr>
      <w:rFonts w:ascii="Times New Roman" w:hAnsi="Times New Roman" w:cs="Times New Roman"/>
      <w:b/>
      <w:bCs/>
      <w:sz w:val="16"/>
      <w:szCs w:val="16"/>
    </w:rPr>
  </w:style>
  <w:style w:type="character" w:styleId="969" w:customStyle="1">
    <w:name w:val="Font Style19"/>
    <w:uiPriority w:val="99"/>
    <w:rPr>
      <w:rFonts w:ascii="Times New Roman" w:hAnsi="Times New Roman" w:cs="Times New Roman"/>
      <w:sz w:val="24"/>
      <w:szCs w:val="24"/>
    </w:rPr>
  </w:style>
  <w:style w:type="paragraph" w:styleId="970">
    <w:name w:val="List Paragraph"/>
    <w:basedOn w:val="747"/>
    <w:uiPriority w:val="34"/>
    <w:qFormat/>
    <w:pPr>
      <w:contextualSpacing/>
      <w:ind w:left="720"/>
    </w:pPr>
  </w:style>
  <w:style w:type="paragraph" w:styleId="971" w:customStyle="1">
    <w:name w:val="Style2"/>
    <w:basedOn w:val="747"/>
    <w:uiPriority w:val="99"/>
  </w:style>
  <w:style w:type="character" w:styleId="972" w:customStyle="1">
    <w:name w:val="Font Style13"/>
    <w:uiPriority w:val="99"/>
    <w:rPr>
      <w:rFonts w:ascii="Times New Roman" w:hAnsi="Times New Roman" w:cs="Times New Roman"/>
      <w:sz w:val="26"/>
      <w:szCs w:val="26"/>
    </w:rPr>
  </w:style>
  <w:style w:type="table" w:styleId="973">
    <w:name w:val="Table Grid"/>
    <w:basedOn w:val="758"/>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4">
    <w:name w:val="Caption"/>
    <w:basedOn w:val="747"/>
    <w:next w:val="747"/>
    <w:qFormat/>
    <w:pPr>
      <w:jc w:val="center"/>
      <w:widowControl/>
    </w:pPr>
    <w:rPr>
      <w:b/>
      <w:sz w:val="32"/>
      <w:szCs w:val="20"/>
    </w:rPr>
  </w:style>
  <w:style w:type="character" w:styleId="975">
    <w:name w:val="Hyperlink"/>
    <w:rPr>
      <w:color w:val="0000ff"/>
      <w:u w:val="single"/>
    </w:rPr>
  </w:style>
  <w:style w:type="paragraph" w:styleId="976"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47"/>
    <w:pPr>
      <w:jc w:val="right"/>
      <w:spacing w:after="160" w:line="240" w:lineRule="exact"/>
    </w:pPr>
    <w:rPr>
      <w:sz w:val="20"/>
      <w:szCs w:val="20"/>
      <w:lang w:val="en-GB" w:eastAsia="en-US"/>
    </w:rPr>
  </w:style>
  <w:style w:type="paragraph" w:styleId="977">
    <w:name w:val="Header"/>
    <w:basedOn w:val="747"/>
    <w:link w:val="814"/>
    <w:pPr>
      <w:widowControl/>
      <w:tabs>
        <w:tab w:val="center" w:pos="4677" w:leader="none"/>
        <w:tab w:val="right" w:pos="9355" w:leader="none"/>
      </w:tabs>
    </w:pPr>
    <w:rPr>
      <w:sz w:val="28"/>
      <w:szCs w:val="20"/>
    </w:rPr>
  </w:style>
  <w:style w:type="paragraph" w:styleId="978">
    <w:name w:val="Body Text Indent 2"/>
    <w:basedOn w:val="747"/>
    <w:link w:val="981"/>
    <w:pPr>
      <w:ind w:firstLine="851"/>
      <w:jc w:val="both"/>
      <w:widowControl/>
    </w:pPr>
    <w:rPr>
      <w:sz w:val="28"/>
      <w:szCs w:val="20"/>
    </w:rPr>
  </w:style>
  <w:style w:type="paragraph" w:styleId="979">
    <w:name w:val="Body Text"/>
    <w:basedOn w:val="747"/>
    <w:link w:val="980"/>
    <w:pPr>
      <w:spacing w:after="120"/>
      <w:widowControl/>
    </w:pPr>
    <w:rPr>
      <w:sz w:val="20"/>
      <w:szCs w:val="20"/>
    </w:rPr>
  </w:style>
  <w:style w:type="character" w:styleId="980" w:customStyle="1">
    <w:name w:val="Основной текст Знак"/>
    <w:link w:val="979"/>
    <w:rPr>
      <w:lang w:val="ru-RU" w:eastAsia="ru-RU" w:bidi="ar-SA"/>
    </w:rPr>
  </w:style>
  <w:style w:type="character" w:styleId="981" w:customStyle="1">
    <w:name w:val="Основной текст с отступом 2 Знак"/>
    <w:link w:val="978"/>
    <w:rPr>
      <w:sz w:val="28"/>
      <w:lang w:bidi="ar-SA"/>
    </w:rPr>
  </w:style>
  <w:style w:type="paragraph" w:styleId="982">
    <w:name w:val="Normal (Web)"/>
    <w:basedOn w:val="747"/>
    <w:uiPriority w:val="99"/>
    <w:pPr>
      <w:spacing w:before="100" w:beforeAutospacing="1" w:after="100" w:afterAutospacing="1"/>
      <w:widowControl/>
    </w:pPr>
  </w:style>
  <w:style w:type="paragraph" w:styleId="983">
    <w:name w:val="Body Text Indent"/>
    <w:basedOn w:val="747"/>
    <w:pPr>
      <w:ind w:left="283"/>
      <w:spacing w:after="120"/>
    </w:pPr>
  </w:style>
  <w:style w:type="paragraph" w:styleId="984">
    <w:name w:val="Balloon Text"/>
    <w:basedOn w:val="747"/>
    <w:link w:val="985"/>
    <w:uiPriority w:val="99"/>
    <w:semiHidden/>
    <w:unhideWhenUsed/>
    <w:rPr>
      <w:rFonts w:ascii="Tahoma" w:hAnsi="Tahoma" w:cs="Tahoma"/>
      <w:sz w:val="16"/>
      <w:szCs w:val="16"/>
    </w:rPr>
  </w:style>
  <w:style w:type="character" w:styleId="985" w:customStyle="1">
    <w:name w:val="Текст выноски Знак"/>
    <w:link w:val="984"/>
    <w:uiPriority w:val="99"/>
    <w:semiHidden/>
    <w:rPr>
      <w:rFonts w:ascii="Tahoma" w:hAnsi="Tahoma" w:eastAsia="Times New Roman" w:cs="Tahoma"/>
      <w:sz w:val="16"/>
      <w:szCs w:val="16"/>
    </w:rPr>
  </w:style>
  <w:style w:type="paragraph" w:styleId="986" w:customStyle="1">
    <w:name w:val="ConsPlusNormal"/>
    <w:rPr>
      <w:rFonts w:ascii="Times New Roman" w:hAnsi="Times New Roman"/>
      <w:b/>
      <w:bCs/>
    </w:rPr>
  </w:style>
  <w:style w:type="paragraph" w:styleId="987" w:customStyle="1">
    <w:name w:val="Знак Знак1 Знак Знак Знак Знак Знак Знак Знак Знак Знак Знак Знак Знак Знак Знак"/>
    <w:basedOn w:val="747"/>
    <w:pPr>
      <w:spacing w:after="160" w:line="240" w:lineRule="exact"/>
      <w:widowControl/>
    </w:pPr>
    <w:rPr>
      <w:rFonts w:ascii="Verdana" w:hAnsi="Verdana" w:cs="Verdana"/>
      <w:sz w:val="20"/>
      <w:szCs w:val="20"/>
      <w:lang w:val="en-US" w:eastAsia="en-US"/>
    </w:rPr>
  </w:style>
  <w:style w:type="paragraph" w:styleId="988" w:customStyle="1">
    <w:name w:val="ConsPlusTitle"/>
    <w:pPr>
      <w:widowControl w:val="off"/>
    </w:pPr>
    <w:rPr>
      <w:rFonts w:eastAsia="Times New Roman" w:cs="Calibri"/>
      <w:b/>
      <w:sz w:val="22"/>
    </w:rPr>
  </w:style>
  <w:style w:type="table" w:styleId="989" w:customStyle="1">
    <w:name w:val="Сетка таблицы1"/>
    <w:basedOn w:val="758"/>
    <w:next w:val="973"/>
    <w:uiPriority w:val="59"/>
    <w:rPr>
      <w:rFonts w:ascii="Times New Roman" w:hAnsi="Times New Roman"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D572-1EA7-4831-8284-98852A7AB1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15</cp:revision>
  <dcterms:created xsi:type="dcterms:W3CDTF">2025-04-29T13:49:00Z</dcterms:created>
  <dcterms:modified xsi:type="dcterms:W3CDTF">2025-09-26T09:09:14Z</dcterms:modified>
</cp:coreProperties>
</file>