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от 20.10.2025            </w:t>
      </w:r>
      <w:r>
        <w:rPr>
          <w:b/>
        </w:rPr>
        <w:tab/>
      </w:r>
      <w:r>
        <w:rPr>
          <w:b/>
        </w:rPr>
        <w:tab/>
      </w:r>
      <w:r>
        <w:rPr>
          <w:b/>
        </w:rPr>
        <w:tab/>
      </w:r>
      <w:r>
        <w:rPr>
          <w:b/>
        </w:rPr>
        <w:tab/>
      </w:r>
      <w:r>
        <w:rPr>
          <w:b/>
        </w:rPr>
        <w:tab/>
      </w:r>
      <w:r>
        <w:rPr>
          <w:b/>
        </w:rPr>
        <w:tab/>
      </w:r>
      <w:r>
        <w:rPr>
          <w:b/>
        </w:rPr>
        <w:tab/>
      </w:r>
      <w:r>
        <w:rPr>
          <w:b/>
        </w:rPr>
        <w:tab/>
      </w:r>
      <w:r>
        <w:rPr>
          <w:b/>
        </w:rPr>
        <w:tab/>
        <w:t xml:space="preserve">           </w:t>
      </w:r>
      <w:r>
        <w:rPr>
          <w:b/>
        </w:rPr>
        <w:t xml:space="preserve">  </w:t>
      </w:r>
      <w:r>
        <w:rPr>
          <w:b/>
        </w:rPr>
        <w:t xml:space="preserve">№ 1687</w:t>
      </w:r>
      <w:r>
        <w:rPr>
          <w:b/>
        </w:rPr>
      </w:r>
      <w:r>
        <w:rPr>
          <w:b/>
        </w:rPr>
      </w:r>
    </w:p>
    <w:p>
      <w:pPr>
        <w:jc w:val="center"/>
        <w:rPr>
          <w:b/>
        </w:rPr>
      </w:pPr>
      <w:r>
        <w:rPr>
          <w:b/>
        </w:rPr>
        <w:t xml:space="preserve">п.г.т</w:t>
      </w:r>
      <w:r>
        <w:rPr>
          <w:b/>
        </w:rPr>
        <w:t xml:space="preserve">.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w:t>
      </w:r>
      <w:r>
        <w:rPr>
          <w:b/>
          <w:bCs/>
          <w:sz w:val="20"/>
          <w:szCs w:val="20"/>
        </w:rPr>
      </w:r>
      <w:r>
        <w:rPr>
          <w:b/>
          <w:bCs/>
          <w:sz w:val="20"/>
          <w:szCs w:val="20"/>
        </w:rPr>
      </w:r>
    </w:p>
    <w:p>
      <w:pPr>
        <w:jc w:val="center"/>
        <w:widowControl/>
        <w:rPr>
          <w:b/>
          <w:bCs/>
          <w:sz w:val="20"/>
          <w:szCs w:val="20"/>
        </w:rPr>
      </w:pPr>
      <w:r>
        <w:rPr>
          <w:b/>
          <w:bCs/>
          <w:sz w:val="20"/>
          <w:szCs w:val="20"/>
        </w:rPr>
        <w:t xml:space="preserve">Печенгского муниципального округа от 28.04.2021 № 375</w:t>
      </w:r>
      <w:r>
        <w:rPr>
          <w:b/>
          <w:bCs/>
          <w:sz w:val="20"/>
          <w:szCs w:val="20"/>
        </w:rPr>
      </w:r>
      <w:r>
        <w:rPr>
          <w:b/>
          <w:bCs/>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Руководствуясь приказом Министерства финансов Россий</w:t>
      </w:r>
      <w:r>
        <w:t xml:space="preserve">ской Ф</w:t>
      </w:r>
      <w:r>
        <w:t xml:space="preserve">едерации</w:t>
      </w:r>
      <w:r>
        <w:t xml:space="preserve"> </w:t>
        <w:br/>
        <w:t xml:space="preserve">от 07.</w:t>
      </w:r>
      <w:r>
        <w:t xml:space="preserve">05.2025 № 53н «Об утверждении порядка </w:t>
      </w:r>
      <w:r>
        <w:t xml:space="preserve">санкционирования расходов бюджетных и автономных учреждений, лицевые</w:t>
      </w:r>
      <w:r>
        <w:t xml:space="preserve"> счета которым открыты в территориальных органах Федерального казначейства, источником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w:t>
      </w:r>
      <w:r>
        <w:t xml:space="preserve">», а также в </w:t>
      </w:r>
      <w:r>
        <w:t xml:space="preserve">целях актуализации муниципального нормативного правового акта, устанавливающего</w:t>
      </w:r>
      <w:r>
        <w:t xml:space="preserve"> порядок определения объема и условия предоставления бюджетным и автономным учреждениям субсидий на иные цели</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ind w:firstLine="709"/>
        <w:jc w:val="both"/>
        <w:rPr>
          <w:rFonts w:eastAsia="Calibri"/>
        </w:rPr>
      </w:pPr>
      <w:r>
        <w:rPr>
          <w:rFonts w:eastAsia="Calibri"/>
        </w:rPr>
        <w:t xml:space="preserve">1.</w:t>
      </w:r>
      <w:r>
        <w:rPr>
          <w:rFonts w:eastAsia="Calibri"/>
        </w:rPr>
        <w:t xml:space="preserve"> Внести в Порядок определения объема и условий предоставления из бюджета Печенгского муниципально</w:t>
      </w:r>
      <w:r>
        <w:rPr>
          <w:rFonts w:eastAsia="Calibri"/>
        </w:rPr>
        <w:t xml:space="preserve">го округа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1</w:t>
      </w:r>
      <w:r>
        <w:rPr>
          <w:rFonts w:eastAsia="Calibri"/>
        </w:rPr>
        <w:t xml:space="preserve">7</w:t>
      </w:r>
      <w:r>
        <w:rPr>
          <w:rFonts w:eastAsia="Calibri"/>
        </w:rPr>
        <w:t xml:space="preserve">.0</w:t>
      </w:r>
      <w:r>
        <w:rPr>
          <w:rFonts w:eastAsia="Calibri"/>
        </w:rPr>
        <w:t xml:space="preserve">7</w:t>
      </w:r>
      <w:r>
        <w:rPr>
          <w:rFonts w:eastAsia="Calibri"/>
        </w:rPr>
        <w:t xml:space="preserve">.2025 № 1</w:t>
      </w:r>
      <w:r>
        <w:rPr>
          <w:rFonts w:eastAsia="Calibri"/>
        </w:rPr>
        <w:t xml:space="preserve">197</w:t>
      </w:r>
      <w:r>
        <w:rPr>
          <w:rFonts w:eastAsia="Calibri"/>
        </w:rPr>
        <w:t xml:space="preserve">) следующие изменения:</w:t>
      </w:r>
      <w:r>
        <w:rPr>
          <w:rFonts w:eastAsia="Calibri"/>
        </w:rPr>
      </w:r>
      <w:r>
        <w:rPr>
          <w:rFonts w:eastAsia="Calibri"/>
        </w:rPr>
      </w:r>
    </w:p>
    <w:p>
      <w:pPr>
        <w:ind w:firstLine="709"/>
        <w:jc w:val="both"/>
        <w:tabs>
          <w:tab w:val="left" w:pos="993" w:leader="none"/>
        </w:tabs>
        <w:rPr>
          <w:rFonts w:eastAsia="Calibri"/>
        </w:rPr>
      </w:pPr>
      <w:r>
        <w:rPr>
          <w:rFonts w:eastAsia="Calibri"/>
        </w:rPr>
        <w:t xml:space="preserve">1.1.</w:t>
      </w:r>
      <w:r>
        <w:rPr>
          <w:rFonts w:eastAsia="Calibri"/>
        </w:rPr>
        <w:t xml:space="preserve"> П</w:t>
      </w:r>
      <w:r>
        <w:rPr>
          <w:rFonts w:eastAsia="Calibri"/>
        </w:rPr>
        <w:t xml:space="preserve">одраздел </w:t>
      </w:r>
      <w:r>
        <w:rPr>
          <w:rFonts w:eastAsia="Calibri"/>
        </w:rPr>
        <w:t xml:space="preserve">2</w:t>
      </w:r>
      <w:r>
        <w:rPr>
          <w:rFonts w:eastAsia="Calibri"/>
        </w:rPr>
        <w:t xml:space="preserve">.3. раздела </w:t>
      </w:r>
      <w:r>
        <w:rPr>
          <w:rFonts w:eastAsia="Calibri"/>
        </w:rPr>
        <w:t xml:space="preserve">2</w:t>
      </w:r>
      <w:r>
        <w:rPr>
          <w:rFonts w:eastAsia="Calibri"/>
        </w:rPr>
        <w:t xml:space="preserve"> дополнить </w:t>
      </w:r>
      <w:r>
        <w:rPr>
          <w:rFonts w:eastAsia="Calibri"/>
        </w:rPr>
        <w:t xml:space="preserve">абзацем пятым следующего содержания:</w:t>
      </w:r>
      <w:r>
        <w:rPr>
          <w:rFonts w:eastAsia="Calibri"/>
        </w:rPr>
      </w:r>
      <w:r>
        <w:rPr>
          <w:rFonts w:eastAsia="Calibri"/>
        </w:rPr>
      </w:r>
    </w:p>
    <w:p>
      <w:pPr>
        <w:ind w:firstLine="709"/>
        <w:jc w:val="both"/>
        <w:tabs>
          <w:tab w:val="left" w:pos="993" w:leader="none"/>
        </w:tabs>
        <w:rPr>
          <w:rFonts w:eastAsia="Calibri"/>
        </w:rPr>
      </w:pPr>
      <w:r>
        <w:rPr>
          <w:rFonts w:eastAsia="Calibri"/>
        </w:rPr>
        <w:t xml:space="preserve">«-</w:t>
      </w:r>
      <w:r>
        <w:rPr>
          <w:rFonts w:eastAsia="Calibri"/>
        </w:rPr>
        <w:t xml:space="preserve"> недостаточность лимитов бюджетных обязательств, указанных в п</w:t>
      </w:r>
      <w:r>
        <w:rPr>
          <w:rFonts w:eastAsia="Calibri"/>
        </w:rPr>
        <w:t xml:space="preserve">ункте 1.4. настоящего Порядка</w:t>
      </w:r>
      <w:r>
        <w:rPr>
          <w:rFonts w:eastAsia="Calibri"/>
        </w:rPr>
        <w:t xml:space="preserve">.».</w:t>
      </w:r>
      <w:r>
        <w:rPr>
          <w:rFonts w:eastAsia="Calibri"/>
        </w:rPr>
      </w:r>
      <w:r>
        <w:rPr>
          <w:rFonts w:eastAsia="Calibri"/>
        </w:rPr>
      </w:r>
    </w:p>
    <w:p>
      <w:pPr>
        <w:ind w:firstLine="709"/>
        <w:jc w:val="both"/>
        <w:tabs>
          <w:tab w:val="left" w:pos="993" w:leader="none"/>
        </w:tabs>
        <w:rPr>
          <w:rFonts w:eastAsia="Calibri"/>
        </w:rPr>
      </w:pPr>
      <w:r>
        <w:rPr>
          <w:rFonts w:eastAsia="Calibri"/>
        </w:rPr>
        <w:t xml:space="preserve">1.2.</w:t>
      </w:r>
      <w:r>
        <w:rPr>
          <w:rFonts w:eastAsia="Calibri"/>
        </w:rPr>
        <w:t xml:space="preserve"> П</w:t>
      </w:r>
      <w:r>
        <w:rPr>
          <w:rFonts w:eastAsia="Calibri"/>
        </w:rPr>
        <w:t xml:space="preserve">одраздел 4.5. раздела 4 </w:t>
      </w:r>
      <w:r>
        <w:rPr>
          <w:rFonts w:eastAsia="Calibri"/>
        </w:rPr>
        <w:t xml:space="preserve">изложить в следующей редакции</w:t>
      </w:r>
      <w:r>
        <w:rPr>
          <w:rFonts w:eastAsia="Calibri"/>
        </w:rPr>
        <w:t xml:space="preserve">:</w:t>
      </w:r>
      <w:r>
        <w:rPr>
          <w:rFonts w:eastAsia="Calibri"/>
        </w:rPr>
      </w:r>
      <w:r>
        <w:rPr>
          <w:rFonts w:eastAsia="Calibri"/>
        </w:rPr>
      </w:r>
    </w:p>
    <w:p>
      <w:pPr>
        <w:ind w:firstLine="709"/>
        <w:jc w:val="both"/>
        <w:spacing w:line="240" w:lineRule="atLeast"/>
        <w:tabs>
          <w:tab w:val="left" w:pos="851" w:leader="none"/>
          <w:tab w:val="left" w:pos="1418" w:leader="none"/>
        </w:tabs>
      </w:pPr>
      <w:r>
        <w:rPr>
          <w:rFonts w:eastAsia="Calibri"/>
        </w:rPr>
        <w:t xml:space="preserve">«</w:t>
      </w:r>
      <w:r>
        <w:t xml:space="preserve">В случае </w:t>
      </w:r>
      <w:r>
        <w:t xml:space="preserve">недостижения</w:t>
      </w:r>
      <w:r>
        <w:t xml:space="preserve"> учреждением показателей, необходимых для достижения результатов предоставления субсидии</w:t>
      </w:r>
      <w:r>
        <w:t xml:space="preserve"> (далее – показатели результативности), и если объем субсидии определялся на основе количественных значений показателей результативности, субсидия подлежит возврату в бюджет округа в объеме, который соответствует недостигнутым показателям результативности.</w:t>
      </w:r>
      <w:r/>
    </w:p>
    <w:p>
      <w:pPr>
        <w:ind w:firstLine="709"/>
        <w:jc w:val="both"/>
        <w:tabs>
          <w:tab w:val="left" w:pos="993" w:leader="none"/>
        </w:tabs>
        <w:rPr>
          <w:rFonts w:eastAsia="Calibri"/>
        </w:rPr>
      </w:pPr>
      <w:r>
        <w:rPr>
          <w:rFonts w:eastAsia="Calibri"/>
        </w:rPr>
        <w:t xml:space="preserve">Объем </w:t>
      </w:r>
      <w:r>
        <w:rPr>
          <w:rFonts w:eastAsia="Calibri"/>
        </w:rPr>
        <w:t xml:space="preserve">средств, подлежащих возврату в бюджет округа рассчитывается</w:t>
      </w:r>
      <w:r>
        <w:rPr>
          <w:rFonts w:eastAsia="Calibri"/>
        </w:rPr>
        <w:t xml:space="preserve"> по формуле:</w:t>
      </w:r>
      <w:r>
        <w:rPr>
          <w:rFonts w:eastAsia="Calibri"/>
        </w:rPr>
      </w:r>
      <w:r>
        <w:rPr>
          <w:rFonts w:eastAsia="Calibri"/>
        </w:rPr>
      </w:r>
    </w:p>
    <w:p>
      <w:pPr>
        <w:ind w:firstLine="709"/>
        <w:jc w:val="both"/>
        <w:tabs>
          <w:tab w:val="left" w:pos="993" w:leader="none"/>
        </w:tabs>
        <w:rPr>
          <w:rFonts w:eastAsia="Calibri"/>
        </w:rPr>
      </w:pPr>
      <w:r>
        <w:rPr>
          <w:rFonts w:eastAsia="Calibri"/>
          <w:lang w:val="en-US"/>
        </w:rPr>
        <w:t xml:space="preserve">V</w:t>
      </w:r>
      <w:r>
        <w:rPr>
          <w:rFonts w:eastAsia="Calibri"/>
        </w:rPr>
        <w:t xml:space="preserve">возрата</w:t>
      </w:r>
      <w:r>
        <w:rPr>
          <w:rFonts w:eastAsia="Calibri"/>
        </w:rPr>
        <w:t xml:space="preserve"> = </w:t>
      </w:r>
      <w:r>
        <w:rPr>
          <w:rFonts w:eastAsia="Calibri"/>
          <w:lang w:val="en-US"/>
        </w:rPr>
        <w:t xml:space="preserve">V</w:t>
      </w:r>
      <w:r>
        <w:rPr>
          <w:rFonts w:eastAsia="Calibri"/>
        </w:rPr>
        <w:t xml:space="preserve">*</w:t>
      </w:r>
      <w:r>
        <w:rPr>
          <w:rFonts w:eastAsia="Calibri"/>
          <w:lang w:val="en-US"/>
        </w:rPr>
        <w:t xml:space="preserve">k</w:t>
      </w:r>
      <w:r>
        <w:rPr>
          <w:rFonts w:eastAsia="Calibri"/>
        </w:rPr>
        <w:t xml:space="preserve">, где:</w:t>
      </w:r>
      <w:r>
        <w:rPr>
          <w:rFonts w:eastAsia="Calibri"/>
        </w:rPr>
      </w:r>
      <w:r>
        <w:rPr>
          <w:rFonts w:eastAsia="Calibri"/>
        </w:rPr>
      </w:r>
    </w:p>
    <w:p>
      <w:pPr>
        <w:ind w:firstLine="709"/>
        <w:jc w:val="both"/>
        <w:tabs>
          <w:tab w:val="left" w:pos="993" w:leader="none"/>
        </w:tabs>
        <w:rPr>
          <w:rFonts w:eastAsia="Calibri"/>
        </w:rPr>
      </w:pPr>
      <w:r>
        <w:rPr>
          <w:rFonts w:eastAsia="Calibri"/>
          <w:lang w:val="en-US"/>
        </w:rPr>
        <w:t xml:space="preserve">V</w:t>
      </w:r>
      <w:r>
        <w:rPr>
          <w:rFonts w:eastAsia="Calibri"/>
        </w:rPr>
        <w:t xml:space="preserve"> – </w:t>
      </w:r>
      <w:r>
        <w:rPr>
          <w:rFonts w:eastAsia="Calibri"/>
        </w:rPr>
        <w:t xml:space="preserve">размер</w:t>
      </w:r>
      <w:r>
        <w:rPr>
          <w:rFonts w:eastAsia="Calibri"/>
        </w:rPr>
        <w:t xml:space="preserve"> субсидии, предусмотренный учреждению в соответствии с соглашением в отчетном финансовом году;</w:t>
      </w:r>
      <w:r>
        <w:rPr>
          <w:rFonts w:eastAsia="Calibri"/>
        </w:rPr>
      </w:r>
      <w:r>
        <w:rPr>
          <w:rFonts w:eastAsia="Calibri"/>
        </w:rPr>
      </w:r>
    </w:p>
    <w:p>
      <w:pPr>
        <w:ind w:firstLine="709"/>
        <w:jc w:val="both"/>
        <w:tabs>
          <w:tab w:val="left" w:pos="993" w:leader="none"/>
        </w:tabs>
        <w:rPr>
          <w:rFonts w:eastAsia="Calibri"/>
        </w:rPr>
      </w:pPr>
      <w:r>
        <w:rPr>
          <w:rFonts w:eastAsia="Calibri"/>
        </w:rPr>
        <w:t xml:space="preserve">k</w:t>
      </w:r>
      <w:r>
        <w:rPr>
          <w:rFonts w:eastAsia="Calibri"/>
        </w:rPr>
        <w:t xml:space="preserve"> – коэффициент возврата субсидии, который рассчитывается по формуле:</w:t>
      </w:r>
      <w:r>
        <w:rPr>
          <w:rFonts w:eastAsia="Calibri"/>
        </w:rPr>
      </w:r>
      <w:r>
        <w:rPr>
          <w:rFonts w:eastAsia="Calibri"/>
        </w:rPr>
      </w:r>
    </w:p>
    <w:p>
      <w:pPr>
        <w:ind w:firstLine="709"/>
        <w:jc w:val="both"/>
        <w:tabs>
          <w:tab w:val="left" w:pos="993" w:leader="none"/>
        </w:tabs>
        <w:rPr>
          <w:rFonts w:eastAsia="Calibri"/>
          <w:lang w:val="en-US"/>
        </w:rPr>
      </w:pPr>
      <w:r>
        <w:rPr>
          <w:rFonts w:eastAsia="Calibri"/>
          <w:lang w:val="en-US"/>
        </w:rPr>
        <w:t xml:space="preserve">k</w:t>
      </w:r>
      <w:r>
        <w:rPr>
          <w:rFonts w:eastAsia="Calibri"/>
          <w:lang w:val="en-US"/>
        </w:rPr>
        <w:t xml:space="preserve">= 1</w:t>
      </w:r>
      <w:r>
        <w:rPr>
          <w:rFonts w:eastAsia="Calibri"/>
          <w:lang w:val="ru-RU"/>
        </w:rPr>
        <w:t xml:space="preserve"> </w:t>
      </w:r>
      <w:r>
        <w:rPr>
          <w:rFonts w:eastAsia="Calibri"/>
          <w:lang w:val="en-US"/>
        </w:rPr>
        <w:t xml:space="preserve">- (</w:t>
      </w:r>
      <w:r>
        <w:rPr>
          <w:rFonts w:eastAsia="Calibri"/>
          <w:lang w:val="en-US"/>
        </w:rPr>
        <w:t xml:space="preserve">T</w:t>
      </w:r>
      <w:r>
        <w:rPr>
          <w:rFonts w:eastAsia="Calibri"/>
          <w:lang w:val="en-US"/>
        </w:rPr>
        <w:t xml:space="preserve">/</w:t>
      </w:r>
      <w:r>
        <w:rPr>
          <w:rFonts w:eastAsia="Calibri"/>
          <w:lang w:val="en-US"/>
        </w:rPr>
        <w:t xml:space="preserve">S</w:t>
      </w:r>
      <w:r>
        <w:rPr>
          <w:rFonts w:eastAsia="Calibri"/>
          <w:lang w:val="en-US"/>
        </w:rPr>
        <w:t xml:space="preserve">), </w:t>
      </w:r>
      <w:r>
        <w:rPr>
          <w:rFonts w:eastAsia="Calibri"/>
        </w:rPr>
        <w:t xml:space="preserve">где</w:t>
      </w:r>
      <w:r>
        <w:rPr>
          <w:rFonts w:eastAsia="Calibri"/>
          <w:lang w:val="en-US"/>
        </w:rPr>
        <w:t xml:space="preserve">:</w:t>
      </w:r>
      <w:r>
        <w:rPr>
          <w:rFonts w:eastAsia="Calibri"/>
          <w:lang w:val="en-US"/>
        </w:rPr>
      </w:r>
      <w:r>
        <w:rPr>
          <w:rFonts w:eastAsia="Calibri"/>
          <w:lang w:val="en-US"/>
        </w:rPr>
      </w:r>
    </w:p>
    <w:p>
      <w:pPr>
        <w:ind w:firstLine="709"/>
        <w:jc w:val="both"/>
        <w:tabs>
          <w:tab w:val="left" w:pos="993" w:leader="none"/>
        </w:tabs>
        <w:rPr>
          <w:rFonts w:eastAsia="Calibri"/>
        </w:rPr>
      </w:pPr>
      <w:r>
        <w:rPr>
          <w:rFonts w:eastAsia="Calibri"/>
          <w:lang w:val="en-US"/>
        </w:rPr>
        <w:t xml:space="preserve">T</w:t>
      </w:r>
      <w:r>
        <w:rPr>
          <w:rFonts w:eastAsia="Calibri"/>
        </w:rPr>
        <w:t xml:space="preserve"> – </w:t>
      </w:r>
      <w:r>
        <w:rPr>
          <w:rFonts w:eastAsia="Calibri"/>
        </w:rPr>
        <w:t xml:space="preserve">фактически</w:t>
      </w:r>
      <w:r>
        <w:rPr>
          <w:rFonts w:eastAsia="Calibri"/>
        </w:rPr>
        <w:t xml:space="preserve"> достигнутое значение результата предоставления субсидии на отчетную дату;</w:t>
      </w:r>
      <w:r>
        <w:rPr>
          <w:rFonts w:eastAsia="Calibri"/>
        </w:rPr>
      </w:r>
      <w:r>
        <w:rPr>
          <w:rFonts w:eastAsia="Calibri"/>
        </w:rPr>
      </w:r>
    </w:p>
    <w:p>
      <w:pPr>
        <w:ind w:firstLine="709"/>
        <w:jc w:val="both"/>
        <w:tabs>
          <w:tab w:val="left" w:pos="993" w:leader="none"/>
        </w:tabs>
        <w:rPr>
          <w:rFonts w:eastAsia="Calibri"/>
        </w:rPr>
      </w:pPr>
      <w:r>
        <w:rPr>
          <w:rFonts w:eastAsia="Calibri"/>
        </w:rPr>
        <w:t xml:space="preserve">S</w:t>
      </w:r>
      <w:r>
        <w:rPr>
          <w:rFonts w:eastAsia="Calibri"/>
        </w:rPr>
        <w:t xml:space="preserve"> – плановое значение результата предоставления субсидии, установленное Соглашением.</w:t>
      </w:r>
      <w:r>
        <w:rPr>
          <w:rFonts w:eastAsia="Calibri"/>
        </w:rPr>
      </w:r>
      <w:r>
        <w:rPr>
          <w:rFonts w:eastAsia="Calibri"/>
        </w:rPr>
      </w:r>
    </w:p>
    <w:p>
      <w:pPr>
        <w:ind w:firstLine="709"/>
        <w:jc w:val="both"/>
        <w:widowControl/>
        <w:rPr>
          <w:color w:val="000000"/>
        </w:rPr>
      </w:pPr>
      <w:r>
        <w:rPr>
          <w:color w:val="000000"/>
        </w:rPr>
        <w:t xml:space="preserve">Решение о возврате субсидии принимается главным распорядителем в течение 30 календарных дней со дня установления факта </w:t>
      </w:r>
      <w:r>
        <w:rPr>
          <w:color w:val="000000"/>
        </w:rPr>
        <w:t xml:space="preserve">недостижения</w:t>
      </w:r>
      <w:r>
        <w:rPr>
          <w:color w:val="000000"/>
        </w:rPr>
        <w:t xml:space="preserve"> показателей результативности.</w:t>
      </w:r>
      <w:r>
        <w:rPr>
          <w:color w:val="000000"/>
        </w:rPr>
      </w:r>
      <w:r>
        <w:rPr>
          <w:color w:val="000000"/>
        </w:rPr>
      </w:r>
    </w:p>
    <w:p>
      <w:pPr>
        <w:ind w:firstLine="709"/>
        <w:jc w:val="both"/>
        <w:widowControl/>
        <w:rPr>
          <w:rFonts w:eastAsia="Calibri"/>
        </w:rPr>
      </w:pPr>
      <w:r>
        <w:rPr>
          <w:color w:val="000000"/>
        </w:rPr>
        <w:t xml:space="preserve">Главный распорядитель в течение пяти рабочих дней со дня принятия решения о возврате субсидии направляет учреждению требование о возврате полученной части субсидии в бюджет округа в течение 30 календарных дней со дня получения Уведомления</w:t>
      </w:r>
      <w:r>
        <w:rPr>
          <w:color w:val="000000"/>
        </w:rPr>
        <w:t xml:space="preserve">.</w:t>
      </w:r>
      <w:r>
        <w:rPr>
          <w:rFonts w:eastAsia="Calibri"/>
        </w:rPr>
        <w:t xml:space="preserve">»</w:t>
      </w:r>
      <w:r>
        <w:rPr>
          <w:rFonts w:eastAsia="Calibri"/>
        </w:rPr>
        <w:t xml:space="preserve">.</w:t>
      </w:r>
      <w:r>
        <w:rPr>
          <w:rFonts w:eastAsia="Calibri"/>
        </w:rPr>
      </w:r>
      <w:r>
        <w:rPr>
          <w:rFonts w:eastAsia="Calibri"/>
        </w:rPr>
      </w:r>
    </w:p>
    <w:p>
      <w:pPr>
        <w:ind w:left="0" w:right="0" w:firstLine="709"/>
        <w:jc w:val="both"/>
        <w:widowControl/>
        <w:rPr>
          <w:rFonts w:eastAsia="Calibri"/>
        </w:rPr>
      </w:pPr>
      <w:r>
        <w:rPr>
          <w:rFonts w:eastAsia="Calibri"/>
        </w:rPr>
        <w:t xml:space="preserve">1.</w:t>
      </w:r>
      <w:r>
        <w:rPr>
          <w:rFonts w:eastAsia="Calibri"/>
        </w:rPr>
        <w:t xml:space="preserve">3. </w:t>
      </w:r>
      <w:r>
        <w:rPr>
          <w:rFonts w:eastAsia="Calibri"/>
        </w:rPr>
        <w:t xml:space="preserve">П</w:t>
      </w:r>
      <w:r>
        <w:rPr>
          <w:rFonts w:eastAsia="Calibri"/>
        </w:rPr>
        <w:t xml:space="preserve">одраздел</w:t>
      </w:r>
      <w:r>
        <w:rPr>
          <w:rFonts w:eastAsia="Calibri"/>
        </w:rPr>
        <w:t xml:space="preserve"> 4.8. раздела 4 изложить в следующей</w:t>
      </w:r>
      <w:r>
        <w:rPr>
          <w:rFonts w:eastAsia="Calibri"/>
        </w:rPr>
        <w:t xml:space="preserve"> редакции:</w:t>
      </w:r>
      <w:r>
        <w:rPr>
          <w:rFonts w:eastAsia="Calibri"/>
        </w:rPr>
      </w:r>
      <w:r>
        <w:rPr>
          <w:rFonts w:eastAsia="Calibri"/>
        </w:rPr>
      </w:r>
    </w:p>
    <w:p>
      <w:pPr>
        <w:ind w:firstLine="709"/>
        <w:jc w:val="both"/>
        <w:tabs>
          <w:tab w:val="left" w:pos="993" w:leader="none"/>
        </w:tabs>
        <w:rPr>
          <w:rFonts w:eastAsia="Calibri"/>
        </w:rPr>
      </w:pPr>
      <w:r>
        <w:rPr>
          <w:rFonts w:eastAsia="Calibri"/>
        </w:rPr>
        <w:t xml:space="preserve">«4.8. В случае несоблюдения учреждением целей и условий, установленных н</w:t>
      </w:r>
      <w:r>
        <w:rPr>
          <w:rFonts w:eastAsia="Calibri"/>
        </w:rPr>
        <w:t xml:space="preserve">астоящим Порядком и соглашением, выявленного по результатам проверок, проведенных главным распорядителем и (или) органом муниципального финансового контроля, средства субсидии подлежат возврату в бюджет округа:</w:t>
      </w:r>
      <w:r>
        <w:rPr>
          <w:rFonts w:eastAsia="Calibri"/>
        </w:rPr>
      </w:r>
      <w:r>
        <w:rPr>
          <w:rFonts w:eastAsia="Calibri"/>
        </w:rPr>
      </w:r>
    </w:p>
    <w:p>
      <w:pPr>
        <w:ind w:firstLine="709"/>
        <w:jc w:val="both"/>
        <w:tabs>
          <w:tab w:val="left" w:pos="993" w:leader="none"/>
        </w:tabs>
        <w:rPr>
          <w:rFonts w:eastAsia="Calibri"/>
        </w:rPr>
      </w:pPr>
      <w:r>
        <w:rPr>
          <w:rFonts w:eastAsia="Calibri"/>
        </w:rPr>
        <w:t xml:space="preserve">-</w:t>
      </w:r>
      <w:r>
        <w:rPr>
          <w:rFonts w:eastAsia="Calibri"/>
        </w:rPr>
        <w:t xml:space="preserve"> на основании требования главного распорядителя в объеме, указанном в требовании в течение 10 рабочих дней, следующих за днем получения такого требования;</w:t>
      </w:r>
      <w:r>
        <w:rPr>
          <w:rFonts w:eastAsia="Calibri"/>
        </w:rPr>
      </w:r>
      <w:r>
        <w:rPr>
          <w:rFonts w:eastAsia="Calibri"/>
        </w:rPr>
      </w:r>
    </w:p>
    <w:p>
      <w:pPr>
        <w:ind w:firstLine="709"/>
        <w:jc w:val="both"/>
        <w:tabs>
          <w:tab w:val="left" w:pos="993" w:leader="none"/>
        </w:tabs>
        <w:rPr>
          <w:rFonts w:eastAsia="Calibri"/>
        </w:rPr>
      </w:pPr>
      <w:r>
        <w:rPr>
          <w:rFonts w:eastAsia="Calibri"/>
        </w:rPr>
        <w:t xml:space="preserve">-</w:t>
      </w:r>
      <w:r>
        <w:rPr>
          <w:rFonts w:eastAsia="Calibri"/>
        </w:rPr>
        <w:t xml:space="preserve"> на основании представления или предписания органа муниципального финансового контроля – в объеме, указанном в представлении или предписании, в сроки, установленные в соответствии с бюджетным законодательством Российской Федерации.</w:t>
      </w:r>
      <w:r>
        <w:rPr>
          <w:rFonts w:eastAsia="Calibri"/>
        </w:rPr>
      </w:r>
      <w:r>
        <w:rPr>
          <w:rFonts w:eastAsia="Calibri"/>
        </w:rPr>
      </w:r>
    </w:p>
    <w:p>
      <w:pPr>
        <w:ind w:firstLine="709"/>
        <w:jc w:val="both"/>
        <w:tabs>
          <w:tab w:val="left" w:pos="993" w:leader="none"/>
        </w:tabs>
        <w:rPr>
          <w:rFonts w:eastAsia="Calibri"/>
        </w:rPr>
      </w:pPr>
      <w:r>
        <w:rPr>
          <w:rFonts w:eastAsia="Calibri"/>
        </w:rPr>
        <w:t xml:space="preserve">За нарушение сроков возврата в бюджет округа неизрасходованной части субсидии, возврате субсидии, израсходов</w:t>
      </w:r>
      <w:r>
        <w:rPr>
          <w:rFonts w:eastAsia="Calibri"/>
        </w:rPr>
        <w:t xml:space="preserve">анной не по целевому назначению, представления предусмотренной соглашением отчетности учреждения несут ответственность в соответствии с законодат</w:t>
      </w:r>
      <w:r>
        <w:rPr>
          <w:rFonts w:eastAsia="Calibri"/>
        </w:rPr>
        <w:t xml:space="preserve">ельством Российской Федерации</w:t>
      </w:r>
      <w:r>
        <w:rPr>
          <w:rFonts w:eastAsia="Calibri"/>
        </w:rPr>
        <w:t xml:space="preserve">.».</w:t>
      </w:r>
      <w:r>
        <w:rPr>
          <w:rFonts w:eastAsia="Calibri"/>
        </w:rPr>
      </w:r>
      <w:r>
        <w:rPr>
          <w:rFonts w:eastAsia="Calibri"/>
        </w:rPr>
      </w:r>
    </w:p>
    <w:p>
      <w:pPr>
        <w:ind w:firstLine="709"/>
        <w:jc w:val="both"/>
        <w:tabs>
          <w:tab w:val="left" w:pos="993" w:leader="none"/>
        </w:tabs>
        <w:rPr>
          <w:rFonts w:eastAsia="Calibri"/>
        </w:rPr>
      </w:pPr>
      <w:r>
        <w:rPr>
          <w:rFonts w:eastAsia="Calibri"/>
        </w:rPr>
        <w:t xml:space="preserve">1.4. Р</w:t>
      </w:r>
      <w:r>
        <w:rPr>
          <w:rFonts w:eastAsia="Calibri"/>
        </w:rPr>
        <w:t xml:space="preserve">аздел 4 </w:t>
      </w:r>
      <w:r>
        <w:rPr>
          <w:rFonts w:eastAsia="Calibri"/>
        </w:rPr>
        <w:t xml:space="preserve">дополнить </w:t>
      </w:r>
      <w:r>
        <w:rPr>
          <w:rFonts w:eastAsia="Calibri"/>
        </w:rPr>
        <w:t xml:space="preserve">подразделом 4.11. следующего содержания:</w:t>
      </w:r>
      <w:r>
        <w:rPr>
          <w:rFonts w:eastAsia="Calibri"/>
        </w:rPr>
      </w:r>
      <w:r>
        <w:rPr>
          <w:rFonts w:eastAsia="Calibri"/>
        </w:rPr>
      </w:r>
    </w:p>
    <w:p>
      <w:pPr>
        <w:ind w:firstLine="709"/>
        <w:jc w:val="both"/>
        <w:tabs>
          <w:tab w:val="left" w:pos="993" w:leader="none"/>
        </w:tabs>
        <w:rPr>
          <w:rFonts w:eastAsia="Calibri"/>
        </w:rPr>
      </w:pPr>
      <w:r>
        <w:rPr>
          <w:rFonts w:eastAsia="Calibri"/>
        </w:rPr>
        <w:t xml:space="preserve">«4.11. </w:t>
      </w:r>
      <w:r>
        <w:rPr>
          <w:rFonts w:eastAsia="Calibri"/>
        </w:rPr>
        <w:t xml:space="preserve">Субсидии, предоставляемые учреждениям, могут быть направлены на возмещение расходов по операциям, содержание которых соответствует целям предос</w:t>
      </w:r>
      <w:r>
        <w:rPr>
          <w:rFonts w:eastAsia="Calibri"/>
        </w:rPr>
        <w:t xml:space="preserve">тавления субсидий, произведенные</w:t>
      </w:r>
      <w:bookmarkStart w:id="0" w:name="_GoBack"/>
      <w:r/>
      <w:bookmarkEnd w:id="0"/>
      <w:r>
        <w:rPr>
          <w:rFonts w:eastAsia="Calibri"/>
        </w:rPr>
        <w:t xml:space="preserve"> учреждениями за счет средств от </w:t>
      </w:r>
      <w:r>
        <w:rPr>
          <w:rFonts w:eastAsia="Calibri"/>
        </w:rPr>
        <w:t xml:space="preserve">приносящей доход деятельности и субсидий на финансовое обеспечение выполнения муниципального задания на оказание муниципальных услуг (выполнения работ), в размере произведенных расходов, подтвержденных в соответствии с порядком санкционирования расходов.».</w:t>
      </w:r>
      <w:r>
        <w:rPr>
          <w:rFonts w:eastAsia="Calibri"/>
        </w:rPr>
      </w:r>
      <w:r>
        <w:rPr>
          <w:rFonts w:eastAsia="Calibri"/>
        </w:rPr>
      </w:r>
    </w:p>
    <w:p>
      <w:pPr>
        <w:ind w:firstLine="709"/>
        <w:jc w:val="both"/>
        <w:rPr>
          <w:rFonts w:eastAsia="Calibri"/>
        </w:rPr>
      </w:pPr>
      <w:r>
        <w:rPr>
          <w:rFonts w:eastAsia="Calibri"/>
        </w:rPr>
        <w:t xml:space="preserve">2. </w:t>
      </w:r>
      <w:r>
        <w:rPr>
          <w:rFonts w:eastAsia="Calibri"/>
        </w:rPr>
        <w:t xml:space="preserve">Настоящее постановление вступает в силу после его опубликования в газете «Печенга» и распространяется на правоотношения, возникшие с </w:t>
      </w:r>
      <w:r>
        <w:rPr>
          <w:rFonts w:eastAsia="Calibri"/>
        </w:rPr>
        <w:t xml:space="preserve">26</w:t>
      </w:r>
      <w:r>
        <w:rPr>
          <w:rFonts w:eastAsia="Calibri"/>
        </w:rPr>
        <w:t xml:space="preserve">.</w:t>
      </w:r>
      <w:r>
        <w:rPr>
          <w:rFonts w:eastAsia="Calibri"/>
        </w:rPr>
        <w:t xml:space="preserve">09</w:t>
      </w:r>
      <w:r>
        <w:rPr>
          <w:rFonts w:eastAsia="Calibri"/>
        </w:rPr>
        <w:t xml:space="preserve">.2025.</w:t>
      </w:r>
      <w:r>
        <w:rPr>
          <w:rFonts w:eastAsia="Calibri"/>
        </w:rPr>
      </w:r>
      <w:r>
        <w:rPr>
          <w:rFonts w:eastAsia="Calibri"/>
        </w:rPr>
      </w:r>
    </w:p>
    <w:p>
      <w:pPr>
        <w:ind w:firstLine="709"/>
        <w:jc w:val="both"/>
        <w:rPr>
          <w:rFonts w:eastAsia="Calibri"/>
        </w:rPr>
      </w:pPr>
      <w:r>
        <w:rPr>
          <w:rFonts w:eastAsia="Calibri"/>
        </w:rPr>
        <w:t xml:space="preserve">3. </w:t>
      </w:r>
      <w:r>
        <w:rPr>
          <w:rFonts w:eastAsia="Calibri"/>
        </w:rPr>
        <w:t xml:space="preserve">Настоящее постановление подлежит размещению на официальном сайте Печенгского муниципального округа https://pechengamr.gov-murman.ru/. </w:t>
      </w:r>
      <w:r>
        <w:rPr>
          <w:rFonts w:eastAsia="Calibri"/>
        </w:rPr>
      </w:r>
      <w:r>
        <w:rPr>
          <w:rFonts w:eastAsia="Calibri"/>
        </w:rPr>
      </w:r>
    </w:p>
    <w:p>
      <w:pPr>
        <w:ind w:left="420" w:firstLine="720"/>
        <w:jc w:val="both"/>
        <w:rPr>
          <w:rFonts w:eastAsia="Calibri"/>
        </w:rPr>
      </w:pPr>
      <w:r>
        <w:rPr>
          <w:rFonts w:eastAsia="Calibri"/>
        </w:rPr>
      </w:r>
      <w:r>
        <w:rPr>
          <w:rFonts w:eastAsia="Calibri"/>
        </w:rPr>
      </w:r>
      <w:r>
        <w:rPr>
          <w:rFonts w:eastAsia="Calibri"/>
        </w:rPr>
      </w:r>
    </w:p>
    <w:p>
      <w:pPr>
        <w:jc w:val="both"/>
        <w:rPr>
          <w:highlight w:val="yellow"/>
        </w:rPr>
      </w:pPr>
      <w:r>
        <w:rPr>
          <w:highlight w:val="yellow"/>
        </w:rPr>
      </w:r>
      <w:r>
        <w:rPr>
          <w:highlight w:val="yellow"/>
        </w:rPr>
      </w:r>
      <w:r>
        <w:rPr>
          <w:highlight w:val="yellow"/>
        </w:rPr>
      </w:r>
    </w:p>
    <w:p>
      <w:pPr>
        <w:jc w:val="both"/>
        <w:rPr>
          <w:color w:val="auto"/>
          <w:sz w:val="24"/>
          <w:szCs w:val="24"/>
        </w:rPr>
      </w:pP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Пономарев</w:t>
      </w:r>
      <w:r>
        <w:rPr>
          <w:color w:val="auto"/>
          <w:sz w:val="24"/>
          <w:szCs w:val="24"/>
        </w:rPr>
      </w:r>
      <w:r>
        <w:rPr>
          <w:color w:val="auto"/>
          <w:sz w:val="24"/>
          <w:szCs w:val="24"/>
        </w:rPr>
      </w:r>
    </w:p>
    <w:p>
      <w: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Ионова</w:t>
      </w:r>
      <w:r>
        <w:rPr>
          <w:sz w:val="20"/>
          <w:szCs w:val="20"/>
        </w:rPr>
        <w:t xml:space="preserve"> О.В., 50270</w:t>
      </w:r>
      <w:r>
        <w:rPr>
          <w:sz w:val="20"/>
          <w:szCs w:val="20"/>
        </w:rPr>
      </w:r>
      <w:r>
        <w:rPr>
          <w:sz w:val="20"/>
          <w:szCs w:val="20"/>
        </w:rPr>
      </w:r>
    </w:p>
    <w:p>
      <w:pPr>
        <w:jc w:val="center"/>
        <w:rPr>
          <w:rFonts w:eastAsia="Calibri"/>
          <w:b/>
        </w:rPr>
      </w:pPr>
      <w:r>
        <w:rPr>
          <w:rFonts w:eastAsia="Calibri"/>
          <w:b/>
        </w:rPr>
      </w:r>
      <w:r>
        <w:rPr>
          <w:rFonts w:eastAsia="Calibri"/>
          <w:b/>
        </w:rPr>
      </w:r>
      <w:r>
        <w:rPr>
          <w:rFonts w:eastAsia="Calibri"/>
          <w:b/>
        </w:rPr>
      </w:r>
    </w:p>
    <w:p>
      <w:pPr>
        <w:jc w:val="center"/>
        <w:rPr>
          <w:rFonts w:eastAsia="Calibri"/>
          <w:b/>
        </w:rPr>
      </w:pPr>
      <w:r>
        <w:rPr>
          <w:rFonts w:eastAsia="Calibri"/>
          <w:b/>
        </w:rPr>
      </w:r>
      <w:r>
        <w:rPr>
          <w:rFonts w:eastAsia="Calibri"/>
          <w:b/>
        </w:rPr>
      </w:r>
      <w:r>
        <w:rPr>
          <w:rFonts w:eastAsia="Calibri"/>
          <w:b/>
        </w:rPr>
      </w:r>
    </w:p>
    <w:sectPr>
      <w:footnotePr/>
      <w:endnotePr/>
      <w:type w:val="nextPage"/>
      <w:pgSz w:w="11906" w:h="16838" w:orient="portrait"/>
      <w:pgMar w:top="1134" w:right="850" w:bottom="539"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3">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6">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7">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8">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9">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9">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9">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24"/>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5"/>
  </w:num>
  <w:num w:numId="3">
    <w:abstractNumId w:val="20"/>
  </w:num>
  <w:num w:numId="4">
    <w:abstractNumId w:val="1"/>
  </w:num>
  <w:num w:numId="5">
    <w:abstractNumId w:val="14"/>
  </w:num>
  <w:num w:numId="6">
    <w:abstractNumId w:val="28"/>
  </w:num>
  <w:num w:numId="7">
    <w:abstractNumId w:val="39"/>
  </w:num>
  <w:num w:numId="8">
    <w:abstractNumId w:val="5"/>
  </w:num>
  <w:num w:numId="9">
    <w:abstractNumId w:val="9"/>
  </w:num>
  <w:num w:numId="10">
    <w:abstractNumId w:val="25"/>
  </w:num>
  <w:num w:numId="11">
    <w:abstractNumId w:val="37"/>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3"/>
  </w:num>
  <w:num w:numId="15">
    <w:abstractNumId w:val="12"/>
  </w:num>
  <w:num w:numId="16">
    <w:abstractNumId w:val="35"/>
  </w:num>
  <w:num w:numId="17">
    <w:abstractNumId w:val="21"/>
  </w:num>
  <w:num w:numId="18">
    <w:abstractNumId w:val="32"/>
  </w:num>
  <w:num w:numId="19">
    <w:abstractNumId w:val="22"/>
  </w:num>
  <w:num w:numId="20">
    <w:abstractNumId w:val="10"/>
  </w:num>
  <w:num w:numId="21">
    <w:abstractNumId w:val="19"/>
  </w:num>
  <w:num w:numId="22">
    <w:abstractNumId w:val="23"/>
  </w:num>
  <w:num w:numId="23">
    <w:abstractNumId w:val="38"/>
  </w:num>
  <w:num w:numId="24">
    <w:abstractNumId w:val="16"/>
  </w:num>
  <w:num w:numId="25">
    <w:abstractNumId w:val="29"/>
  </w:num>
  <w:num w:numId="26">
    <w:abstractNumId w:val="27"/>
  </w:num>
  <w:num w:numId="27">
    <w:abstractNumId w:val="6"/>
  </w:num>
  <w:num w:numId="28">
    <w:abstractNumId w:val="31"/>
  </w:num>
  <w:num w:numId="29">
    <w:abstractNumId w:val="13"/>
  </w:num>
  <w:num w:numId="30">
    <w:abstractNumId w:val="11"/>
  </w:num>
  <w:num w:numId="31">
    <w:abstractNumId w:val="30"/>
  </w:num>
  <w:num w:numId="32">
    <w:abstractNumId w:val="34"/>
  </w:num>
  <w:num w:numId="33">
    <w:abstractNumId w:val="4"/>
  </w:num>
  <w:num w:numId="34">
    <w:abstractNumId w:val="18"/>
  </w:num>
  <w:num w:numId="35">
    <w:abstractNumId w:val="0"/>
  </w:num>
  <w:num w:numId="36">
    <w:abstractNumId w:val="7"/>
  </w:num>
  <w:num w:numId="37">
    <w:abstractNumId w:val="8"/>
  </w:num>
  <w:num w:numId="38">
    <w:abstractNumId w:val="17"/>
  </w:num>
  <w:num w:numId="39">
    <w:abstractNumId w:val="2"/>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qFormat/>
    <w:pPr>
      <w:widowControl w:val="off"/>
    </w:pPr>
    <w:rPr>
      <w:rFonts w:ascii="Times New Roman" w:hAnsi="Times New Roman" w:eastAsia="Times New Roman"/>
      <w:sz w:val="24"/>
      <w:szCs w:val="24"/>
    </w:rPr>
  </w:style>
  <w:style w:type="paragraph" w:styleId="737">
    <w:name w:val="Heading 1"/>
    <w:basedOn w:val="736"/>
    <w:next w:val="736"/>
    <w:link w:val="78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85"/>
    <w:qFormat/>
    <w:pPr>
      <w:jc w:val="center"/>
      <w:keepNext/>
      <w:widowControl/>
      <w:outlineLvl w:val="1"/>
    </w:pPr>
    <w:rPr>
      <w:b/>
      <w:sz w:val="44"/>
    </w:rPr>
  </w:style>
  <w:style w:type="paragraph" w:styleId="739">
    <w:name w:val="Heading 3"/>
    <w:basedOn w:val="736"/>
    <w:next w:val="736"/>
    <w:link w:val="78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8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8"/>
    <w:uiPriority w:val="9"/>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78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9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9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table" w:styleId="749" w:customStyle="1">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0" w:customStyle="1">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61" w:customStyle="1">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customStyle="1">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customStyle="1">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customStyle="1">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8" w:customStyle="1">
    <w:name w:val="Heading 1 Char"/>
    <w:basedOn w:val="746"/>
    <w:uiPriority w:val="9"/>
    <w:rPr>
      <w:rFonts w:ascii="Arial" w:hAnsi="Arial" w:eastAsia="Arial" w:cs="Arial"/>
      <w:sz w:val="40"/>
      <w:szCs w:val="40"/>
    </w:rPr>
  </w:style>
  <w:style w:type="character" w:styleId="769" w:customStyle="1">
    <w:name w:val="Heading 2 Char"/>
    <w:basedOn w:val="746"/>
    <w:uiPriority w:val="9"/>
    <w:rPr>
      <w:rFonts w:ascii="Arial" w:hAnsi="Arial" w:eastAsia="Arial" w:cs="Arial"/>
      <w:sz w:val="34"/>
    </w:rPr>
  </w:style>
  <w:style w:type="character" w:styleId="770" w:customStyle="1">
    <w:name w:val="Heading 3 Char"/>
    <w:basedOn w:val="746"/>
    <w:uiPriority w:val="9"/>
    <w:rPr>
      <w:rFonts w:ascii="Arial" w:hAnsi="Arial" w:eastAsia="Arial" w:cs="Arial"/>
      <w:sz w:val="30"/>
      <w:szCs w:val="30"/>
    </w:rPr>
  </w:style>
  <w:style w:type="character" w:styleId="771" w:customStyle="1">
    <w:name w:val="Heading 4 Char"/>
    <w:basedOn w:val="746"/>
    <w:uiPriority w:val="9"/>
    <w:rPr>
      <w:rFonts w:ascii="Arial" w:hAnsi="Arial" w:eastAsia="Arial" w:cs="Arial"/>
      <w:b/>
      <w:bCs/>
      <w:sz w:val="26"/>
      <w:szCs w:val="26"/>
    </w:rPr>
  </w:style>
  <w:style w:type="character" w:styleId="772" w:customStyle="1">
    <w:name w:val="Heading 5 Char"/>
    <w:basedOn w:val="746"/>
    <w:uiPriority w:val="9"/>
    <w:rPr>
      <w:rFonts w:ascii="Arial" w:hAnsi="Arial" w:eastAsia="Arial" w:cs="Arial"/>
      <w:b/>
      <w:bCs/>
      <w:sz w:val="24"/>
      <w:szCs w:val="24"/>
    </w:rPr>
  </w:style>
  <w:style w:type="character" w:styleId="773" w:customStyle="1">
    <w:name w:val="Heading 6 Char"/>
    <w:basedOn w:val="746"/>
    <w:uiPriority w:val="9"/>
    <w:rPr>
      <w:rFonts w:ascii="Arial" w:hAnsi="Arial" w:eastAsia="Arial" w:cs="Arial"/>
      <w:b/>
      <w:bCs/>
      <w:sz w:val="22"/>
      <w:szCs w:val="22"/>
    </w:rPr>
  </w:style>
  <w:style w:type="character" w:styleId="774" w:customStyle="1">
    <w:name w:val="Heading 7 Char"/>
    <w:basedOn w:val="746"/>
    <w:uiPriority w:val="9"/>
    <w:rPr>
      <w:rFonts w:ascii="Arial" w:hAnsi="Arial" w:eastAsia="Arial" w:cs="Arial"/>
      <w:b/>
      <w:bCs/>
      <w:i/>
      <w:iCs/>
      <w:sz w:val="22"/>
      <w:szCs w:val="22"/>
    </w:rPr>
  </w:style>
  <w:style w:type="character" w:styleId="775" w:customStyle="1">
    <w:name w:val="Heading 8 Char"/>
    <w:basedOn w:val="746"/>
    <w:uiPriority w:val="9"/>
    <w:rPr>
      <w:rFonts w:ascii="Arial" w:hAnsi="Arial" w:eastAsia="Arial" w:cs="Arial"/>
      <w:i/>
      <w:iCs/>
      <w:sz w:val="22"/>
      <w:szCs w:val="22"/>
    </w:rPr>
  </w:style>
  <w:style w:type="character" w:styleId="776" w:customStyle="1">
    <w:name w:val="Heading 9 Char"/>
    <w:basedOn w:val="746"/>
    <w:uiPriority w:val="9"/>
    <w:rPr>
      <w:rFonts w:ascii="Arial" w:hAnsi="Arial" w:eastAsia="Arial" w:cs="Arial"/>
      <w:i/>
      <w:iCs/>
      <w:sz w:val="21"/>
      <w:szCs w:val="21"/>
    </w:rPr>
  </w:style>
  <w:style w:type="character" w:styleId="777" w:customStyle="1">
    <w:name w:val="Title Char"/>
    <w:basedOn w:val="746"/>
    <w:uiPriority w:val="10"/>
    <w:rPr>
      <w:sz w:val="48"/>
      <w:szCs w:val="48"/>
    </w:rPr>
  </w:style>
  <w:style w:type="character" w:styleId="778" w:customStyle="1">
    <w:name w:val="Subtitle Char"/>
    <w:basedOn w:val="746"/>
    <w:uiPriority w:val="11"/>
    <w:rPr>
      <w:sz w:val="24"/>
      <w:szCs w:val="24"/>
    </w:rPr>
  </w:style>
  <w:style w:type="character" w:styleId="779" w:customStyle="1">
    <w:name w:val="Quote Char"/>
    <w:uiPriority w:val="29"/>
    <w:rPr>
      <w:i/>
    </w:rPr>
  </w:style>
  <w:style w:type="character" w:styleId="780" w:customStyle="1">
    <w:name w:val="Intense Quote Char"/>
    <w:uiPriority w:val="30"/>
    <w:rPr>
      <w:i/>
    </w:rPr>
  </w:style>
  <w:style w:type="character" w:styleId="781" w:customStyle="1">
    <w:name w:val="Header Char"/>
    <w:basedOn w:val="746"/>
    <w:uiPriority w:val="99"/>
  </w:style>
  <w:style w:type="character" w:styleId="782" w:customStyle="1">
    <w:name w:val="Footnote Text Char"/>
    <w:uiPriority w:val="99"/>
    <w:rPr>
      <w:sz w:val="18"/>
    </w:rPr>
  </w:style>
  <w:style w:type="character" w:styleId="783" w:customStyle="1">
    <w:name w:val="Endnote Text Char"/>
    <w:uiPriority w:val="99"/>
    <w:rPr>
      <w:sz w:val="20"/>
    </w:rPr>
  </w:style>
  <w:style w:type="character" w:styleId="784" w:customStyle="1">
    <w:name w:val="Заголовок 1 Знак"/>
    <w:basedOn w:val="746"/>
    <w:link w:val="737"/>
    <w:uiPriority w:val="9"/>
    <w:rPr>
      <w:rFonts w:ascii="Arial" w:hAnsi="Arial" w:eastAsia="Arial" w:cs="Arial"/>
      <w:sz w:val="40"/>
      <w:szCs w:val="40"/>
    </w:rPr>
  </w:style>
  <w:style w:type="character" w:styleId="785" w:customStyle="1">
    <w:name w:val="Заголовок 2 Знак"/>
    <w:basedOn w:val="746"/>
    <w:link w:val="738"/>
    <w:uiPriority w:val="9"/>
    <w:rPr>
      <w:rFonts w:ascii="Arial" w:hAnsi="Arial" w:eastAsia="Arial" w:cs="Arial"/>
      <w:sz w:val="34"/>
    </w:rPr>
  </w:style>
  <w:style w:type="character" w:styleId="786" w:customStyle="1">
    <w:name w:val="Заголовок 3 Знак"/>
    <w:basedOn w:val="746"/>
    <w:link w:val="739"/>
    <w:uiPriority w:val="9"/>
    <w:rPr>
      <w:rFonts w:ascii="Arial" w:hAnsi="Arial" w:eastAsia="Arial" w:cs="Arial"/>
      <w:sz w:val="30"/>
      <w:szCs w:val="30"/>
    </w:rPr>
  </w:style>
  <w:style w:type="character" w:styleId="787" w:customStyle="1">
    <w:name w:val="Заголовок 4 Знак"/>
    <w:basedOn w:val="746"/>
    <w:link w:val="740"/>
    <w:uiPriority w:val="9"/>
    <w:rPr>
      <w:rFonts w:ascii="Arial" w:hAnsi="Arial" w:eastAsia="Arial" w:cs="Arial"/>
      <w:b/>
      <w:bCs/>
      <w:sz w:val="26"/>
      <w:szCs w:val="26"/>
    </w:rPr>
  </w:style>
  <w:style w:type="character" w:styleId="788" w:customStyle="1">
    <w:name w:val="Заголовок 5 Знак"/>
    <w:basedOn w:val="746"/>
    <w:link w:val="741"/>
    <w:uiPriority w:val="9"/>
    <w:rPr>
      <w:rFonts w:ascii="Arial" w:hAnsi="Arial" w:eastAsia="Arial" w:cs="Arial"/>
      <w:b/>
      <w:bCs/>
      <w:sz w:val="24"/>
      <w:szCs w:val="24"/>
    </w:rPr>
  </w:style>
  <w:style w:type="character" w:styleId="789" w:customStyle="1">
    <w:name w:val="Заголовок 6 Знак"/>
    <w:basedOn w:val="746"/>
    <w:link w:val="742"/>
    <w:uiPriority w:val="9"/>
    <w:rPr>
      <w:rFonts w:ascii="Arial" w:hAnsi="Arial" w:eastAsia="Arial" w:cs="Arial"/>
      <w:b/>
      <w:bCs/>
      <w:sz w:val="22"/>
      <w:szCs w:val="22"/>
    </w:rPr>
  </w:style>
  <w:style w:type="character" w:styleId="790" w:customStyle="1">
    <w:name w:val="Заголовок 7 Знак"/>
    <w:basedOn w:val="746"/>
    <w:link w:val="743"/>
    <w:uiPriority w:val="9"/>
    <w:rPr>
      <w:rFonts w:ascii="Arial" w:hAnsi="Arial" w:eastAsia="Arial" w:cs="Arial"/>
      <w:b/>
      <w:bCs/>
      <w:i/>
      <w:iCs/>
      <w:sz w:val="22"/>
      <w:szCs w:val="22"/>
    </w:rPr>
  </w:style>
  <w:style w:type="character" w:styleId="791" w:customStyle="1">
    <w:name w:val="Заголовок 8 Знак"/>
    <w:basedOn w:val="746"/>
    <w:link w:val="744"/>
    <w:uiPriority w:val="9"/>
    <w:rPr>
      <w:rFonts w:ascii="Arial" w:hAnsi="Arial" w:eastAsia="Arial" w:cs="Arial"/>
      <w:i/>
      <w:iCs/>
      <w:sz w:val="22"/>
      <w:szCs w:val="22"/>
    </w:rPr>
  </w:style>
  <w:style w:type="character" w:styleId="792" w:customStyle="1">
    <w:name w:val="Заголовок 9 Знак"/>
    <w:basedOn w:val="746"/>
    <w:link w:val="745"/>
    <w:uiPriority w:val="9"/>
    <w:rPr>
      <w:rFonts w:ascii="Arial" w:hAnsi="Arial" w:eastAsia="Arial" w:cs="Arial"/>
      <w:i/>
      <w:iCs/>
      <w:sz w:val="21"/>
      <w:szCs w:val="21"/>
    </w:rPr>
  </w:style>
  <w:style w:type="paragraph" w:styleId="793">
    <w:name w:val="No Spacing"/>
    <w:uiPriority w:val="1"/>
    <w:qFormat/>
  </w:style>
  <w:style w:type="paragraph" w:styleId="794">
    <w:name w:val="Title"/>
    <w:basedOn w:val="736"/>
    <w:next w:val="736"/>
    <w:link w:val="795"/>
    <w:uiPriority w:val="10"/>
    <w:qFormat/>
    <w:pPr>
      <w:contextualSpacing/>
      <w:spacing w:before="300" w:after="200"/>
    </w:pPr>
    <w:rPr>
      <w:sz w:val="48"/>
      <w:szCs w:val="48"/>
    </w:rPr>
  </w:style>
  <w:style w:type="character" w:styleId="795" w:customStyle="1">
    <w:name w:val="Название Знак"/>
    <w:basedOn w:val="746"/>
    <w:link w:val="794"/>
    <w:uiPriority w:val="10"/>
    <w:rPr>
      <w:sz w:val="48"/>
      <w:szCs w:val="48"/>
    </w:rPr>
  </w:style>
  <w:style w:type="paragraph" w:styleId="796">
    <w:name w:val="Subtitle"/>
    <w:basedOn w:val="736"/>
    <w:next w:val="736"/>
    <w:link w:val="797"/>
    <w:uiPriority w:val="11"/>
    <w:qFormat/>
    <w:pPr>
      <w:spacing w:before="200" w:after="200"/>
    </w:pPr>
  </w:style>
  <w:style w:type="character" w:styleId="797" w:customStyle="1">
    <w:name w:val="Подзаголовок Знак"/>
    <w:basedOn w:val="746"/>
    <w:link w:val="796"/>
    <w:uiPriority w:val="11"/>
    <w:rPr>
      <w:sz w:val="24"/>
      <w:szCs w:val="24"/>
    </w:rPr>
  </w:style>
  <w:style w:type="paragraph" w:styleId="798">
    <w:name w:val="Quote"/>
    <w:basedOn w:val="736"/>
    <w:next w:val="736"/>
    <w:link w:val="799"/>
    <w:uiPriority w:val="29"/>
    <w:qFormat/>
    <w:pPr>
      <w:ind w:left="720" w:right="720"/>
    </w:pPr>
    <w:rPr>
      <w:i/>
    </w:rPr>
  </w:style>
  <w:style w:type="character" w:styleId="799" w:customStyle="1">
    <w:name w:val="Цитата 2 Знак"/>
    <w:link w:val="798"/>
    <w:uiPriority w:val="29"/>
    <w:rPr>
      <w:i/>
    </w:rPr>
  </w:style>
  <w:style w:type="paragraph" w:styleId="800">
    <w:name w:val="Intense Quote"/>
    <w:basedOn w:val="736"/>
    <w:next w:val="73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Выделенная цитата Знак"/>
    <w:link w:val="800"/>
    <w:uiPriority w:val="30"/>
    <w:rPr>
      <w:i/>
    </w:rPr>
  </w:style>
  <w:style w:type="character" w:styleId="802" w:customStyle="1">
    <w:name w:val="Верхний колонтитул Знак"/>
    <w:basedOn w:val="746"/>
    <w:link w:val="964"/>
    <w:uiPriority w:val="99"/>
  </w:style>
  <w:style w:type="character" w:styleId="803" w:customStyle="1">
    <w:name w:val="Footer Char"/>
    <w:basedOn w:val="746"/>
    <w:uiPriority w:val="99"/>
  </w:style>
  <w:style w:type="character" w:styleId="804" w:customStyle="1">
    <w:name w:val="Caption Char"/>
    <w:uiPriority w:val="99"/>
  </w:style>
  <w:style w:type="table" w:styleId="805" w:customStyle="1">
    <w:name w:val="Table Grid Light"/>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Таблица простая 1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Таблица простая 21"/>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Таблица простая 3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Таблица простая 4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Таблица простая 5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Таблица-сетка 1 светлая1"/>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Таблица-сетка 2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Таблица-сетка 3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Таблица-сетка 41"/>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4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4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4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4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4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4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Таблица-сетка 5 темная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Таблица-сетка 6 цветная1"/>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7" w:customStyle="1">
    <w:name w:val="Grid Table 6 Colorful - Accent 1"/>
    <w:basedOn w:val="74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8" w:customStyle="1">
    <w:name w:val="Grid Table 6 Colorful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9" w:customStyle="1">
    <w:name w:val="Grid Table 6 Colorful - Accent 3"/>
    <w:basedOn w:val="74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0" w:customStyle="1">
    <w:name w:val="Grid Table 6 Colorful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1" w:customStyle="1">
    <w:name w:val="Grid Table 6 Colorful - Accent 5"/>
    <w:basedOn w:val="74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2" w:customStyle="1">
    <w:name w:val="Grid Table 6 Colorful - Accent 6"/>
    <w:basedOn w:val="74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3" w:customStyle="1">
    <w:name w:val="Таблица-сетка 7 цветная1"/>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4" w:customStyle="1">
    <w:name w:val="Grid Table 7 Colorful - Accent 1"/>
    <w:basedOn w:val="74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55" w:customStyle="1">
    <w:name w:val="Grid Table 7 Colorful - Accent 2"/>
    <w:basedOn w:val="74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6" w:customStyle="1">
    <w:name w:val="Grid Table 7 Colorful - Accent 3"/>
    <w:basedOn w:val="74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57" w:customStyle="1">
    <w:name w:val="Grid Table 7 Colorful - Accent 4"/>
    <w:basedOn w:val="74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8" w:customStyle="1">
    <w:name w:val="Grid Table 7 Colorful - Accent 5"/>
    <w:basedOn w:val="74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59" w:customStyle="1">
    <w:name w:val="Grid Table 7 Colorful - Accent 6"/>
    <w:basedOn w:val="74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60" w:customStyle="1">
    <w:name w:val="Список-таблица 1 светлая1"/>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4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4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4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4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4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4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Список-таблица 21"/>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4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4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4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4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4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4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Список-таблица 3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4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4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4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4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Список-таблица 4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4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4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4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4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4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4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Список-таблица 5 темная1"/>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4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4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4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4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4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4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Список-таблица 6 цветная1"/>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4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7" w:customStyle="1">
    <w:name w:val="List Table 6 Colorful - Accent 2"/>
    <w:basedOn w:val="74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8" w:customStyle="1">
    <w:name w:val="List Table 6 Colorful - Accent 3"/>
    <w:basedOn w:val="74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9" w:customStyle="1">
    <w:name w:val="List Table 6 Colorful - Accent 4"/>
    <w:basedOn w:val="74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0" w:customStyle="1">
    <w:name w:val="List Table 6 Colorful - Accent 5"/>
    <w:basedOn w:val="74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1" w:customStyle="1">
    <w:name w:val="List Table 6 Colorful - Accent 6"/>
    <w:basedOn w:val="74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2" w:customStyle="1">
    <w:name w:val="Список-таблица 7 цветная1"/>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03" w:customStyle="1">
    <w:name w:val="List Table 7 Colorful - Accent 1"/>
    <w:basedOn w:val="74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04" w:customStyle="1">
    <w:name w:val="List Table 7 Colorful - Accent 2"/>
    <w:basedOn w:val="74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05" w:customStyle="1">
    <w:name w:val="List Table 7 Colorful - Accent 3"/>
    <w:basedOn w:val="74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06" w:customStyle="1">
    <w:name w:val="List Table 7 Colorful - Accent 4"/>
    <w:basedOn w:val="74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07" w:customStyle="1">
    <w:name w:val="List Table 7 Colorful - Accent 5"/>
    <w:basedOn w:val="74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08" w:customStyle="1">
    <w:name w:val="List Table 7 Colorful - Accent 6"/>
    <w:basedOn w:val="74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09" w:customStyle="1">
    <w:name w:val="Lined - Accent"/>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4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4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4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4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4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4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4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4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0">
    <w:name w:val="footnote text"/>
    <w:basedOn w:val="736"/>
    <w:link w:val="931"/>
    <w:uiPriority w:val="99"/>
    <w:semiHidden/>
    <w:unhideWhenUsed/>
    <w:pPr>
      <w:spacing w:after="40"/>
    </w:pPr>
    <w:rPr>
      <w:sz w:val="18"/>
    </w:rPr>
  </w:style>
  <w:style w:type="character" w:styleId="931" w:customStyle="1">
    <w:name w:val="Текст сноски Знак"/>
    <w:link w:val="930"/>
    <w:uiPriority w:val="99"/>
    <w:rPr>
      <w:sz w:val="18"/>
    </w:rPr>
  </w:style>
  <w:style w:type="character" w:styleId="932">
    <w:name w:val="footnote reference"/>
    <w:basedOn w:val="746"/>
    <w:uiPriority w:val="99"/>
    <w:unhideWhenUsed/>
    <w:rPr>
      <w:vertAlign w:val="superscript"/>
    </w:rPr>
  </w:style>
  <w:style w:type="paragraph" w:styleId="933">
    <w:name w:val="endnote text"/>
    <w:basedOn w:val="736"/>
    <w:link w:val="934"/>
    <w:uiPriority w:val="99"/>
    <w:semiHidden/>
    <w:unhideWhenUsed/>
    <w:rPr>
      <w:sz w:val="20"/>
    </w:rPr>
  </w:style>
  <w:style w:type="character" w:styleId="934" w:customStyle="1">
    <w:name w:val="Текст концевой сноски Знак"/>
    <w:link w:val="933"/>
    <w:uiPriority w:val="99"/>
    <w:rPr>
      <w:sz w:val="20"/>
    </w:rPr>
  </w:style>
  <w:style w:type="character" w:styleId="935">
    <w:name w:val="endnote reference"/>
    <w:basedOn w:val="746"/>
    <w:uiPriority w:val="99"/>
    <w:semiHidden/>
    <w:unhideWhenUsed/>
    <w:rPr>
      <w:vertAlign w:val="superscript"/>
    </w:rPr>
  </w:style>
  <w:style w:type="paragraph" w:styleId="936">
    <w:name w:val="toc 1"/>
    <w:basedOn w:val="736"/>
    <w:next w:val="736"/>
    <w:uiPriority w:val="39"/>
    <w:unhideWhenUsed/>
    <w:pPr>
      <w:spacing w:after="57"/>
    </w:pPr>
  </w:style>
  <w:style w:type="paragraph" w:styleId="937">
    <w:name w:val="toc 2"/>
    <w:basedOn w:val="736"/>
    <w:next w:val="736"/>
    <w:uiPriority w:val="39"/>
    <w:unhideWhenUsed/>
    <w:pPr>
      <w:ind w:left="283"/>
      <w:spacing w:after="57"/>
    </w:pPr>
  </w:style>
  <w:style w:type="paragraph" w:styleId="938">
    <w:name w:val="toc 3"/>
    <w:basedOn w:val="736"/>
    <w:next w:val="736"/>
    <w:uiPriority w:val="39"/>
    <w:unhideWhenUsed/>
    <w:pPr>
      <w:ind w:left="567"/>
      <w:spacing w:after="57"/>
    </w:pPr>
  </w:style>
  <w:style w:type="paragraph" w:styleId="939">
    <w:name w:val="toc 4"/>
    <w:basedOn w:val="736"/>
    <w:next w:val="736"/>
    <w:uiPriority w:val="39"/>
    <w:unhideWhenUsed/>
    <w:pPr>
      <w:ind w:left="850"/>
      <w:spacing w:after="57"/>
    </w:pPr>
  </w:style>
  <w:style w:type="paragraph" w:styleId="940">
    <w:name w:val="toc 5"/>
    <w:basedOn w:val="736"/>
    <w:next w:val="736"/>
    <w:uiPriority w:val="39"/>
    <w:unhideWhenUsed/>
    <w:pPr>
      <w:ind w:left="1134"/>
      <w:spacing w:after="57"/>
    </w:pPr>
  </w:style>
  <w:style w:type="paragraph" w:styleId="941">
    <w:name w:val="toc 6"/>
    <w:basedOn w:val="736"/>
    <w:next w:val="736"/>
    <w:uiPriority w:val="39"/>
    <w:unhideWhenUsed/>
    <w:pPr>
      <w:ind w:left="1417"/>
      <w:spacing w:after="57"/>
    </w:pPr>
  </w:style>
  <w:style w:type="paragraph" w:styleId="942">
    <w:name w:val="toc 7"/>
    <w:basedOn w:val="736"/>
    <w:next w:val="736"/>
    <w:uiPriority w:val="39"/>
    <w:unhideWhenUsed/>
    <w:pPr>
      <w:ind w:left="1701"/>
      <w:spacing w:after="57"/>
    </w:pPr>
  </w:style>
  <w:style w:type="paragraph" w:styleId="943">
    <w:name w:val="toc 8"/>
    <w:basedOn w:val="736"/>
    <w:next w:val="736"/>
    <w:uiPriority w:val="39"/>
    <w:unhideWhenUsed/>
    <w:pPr>
      <w:ind w:left="1984"/>
      <w:spacing w:after="57"/>
    </w:pPr>
  </w:style>
  <w:style w:type="paragraph" w:styleId="944">
    <w:name w:val="toc 9"/>
    <w:basedOn w:val="736"/>
    <w:next w:val="736"/>
    <w:uiPriority w:val="39"/>
    <w:unhideWhenUsed/>
    <w:pPr>
      <w:ind w:left="2268"/>
      <w:spacing w:after="57"/>
    </w:pPr>
  </w:style>
  <w:style w:type="paragraph" w:styleId="945">
    <w:name w:val="TOC Heading"/>
    <w:uiPriority w:val="39"/>
    <w:unhideWhenUsed/>
  </w:style>
  <w:style w:type="paragraph" w:styleId="946">
    <w:name w:val="table of figures"/>
    <w:basedOn w:val="736"/>
    <w:next w:val="736"/>
    <w:uiPriority w:val="99"/>
    <w:unhideWhenUsed/>
  </w:style>
  <w:style w:type="paragraph" w:styleId="947" w:customStyle="1">
    <w:name w:val="Style5"/>
    <w:basedOn w:val="736"/>
    <w:uiPriority w:val="99"/>
    <w:pPr>
      <w:spacing w:line="307" w:lineRule="exact"/>
    </w:pPr>
  </w:style>
  <w:style w:type="paragraph" w:styleId="948" w:customStyle="1">
    <w:name w:val="Style6"/>
    <w:basedOn w:val="736"/>
    <w:uiPriority w:val="99"/>
    <w:pPr>
      <w:ind w:firstLine="749"/>
      <w:spacing w:line="302" w:lineRule="exact"/>
    </w:pPr>
  </w:style>
  <w:style w:type="paragraph" w:styleId="949" w:customStyle="1">
    <w:name w:val="Style7"/>
    <w:basedOn w:val="736"/>
    <w:uiPriority w:val="99"/>
    <w:pPr>
      <w:jc w:val="both"/>
      <w:spacing w:line="298" w:lineRule="exact"/>
    </w:pPr>
  </w:style>
  <w:style w:type="paragraph" w:styleId="950" w:customStyle="1">
    <w:name w:val="Style8"/>
    <w:basedOn w:val="736"/>
    <w:uiPriority w:val="99"/>
  </w:style>
  <w:style w:type="paragraph" w:styleId="951" w:customStyle="1">
    <w:name w:val="Style9"/>
    <w:basedOn w:val="736"/>
    <w:uiPriority w:val="99"/>
    <w:pPr>
      <w:ind w:hanging="125"/>
      <w:spacing w:line="298" w:lineRule="exact"/>
    </w:pPr>
  </w:style>
  <w:style w:type="paragraph" w:styleId="952" w:customStyle="1">
    <w:name w:val="Style10"/>
    <w:basedOn w:val="736"/>
    <w:uiPriority w:val="99"/>
    <w:pPr>
      <w:ind w:firstLine="720"/>
      <w:jc w:val="both"/>
      <w:spacing w:line="288" w:lineRule="exact"/>
    </w:pPr>
  </w:style>
  <w:style w:type="paragraph" w:styleId="953" w:customStyle="1">
    <w:name w:val="Style11"/>
    <w:basedOn w:val="736"/>
    <w:uiPriority w:val="99"/>
  </w:style>
  <w:style w:type="paragraph" w:styleId="954" w:customStyle="1">
    <w:name w:val="Style12"/>
    <w:basedOn w:val="736"/>
    <w:uiPriority w:val="99"/>
    <w:pPr>
      <w:jc w:val="both"/>
      <w:spacing w:line="302" w:lineRule="exact"/>
    </w:pPr>
  </w:style>
  <w:style w:type="character" w:styleId="955" w:customStyle="1">
    <w:name w:val="Font Style18"/>
    <w:uiPriority w:val="99"/>
    <w:rPr>
      <w:rFonts w:ascii="Times New Roman" w:hAnsi="Times New Roman" w:cs="Times New Roman"/>
      <w:b/>
      <w:bCs/>
      <w:sz w:val="16"/>
      <w:szCs w:val="16"/>
    </w:rPr>
  </w:style>
  <w:style w:type="character" w:styleId="956" w:customStyle="1">
    <w:name w:val="Font Style19"/>
    <w:uiPriority w:val="99"/>
    <w:rPr>
      <w:rFonts w:ascii="Times New Roman" w:hAnsi="Times New Roman" w:cs="Times New Roman"/>
      <w:sz w:val="24"/>
      <w:szCs w:val="24"/>
    </w:rPr>
  </w:style>
  <w:style w:type="paragraph" w:styleId="957">
    <w:name w:val="List Paragraph"/>
    <w:basedOn w:val="736"/>
    <w:uiPriority w:val="34"/>
    <w:qFormat/>
    <w:pPr>
      <w:contextualSpacing/>
      <w:ind w:left="720"/>
    </w:pPr>
  </w:style>
  <w:style w:type="paragraph" w:styleId="958" w:customStyle="1">
    <w:name w:val="Style2"/>
    <w:basedOn w:val="736"/>
    <w:uiPriority w:val="99"/>
  </w:style>
  <w:style w:type="character" w:styleId="959" w:customStyle="1">
    <w:name w:val="Font Style13"/>
    <w:uiPriority w:val="99"/>
    <w:rPr>
      <w:rFonts w:ascii="Times New Roman" w:hAnsi="Times New Roman" w:cs="Times New Roman"/>
      <w:sz w:val="26"/>
      <w:szCs w:val="26"/>
    </w:rPr>
  </w:style>
  <w:style w:type="table" w:styleId="960">
    <w:name w:val="Table Grid"/>
    <w:basedOn w:val="74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name w:val="Caption"/>
    <w:basedOn w:val="736"/>
    <w:next w:val="736"/>
    <w:qFormat/>
    <w:pPr>
      <w:jc w:val="center"/>
      <w:widowControl/>
    </w:pPr>
    <w:rPr>
      <w:b/>
      <w:sz w:val="32"/>
      <w:szCs w:val="20"/>
    </w:rPr>
  </w:style>
  <w:style w:type="character" w:styleId="962">
    <w:name w:val="Hyperlink"/>
    <w:rPr>
      <w:color w:val="0000ff"/>
      <w:u w:val="single"/>
    </w:rPr>
  </w:style>
  <w:style w:type="paragraph" w:styleId="96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6"/>
    <w:pPr>
      <w:jc w:val="right"/>
      <w:spacing w:after="160" w:line="240" w:lineRule="exact"/>
    </w:pPr>
    <w:rPr>
      <w:sz w:val="20"/>
      <w:szCs w:val="20"/>
      <w:lang w:val="en-GB" w:eastAsia="en-US"/>
    </w:rPr>
  </w:style>
  <w:style w:type="paragraph" w:styleId="964">
    <w:name w:val="Header"/>
    <w:basedOn w:val="736"/>
    <w:link w:val="802"/>
    <w:pPr>
      <w:widowControl/>
      <w:tabs>
        <w:tab w:val="center" w:pos="4677" w:leader="none"/>
        <w:tab w:val="right" w:pos="9355" w:leader="none"/>
      </w:tabs>
    </w:pPr>
    <w:rPr>
      <w:sz w:val="28"/>
      <w:szCs w:val="20"/>
    </w:rPr>
  </w:style>
  <w:style w:type="paragraph" w:styleId="965">
    <w:name w:val="Body Text Indent 2"/>
    <w:basedOn w:val="736"/>
    <w:link w:val="968"/>
    <w:pPr>
      <w:ind w:firstLine="851"/>
      <w:jc w:val="both"/>
      <w:widowControl/>
    </w:pPr>
    <w:rPr>
      <w:sz w:val="28"/>
      <w:szCs w:val="20"/>
    </w:rPr>
  </w:style>
  <w:style w:type="paragraph" w:styleId="966">
    <w:name w:val="Body Text"/>
    <w:basedOn w:val="736"/>
    <w:link w:val="967"/>
    <w:pPr>
      <w:spacing w:after="120"/>
      <w:widowControl/>
    </w:pPr>
    <w:rPr>
      <w:sz w:val="20"/>
      <w:szCs w:val="20"/>
    </w:rPr>
  </w:style>
  <w:style w:type="character" w:styleId="967" w:customStyle="1">
    <w:name w:val="Основной текст Знак"/>
    <w:link w:val="966"/>
    <w:rPr>
      <w:lang w:val="ru-RU" w:eastAsia="ru-RU" w:bidi="ar-SA"/>
    </w:rPr>
  </w:style>
  <w:style w:type="character" w:styleId="968" w:customStyle="1">
    <w:name w:val="Основной текст с отступом 2 Знак"/>
    <w:link w:val="965"/>
    <w:rPr>
      <w:sz w:val="28"/>
      <w:lang w:bidi="ar-SA"/>
    </w:rPr>
  </w:style>
  <w:style w:type="paragraph" w:styleId="969">
    <w:name w:val="Normal (Web)"/>
    <w:basedOn w:val="736"/>
    <w:pPr>
      <w:spacing w:before="100" w:beforeAutospacing="1" w:after="100" w:afterAutospacing="1"/>
      <w:widowControl/>
    </w:pPr>
  </w:style>
  <w:style w:type="paragraph" w:styleId="970">
    <w:name w:val="Body Text Indent"/>
    <w:basedOn w:val="736"/>
    <w:pPr>
      <w:ind w:left="283"/>
      <w:spacing w:after="120"/>
    </w:pPr>
  </w:style>
  <w:style w:type="paragraph" w:styleId="971">
    <w:name w:val="Balloon Text"/>
    <w:basedOn w:val="736"/>
    <w:link w:val="972"/>
    <w:uiPriority w:val="99"/>
    <w:semiHidden/>
    <w:unhideWhenUsed/>
    <w:rPr>
      <w:rFonts w:ascii="Tahoma" w:hAnsi="Tahoma" w:cs="Tahoma"/>
      <w:sz w:val="16"/>
      <w:szCs w:val="16"/>
    </w:rPr>
  </w:style>
  <w:style w:type="character" w:styleId="972" w:customStyle="1">
    <w:name w:val="Текст выноски Знак"/>
    <w:link w:val="971"/>
    <w:uiPriority w:val="99"/>
    <w:semiHidden/>
    <w:rPr>
      <w:rFonts w:ascii="Tahoma" w:hAnsi="Tahoma" w:eastAsia="Times New Roman" w:cs="Tahoma"/>
      <w:sz w:val="16"/>
      <w:szCs w:val="16"/>
    </w:rPr>
  </w:style>
  <w:style w:type="paragraph" w:styleId="973">
    <w:name w:val="Footer"/>
    <w:basedOn w:val="736"/>
    <w:link w:val="974"/>
    <w:uiPriority w:val="99"/>
    <w:unhideWhenUsed/>
    <w:pPr>
      <w:tabs>
        <w:tab w:val="center" w:pos="4677" w:leader="none"/>
        <w:tab w:val="right" w:pos="9355" w:leader="none"/>
      </w:tabs>
    </w:pPr>
  </w:style>
  <w:style w:type="character" w:styleId="974" w:customStyle="1">
    <w:name w:val="Нижний колонтитул Знак"/>
    <w:basedOn w:val="746"/>
    <w:link w:val="973"/>
    <w:uiPriority w:val="99"/>
    <w:rPr>
      <w:rFonts w:ascii="Times New Roman" w:hAnsi="Times New Roman" w:eastAsia="Times New Roman"/>
      <w:sz w:val="24"/>
      <w:szCs w:val="24"/>
    </w:rPr>
  </w:style>
  <w:style w:type="paragraph" w:styleId="975" w:customStyle="1">
    <w:name w:val="ConsPlusNormal"/>
    <w:link w:val="976"/>
    <w:pPr>
      <w:ind w:firstLine="720"/>
    </w:pPr>
    <w:rPr>
      <w:rFonts w:ascii="Arial" w:hAnsi="Arial" w:eastAsia="Times New Roman" w:cs="Arial"/>
    </w:rPr>
  </w:style>
  <w:style w:type="character" w:styleId="976" w:customStyle="1">
    <w:name w:val="ConsPlusNormal Знак"/>
    <w:link w:val="975"/>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65ABE-8485-4D12-A0A8-F95B9B0AC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6</cp:revision>
  <dcterms:created xsi:type="dcterms:W3CDTF">2025-10-14T08:19:00Z</dcterms:created>
  <dcterms:modified xsi:type="dcterms:W3CDTF">2025-11-12T09:08:38Z</dcterms:modified>
</cp:coreProperties>
</file>