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 12.11.2025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№ 1836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Муниципальное управление: эффективный муниципалитет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</w:t>
      </w:r>
      <w:r>
        <w:rPr>
          <w:rFonts w:ascii="Times New Roman" w:hAnsi="Times New Roman"/>
          <w:sz w:val="24"/>
          <w:szCs w:val="24"/>
        </w:rPr>
        <w:t xml:space="preserve"> в соответствии с</w:t>
      </w:r>
      <w:r>
        <w:rPr>
          <w:rFonts w:ascii="Times New Roman" w:hAnsi="Times New Roman"/>
          <w:sz w:val="24"/>
          <w:szCs w:val="24"/>
        </w:rPr>
        <w:t xml:space="preserve"> Порядком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Печенгского муниципального округа от 18.09.2025 </w:t>
        <w:br/>
        <w:t xml:space="preserve">№ 1488, </w:t>
      </w:r>
      <w:r>
        <w:rPr>
          <w:rFonts w:ascii="Times New Roman" w:hAnsi="Times New Roman"/>
          <w:sz w:val="24"/>
          <w:szCs w:val="24"/>
        </w:rPr>
        <w:t xml:space="preserve">в целях повышения эффективности функционирования системы органов местного самоуправления Печенгского муниципального округа,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муниципальную программу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Муниципальное управление: эффективный муниципалитет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на 2026-2028 годы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2026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опубликовать в официальном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оставляю за собой.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 51543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ff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12.11.2025 № 1836</w:t>
      </w:r>
      <w:r>
        <w:rPr>
          <w:rFonts w:ascii="Times New Roman" w:hAnsi="Times New Roman"/>
          <w:i/>
          <w:color w:val="0000ff"/>
          <w:sz w:val="20"/>
          <w:szCs w:val="20"/>
        </w:rPr>
      </w:r>
      <w:r>
        <w:rPr>
          <w:rFonts w:ascii="Times New Roman" w:hAnsi="Times New Roman"/>
          <w:i/>
          <w:color w:val="0000ff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6"/>
          <w:szCs w:val="26"/>
        </w:rPr>
        <w:outlineLvl w:val="1"/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«МУНИЦИПАЛЬНОЕ УПРАВЛЕНИЕ: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br/>
        <w:t xml:space="preserve">ЭФФЕКТИВНЫЙ МУНИЦИПАЛИТЕТ» 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Администрация Печенгского муниципального округа (Управляющий делами администрации)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  <w:outlineLvl w:val="1"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«Муниципальное управление: эффективный муниципалитет»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896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функционирование системы муниципального управления в Печенгском муниципальном округе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6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9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2026 - 2028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287 451 516,37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1 217 683 945,71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409 011 848,57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404 214 998,57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404 457 098,57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41 219 379,69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13 739 793,23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13 739 793,23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13 739 793,23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27 348 190,97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8 264 536,73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8 853 373,51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10 230 280,73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1 200 000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400 000,00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400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Доля муниципальных служащих администрации Печенгского муниципального округа и ее структурных подразделений, подтвердивших свою квали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фикацию в результате аттестации - 100 %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сиональную переподготовку - 100%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своевременности исполнения документов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предоставления сводной отчетности с соблюдением сроков предоставления и достоверности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рабочих мест,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- 100%;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заявок на транспортное и материально-техническое обеспечение из общего числа поступивших заявок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работников ОМСУ,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- 100 %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уровня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«Цифровой зрелости»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- 100 %;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Стоимостная доля закупаемого и (или) арендуемого отечественного программного обеспечения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- 100%;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опубликования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на сайте нормативных правовых актов и сведений о размещении информации об официальном опубликовани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нормативных правовых актов от общего количества поступивших за отчетный период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- 100%;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Удовлетворенность граждан, проживающих на территории Печенгского муниципального округа, информационной открытостью органов местного самоуправления, от общей численности опрошенных граждан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95 %;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 - 100 %.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(Управляющий делами администрации) (далее – Управляющий делами администрации)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Управляющий делами администрации,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(далее – Администрация), администрация Пе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ченгского муниципального округа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сектор 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службы и кадров администрации Печенгского муниципального округа (далее – сектор муниципальной службы и кадров), юридический отдел администрации Печенгского муниципального округа (далее – юридический отдел), отдел записи актов гражданского состояния админис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трации Печенгского муниципального округа (далее – отдел ЗАГС), административная комиссия Печенгского муниципального округа (далее – административная комиссия), отдел первичного воинского учета администрации Печенгского муниципального округа (далее – ОПВУ),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(Специалист по работе с населением (далее – специалист по работе с населением)),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комиссия по делам несовершеннолетних и защите их прав Печенгского муниципального округа (далее Комиссия ПДН и ЗП), отдел строительства и ЖКХ администрации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еченгского муниципального округа (далее – ОС и ЖКХ), муниципальное бюджетное учреждение «Централизованная бухгалтерия по обслуживанию муниципальных учреждений муниципального образования Печенгский муниципальный округ Мурманской области» (далее - МБУ «ЦБ»),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«Управ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ление по обеспечению деятельности администрации Печенгского муниципального округа» (далее – МКУ «Управление по ОДА»), муниципальное автономное учреждение «Информационный центр» (далее - МАУ «Информцентр»), Муниципальное бюджетное учреждение ремонтно-эксплу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тационная служба» (далее – МБУ «РЭС»), Финансовое управление администрации Печенгского муниципального округа (далее – ФИНУ), Комитет по управлению имуществом администрации Печенгского муниципального округа (далее – КУИ)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далее - структурные подразделения администрации и подведомственные учреждения).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«Информационное общество»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«Государственное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и гражданское общество»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«Общественная безопасность»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«Социальная поддержка»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896"/>
        <w:numPr>
          <w:ilvl w:val="0"/>
          <w:numId w:val="14"/>
        </w:numPr>
        <w:ind w:left="36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задачи муниципального управления в сфере реализации муниципальной программы «Муниципальной управление: эффективный муниципалитет»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0" w:right="0" w:firstLine="709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Сложность стоящих перед страной вызовов обусловила высочайшие требования к работе аппарата управления, поиск новых способов его функционирования, модернизацию сложившейся в настоящее время системы муниципального управления.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Одним из основных условий, необходимых для успешного решения задач социально-экономического развития Печенгского округа, повышения уровня и качества жизни населения, является эффективность работы системы муниципального управления.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Органы местного самоуправления обеспечивают исполнение Конституции Р</w:t>
      </w:r>
      <w:r>
        <w:rPr>
          <w:rFonts w:ascii="Times New Roman" w:hAnsi="Times New Roman"/>
          <w:color w:val="000000"/>
          <w:sz w:val="24"/>
          <w:szCs w:val="24"/>
        </w:rPr>
        <w:t xml:space="preserve">оссийской Федерации, федеральных законов и иных нормативных правовых актов Российской Федерации, Устава, законов и иных нормативных правовых актов Мурманской области, муниципальных нормативных правовых актов на территории Печенгского муниципального округа.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Важнейшими условиями повышения эффективности муниципального управления являются развитие системы муниципальной службы, формирование ее кадрового потенциала.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ОМСУ должны обладать квалифицированными кадрами, способными эффективно решать сложные задачи социально-экономического развития округа на современном этапе.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настоящее время основные приоритеты совершенствования муниципального управления смещены в сторону создания новых стандартов работы органов местного самоуправления и организации управленческих процессов, осно</w:t>
      </w:r>
      <w:r>
        <w:rPr>
          <w:rFonts w:ascii="Times New Roman" w:hAnsi="Times New Roman"/>
          <w:color w:val="000000"/>
          <w:sz w:val="24"/>
          <w:szCs w:val="24"/>
        </w:rPr>
        <w:t xml:space="preserve">ванных на принципах клиентоцентричности. При осуществлении муниципальных функций и предоставлении муниципальных услуг муниципальный служащий должен руководствоваться ценностями профессионального и честного государства, в центре которого находится человек.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Необходимый уровень профессионализма и компетентности муниципальных служащих обеспечивается за счет реализации различных видов обучения (профессиональная переподготовка, повышение квалификации, стажировки, семинары, самоподготовка).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Перед ОМСУ стоят задачи по совершенствованию муниципальной службы, развитию кадрового потенциала в системе муниципального управления.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Управленческая деятельность Печенгского муниципального округа включает разнообразный спектр исполняемых полномочий, направленных на обеспечение комплексного социально-экономического развития округа, высокого качества жизни населения.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в современном обществе все больше распространяются административные правонарушения. Э</w:t>
      </w:r>
      <w:r>
        <w:rPr>
          <w:rFonts w:ascii="Times New Roman" w:hAnsi="Times New Roman"/>
          <w:sz w:val="24"/>
          <w:szCs w:val="24"/>
        </w:rPr>
        <w:t xml:space="preserve">то ведет к необходимости повышения эффективности борьбы с ними и их предупреждения. Именно эту задачу решает административная комиссия. Административная комиссия призвана способствовать повышению эффективности применения административного законодательства.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государственных полномочий по государственно</w:t>
      </w:r>
      <w:r>
        <w:rPr>
          <w:rFonts w:ascii="Times New Roman" w:hAnsi="Times New Roman"/>
          <w:sz w:val="24"/>
          <w:szCs w:val="24"/>
        </w:rPr>
        <w:t xml:space="preserve">й регистрации актов гражданского состояния на территории Печенгского муниципального округа осуществляет отдел ЗАГС. С регистрацией актов гражданского состояния закон связывает возникновение, изменение и прекращение правовых отношений, имеющих существенное </w:t>
      </w:r>
      <w:r>
        <w:rPr>
          <w:rFonts w:ascii="Times New Roman" w:hAnsi="Times New Roman"/>
          <w:sz w:val="24"/>
          <w:szCs w:val="24"/>
        </w:rPr>
        <w:t xml:space="preserve">значение. Целью государственной регистрации является установление бесспорного доказательства того, что соответствующие события имели место и когда они произошли. Работники отдела ЗАГС ежегодно составляют тысячи записей актов гражданского состояния.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Комиссия по делам несовершеннолетних и защите их прав Печенгского муниципального округа Мурманской области проводит значительную работу по</w:t>
      </w:r>
      <w:r>
        <w:rPr>
          <w:rFonts w:ascii="Times New Roman" w:hAnsi="Times New Roman"/>
          <w:sz w:val="24"/>
          <w:szCs w:val="24"/>
        </w:rPr>
        <w:t xml:space="preserve"> предупреждению безнадзорности, правонарушений несовершеннолетних, защите их прав, осуществлению мер по выявлению и устранению причин и условий, способствующих безнадзорности, беспризорности, правонарушениям и антиобщественным действиям несовершеннолетних.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</w:t>
      </w:r>
      <w:r>
        <w:rPr>
          <w:rFonts w:ascii="Times New Roman" w:hAnsi="Times New Roman"/>
          <w:sz w:val="24"/>
          <w:szCs w:val="24"/>
        </w:rPr>
        <w:t xml:space="preserve"> осуществления надзора за деятельностью опекунов и попечителей, деятельностью организаций, в которые помещены недееспособные или не полностью дееспособные  совершеннолетние граждане, осуществляется проверка условий жизни подопечных, соблюдения опекунами и </w:t>
      </w:r>
      <w:r>
        <w:rPr>
          <w:rFonts w:ascii="Times New Roman" w:hAnsi="Times New Roman"/>
          <w:sz w:val="24"/>
          <w:szCs w:val="24"/>
        </w:rPr>
        <w:t xml:space="preserve">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попечителей, определяемых законодательством РФ.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</w:t>
      </w:r>
      <w:r>
        <w:rPr>
          <w:rFonts w:ascii="Times New Roman" w:hAnsi="Times New Roman"/>
          <w:sz w:val="24"/>
          <w:szCs w:val="24"/>
        </w:rPr>
        <w:t xml:space="preserve">е выполнения функций, возложенных на администрацию округа по осуществлению первичного воинского учёта граждан, пребывающих в запасе, и граждан, подлежащих призыву на военную службу, проживающих или пребывающих (на срок более 3 месяцев), в том числе не имею</w:t>
      </w:r>
      <w:r>
        <w:rPr>
          <w:rFonts w:ascii="Times New Roman" w:hAnsi="Times New Roman"/>
          <w:sz w:val="24"/>
          <w:szCs w:val="24"/>
        </w:rPr>
        <w:t xml:space="preserve">щих регистрацию по месту жительства и (или) по месту пребывания на территории Печенгского муниципального округа возложено на отдел первичного воинского учета (далее – ОПВУ). Для успешного решения задач, стоящих перед ОПВУ, необходимы следующие мероприятия: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обеспечение соблюдения законности при постановке на воинский учет граждан;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повышение качества обслуживания населения и доступности информации в сфере воинского учета;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своевременная подача сведений по запросам военного комиссариата;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запрос необходимых сведений для занесения в документы воинского учета с организаций и физических лиц;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выполнение мероприятий по защите персональных данных и конфиденциальной информации;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проведение мероприятий, способствующих повысить престиж срочной службы в армии;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целевое использование субвенции, передаваемой на осуществление государственных полномочий.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Осуществление переданных полномочий по опеке и попечительству несовершеннолетних граждан осуществляется сектором по охране прав детей отдела образования администрации соответствии со ст.7 Федерального Закона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48-ФЗ </w:t>
        <w:br/>
        <w:t xml:space="preserve">от 24.04.2008 года «Об опеке и попечительстве» к компетенции работы сектора относится: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защита прав и законных интересов граждан, нуждающихся в опеке и попечительстве, и граждан, находящихся под опекой или попечительством;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надзор за деятельностью опекунов и попечителей, а также организаций, в которые помещены недееспособные или не полностью недееспособные граждане;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контроль </w:t>
      </w:r>
      <w:r>
        <w:rPr>
          <w:rFonts w:ascii="Times New Roman" w:hAnsi="Times New Roman"/>
          <w:sz w:val="24"/>
          <w:szCs w:val="24"/>
        </w:rPr>
        <w:t xml:space="preserve">з</w:t>
      </w:r>
      <w:r>
        <w:rPr>
          <w:rFonts w:ascii="Times New Roman" w:hAnsi="Times New Roman"/>
          <w:sz w:val="24"/>
          <w:szCs w:val="24"/>
        </w:rPr>
        <w:t xml:space="preserve">а сохранностью имущества и управлением имуществом граждан, находящихся под опекой или попечительством либо помещенных под надзор в образовательные организации, или иные организации, в том числе для детей - сирот и детей, оставшихся без попечения родителей.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В Печенгском муниципальном округе уделяется особое внимание вопросам противодействия коррупции. Антикоррупционная политика представляет собой целенаправленную деятельность по предупреждению и противодействию коррупции. </w:t>
      </w:r>
      <w:r>
        <w:rPr>
          <w:rFonts w:ascii="Times New Roman" w:hAnsi="Times New Roman"/>
          <w:sz w:val="24"/>
          <w:szCs w:val="24"/>
        </w:rPr>
        <w:t xml:space="preserve">Инструментами, которые позволяют решать указанную задачу, являются проводимые правовая и антикоррупционная экспертизы нормативных правовых актов и их проектов.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</w:t>
      </w:r>
      <w:r>
        <w:rPr>
          <w:rFonts w:ascii="Times New Roman" w:hAnsi="Times New Roman"/>
          <w:sz w:val="24"/>
          <w:szCs w:val="24"/>
        </w:rPr>
        <w:t xml:space="preserve"> сформирована нормативно-правовая база и созданы необходимые механизмы противодействия коррупции, а также административные процедуры, направленные на предупреждение коррупционных нарушений. В ОМСУ осуществляется реализация планов противодействия коррупции.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</w:t>
      </w:r>
      <w:r>
        <w:rPr>
          <w:rFonts w:ascii="Times New Roman" w:hAnsi="Times New Roman"/>
          <w:sz w:val="24"/>
          <w:szCs w:val="24"/>
        </w:rPr>
        <w:t xml:space="preserve">ьно-техническое, организационное, информационно-аналитическое обеспечение исполнения полномочий ОМСУ - это способ организации их деятельности, позволяющий путем оптимизации финансовых, материальных и трудовых ресурсов осуществлять установленные полномочия.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целях обеспечения деятельности ОМСУ и исполнения полномочий для выполнения ус</w:t>
      </w:r>
      <w:r>
        <w:rPr>
          <w:rFonts w:ascii="Times New Roman" w:hAnsi="Times New Roman"/>
          <w:sz w:val="24"/>
          <w:szCs w:val="24"/>
        </w:rPr>
        <w:t xml:space="preserve">луг направленных на комплексное организационное, материально – техническое, информационно-документационное обеспечение деятельности ОМСУ осуществляет деятельность МКУ «Управление по обеспечению деятельности администрации Печенгского муниципального округа».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Информационно-коммуникационные технологии стали частью современных управленческих систем и являются одним из наиболее интенсивно развивающихся видов деятельности. Развитие информаци</w:t>
      </w:r>
      <w:r>
        <w:rPr>
          <w:rFonts w:ascii="Times New Roman" w:hAnsi="Times New Roman"/>
          <w:sz w:val="24"/>
          <w:szCs w:val="24"/>
        </w:rPr>
        <w:t xml:space="preserve">онно-коммуникационных технологий меняет условия управленческого труда, позволяя существенно повысить его эффективность, что в свою очередь, способствует повышению эффективности деятельности органов местного самоуправления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Печенгском муниципальном округе продолжается процесс повышения информационной открытости ОМСУ, эффективности взаимодействия с гражданами и организациями, инструментами выступают Платформа обратной связи, Госпаблики, официальный сайт.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Информирование населения Печенгского округа является одной из главных составляющих работы пресс-службы администрации Печенгского округа и МАУ «Информационный центр» (редакции «Печенга»).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Донести до жителей нашего округа в доступной форме информацию о работе администрации Печенгского округа и наших учреждений - задача номер один.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Печенгского округа выпускается единственное средство массовой информации – газета «Печенга». Выпуск газеты осуществляется еженедельно, тираж составляет 2500 экз. и распространяется бесплатно во всех населенных пунктах Печенгского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Ремонтно-эксплуатационное обеспечение учреждений — </w:t>
      </w:r>
      <w:r>
        <w:rPr>
          <w:rFonts w:ascii="Times New Roman" w:hAnsi="Times New Roman"/>
          <w:sz w:val="24"/>
          <w:szCs w:val="24"/>
        </w:rPr>
        <w:t xml:space="preserve">это комплекс мер по содержанию и обслуживанию зданий и коммуникаций. Его важность сложно переоценить, так как это основа нормального функционирования любой организации, особенно социальной сферы.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Это непрерывный процесс, который включает: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Текущее обслуживание: </w:t>
      </w:r>
      <w:r>
        <w:rPr>
          <w:rFonts w:ascii="Times New Roman" w:hAnsi="Times New Roman"/>
          <w:sz w:val="24"/>
          <w:szCs w:val="24"/>
        </w:rPr>
        <w:t xml:space="preserve">р</w:t>
      </w:r>
      <w:r>
        <w:rPr>
          <w:rFonts w:ascii="Times New Roman" w:hAnsi="Times New Roman"/>
          <w:sz w:val="24"/>
          <w:szCs w:val="24"/>
        </w:rPr>
        <w:t xml:space="preserve">егулярные проверки, мелкий ремонт, поддержание чистоты и порядка.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Планово-предупредительный ремонт: Регулярные работы по предотвращению износа и аварий.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Эксплуатация инженерных систем: Обеспечение работы отопления, водоснабжения, канализации, электроснабжения, вентиляции. Данное направление обеспечивает МБУ «РЭС».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предусматривает решение на территории муниципального округа следующего комплекса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обеспечение эффективного функционирования ОМСУ при решении вопросов местного значения и переданных полномочий;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формирование высококвалифицированного кадрового состава муниципальных служащих и лиц, замещающих муниципальные должности, в администрации Печенгского муниципального округа и ее структурных подразделениях;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совершенствование материально-технической базы (осуществле</w:t>
      </w:r>
      <w:r>
        <w:rPr>
          <w:rFonts w:ascii="Times New Roman" w:hAnsi="Times New Roman"/>
          <w:sz w:val="24"/>
          <w:szCs w:val="24"/>
        </w:rPr>
        <w:t xml:space="preserve">ние текущего и капитального ремонта зданий, сооружений, автотранспорта, оборудования; оснащение современным оборудованием, мебелью, оргтехникой, автотранспортом, в том числе замена физически изношенного морально устаревшего оборудования и автотранспорта);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повышение имиджа органов ОМСУ;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совершенствование правовой основы муниципальной службы;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совершенствование организационных и правовых механизмов профессиональной служебной деятельности муниципальных служащих;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замена средств вычислительной техники, выработавших свой технический ресурс, использование преимущественно отечественное программное обеспечение, обслуживание офисной техники;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работ по информационной безопасности.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1" w:name="P446"/>
      <w:r/>
      <w:bookmarkEnd w:id="1"/>
      <w:r>
        <w:rPr>
          <w:rFonts w:ascii="Times New Roman" w:hAnsi="Times New Roman" w:eastAsia="Times New Roman"/>
          <w:b/>
          <w:sz w:val="24"/>
          <w:lang w:eastAsia="ru-RU"/>
        </w:rPr>
        <w:t xml:space="preserve">2. Перечень 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678"/>
        <w:gridCol w:w="1134"/>
        <w:gridCol w:w="1134"/>
        <w:gridCol w:w="1134"/>
        <w:gridCol w:w="1134"/>
        <w:gridCol w:w="1134"/>
        <w:gridCol w:w="992"/>
        <w:gridCol w:w="993"/>
        <w:gridCol w:w="155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Направленность показателя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«Муниципальное управление: эффективный муниципалитет»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pStyle w:val="896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муниципальной программы: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функционирование системы муниципального управления в Печенгском муниципальном округе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Своевременность исполнения документов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Структурные подразделения администрации, 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Структурные подразделения администрации, 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рабочих мест, обеспеченных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готовности объектов (зданий, помещений),  к эксплуатации, соответствующих требованиям пожарных и санитарно-технических норм и правил от общего числа таких помещений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удовлетворенных заявок на транспортное и материально-техническое обеспечение из общего числа поступивших заявок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0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9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Уровень «Цифровой зрелости»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Стоимостная доля закупаемого и (или) арендуемого отечественного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опубликованных на сайте нормативных правовых актов и сведений о размещении информации об официальном  опубликовании  нормативных правовых актов  от общего количества поступивших за отчетный период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ОДА», структурные подразделения администрации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03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проживающих на территории Печенгского муниципального округа, удовлетворенных информационной открытостью органов местного самоуправления, от общей численности опрошенных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«Информцентр»,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pStyle w:val="906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6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6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6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3452"/>
        <w:gridCol w:w="1150"/>
        <w:gridCol w:w="1703"/>
        <w:gridCol w:w="765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 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«Создание оптимальных условий для функционирования ОМСУ»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сектор муниципальной службы и кадров, МКУ «Управление по ОДА»,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«ЦБ»,  ФИНУ, КУИ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 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Своевременность исполнения документов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 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 Доля рабочих мест, обеспеченных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0.7. Доля удовлетворенных заявок на транспор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тное и материально-техническое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обеспечение из общего числа поступивших заявок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0.8. 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0.9. Уровень «Цифровой зрелости»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0.10.Стоимостная доля закупаемого и (или) арендуемого отечественного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Реализация государственных полномочий, предупреждение и профилактика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 ЗАГС, административная комиссия, ОПВУ, юридический отдел, отдел строительства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Своевременность исполнения документов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 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Доля опубликованных на сайте нормативных правовых актов и сведений о размещении информации об официальном опубликовании  нормативных правовых актов  от общего количества поступивших за отчетный период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3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Обеспечение населения актуальной достоверной информацией о деятельности ОМСУ»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«Информцентр»,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Доля опубликованных на сайте нормативных правовых актов и сведений о размещении информации об официальном опубликовании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нормативных правовых актов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 общего количества поступивших за отчетный период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0.12. Доля граждан, проживающих на территории Печенгского муниципального округа, удовлетворенных информационной открытостью органов местного самоуправления, от общей численности опрошенных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процессный мероприятий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 4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«Техническое обслуживание и ремонт зданий и объектов»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 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3119"/>
        <w:gridCol w:w="1134"/>
        <w:gridCol w:w="992"/>
        <w:gridCol w:w="1559"/>
        <w:gridCol w:w="1559"/>
        <w:gridCol w:w="1418"/>
        <w:gridCol w:w="1417"/>
        <w:gridCol w:w="255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4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 «Муниципальное управление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эффективный муниципалите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287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451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516,37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431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416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178,53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208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165,31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827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172,53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Администрация, сектор муниципальной службы и кадров, МКУ «Управление по ОДА»,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«ЦБ», ФИНУ, КУИ, отдел ЗАГС, административная комиссия, ОПВУ, юридический от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дел,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МАУ «Информцентр»,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специалист по работе с населением,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омиссия ПДН и ЗП,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отдел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образования,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МБУ «РЭС»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217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683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945,71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409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011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848,57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404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214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998,57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404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457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098,57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219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379,69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739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793,23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739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793,23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739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793,23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348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190,97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536,73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853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373,51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10230280,73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3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200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1 283 875 448,37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430 018 150,53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426 119 145,31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427 738 152,53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1 214 107 877,71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407 613 820,57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403 125 978,57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403 368 078,57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41 219 379,69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13 739 793,23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13 739 793,23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13 739 793,23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27 348 190,97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8 264 536,73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8 853 373,51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10 230 280,73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239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875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600,00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682 100,00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682 100,00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239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875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600,00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682 100,00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682 100,00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Комитет по имуществу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336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268,00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522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428,00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406 920,00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406 920,00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336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268,00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522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428,00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406 920,00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406 920,00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оптимальных условий для функционирования ОМСУ»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807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833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245,00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272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533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315,00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603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765,00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696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165,00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Администрация, сектор муниципальной службы и кадров, МКУ «Управление по ОДА»,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«ЦБ»,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ФИНУ, КУИ.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136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645,71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271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634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448,57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898,57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797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298,57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696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599,29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898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866,43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898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866,43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898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866,43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«Реализация государственных полномочий, предупреждение и противодействие коррупции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65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870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971,37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105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463,53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694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300,31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071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207,53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отдел ЗАГС, административная комиссия, ОПВУ, юридический отдел,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пециалист по работе с населением,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Комиссия ПДН и ЗП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отдел образования</w:t>
            </w:r>
            <w:bookmarkStart w:id="2" w:name="_GoBack"/>
            <w:r/>
            <w:bookmarkEnd w:id="2"/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780,40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926,80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926,80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926,80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348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190,9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264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536,73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853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373,51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230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280,7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3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«Обеспечение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населения актуальной достоверной информацией о деятельности ОМСУ»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630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210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180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240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МАУ «Информцентр»,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МКУ «ОДА»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430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780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200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400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процессный мероприятий 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«Техническое обслуживание и ремонт зданий и объектов»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374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117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124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567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124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730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124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819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374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117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567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730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819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Перечень мер налогового регулирования (налоговых расходов) в сфере реализации муниципальной программы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310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"/>
        <w:gridCol w:w="3545"/>
        <w:gridCol w:w="1134"/>
        <w:gridCol w:w="1276"/>
        <w:gridCol w:w="1418"/>
        <w:gridCol w:w="2976"/>
        <w:gridCol w:w="354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5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Наименование меры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textDirection w:val="lrTb"/>
            <w:noWrap w:val="false"/>
          </w:tcPr>
          <w:p>
            <w:pPr>
              <w:ind w:left="180"/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Объем выпадающих доходов бюджета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округа (руб.)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Основание применения меры налогового регулирования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5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5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План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3893" w:type="dxa"/>
            <w:vAlign w:val="center"/>
            <w:textDirection w:val="lrTb"/>
            <w:noWrap w:val="false"/>
          </w:tcPr>
          <w:p>
            <w:pPr>
              <w:ind w:left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/>
                <w:sz w:val="24"/>
                <w:szCs w:val="24"/>
                <w:u w:val="single"/>
                <w:lang w:eastAsia="ru-RU"/>
              </w:rPr>
              <w:t xml:space="preserve">Комплекс процессных мероприятий 1.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ind w:left="147" w:right="139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Освобождение от уплаты земельного налога муниципальных учреждений, финансируемых из бюджета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 в отношении земельных участков, предоставленных для непосредственного выполнения возложенных на эти учреждения функций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473 455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473 455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473 455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ind w:left="0" w:right="0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Подпункт 4.2 пункта 4 р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ешени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Совета депутатов Печенгского муниципального округа от 23.10.2020 № 39 </w:t>
              <w:br/>
              <w:t xml:space="preserve">«Об установлении земельного налога на территории муниципального образования Печенгский муниципальный округ Мурманской области»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ind w:left="0" w:right="0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(в ред. от 22.11.2024)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ind w:left="0"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0" w:right="0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0.5. Доля рабочих мест, обеспеченных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ind w:left="0" w:right="0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0.7. Доля удовлетворенных заявок на транспортное и материально-техническое обеспечение из общего числа поступивших заявок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ind w:left="0" w:right="0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0.6. 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ind w:left="139" w:right="134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Механизмы управления рисками 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1668"/>
        <w:gridCol w:w="3495"/>
        <w:gridCol w:w="3406"/>
        <w:gridCol w:w="3322"/>
        <w:gridCol w:w="207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Невозможность или нецелесообразность реализации поставленных целей, выполнения каких-либо мероприятий (результатов), обязательств в связи с данными изменениями, что окажет влияние на конечные результаты Программы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Проведение мониторинга планируемых изменений в федеральном, региональном законодательстве.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Оперативное принятие муниципальных нормативных правовых актов с целью приведения нормативно-методической базы муниципальной программы в соответствие с государственной политикой на региональном уровне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Финансовый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Недостижение запланированных значений показателей Программы, невыполнение мероприятий результатов в срок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Сбалансированное распределение финансовых средств по структурным элементам Программы в соответствии с ожидаемыми конечными результатами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Внешний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Срыв сроков выполнения мероприятий (результатов) либо выполнение их не в полном объеме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vAlign w:val="center"/>
            <w:textDirection w:val="lrTb"/>
            <w:noWrap w:val="false"/>
          </w:tcPr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Контроль и 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Своевременное расторжение контрактов, проведение новых процедур для обеспечения заключения контрактов с иными исполнителями, поставщиками, подрядчиками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9" w:type="pct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Непредвиденный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13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Снижение бюджетных доходов, необходимость концентрации бюджетных средств на преодоление последствий, связанных с кризисными явлениями в экономике, вызванные природными и техногенными катастрофами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2" w:type="pct"/>
            <w:vAlign w:val="center"/>
            <w:textDirection w:val="lrTb"/>
            <w:noWrap w:val="false"/>
          </w:tcPr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Осуществление прогнозирования социально-экономического развития с учетом возможного ухудшения экономической ситуации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3" w:type="pct"/>
            <w:vAlign w:val="center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Определение приоритетов для первоочередного финансирования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0" w:type="pct"/>
            <w:vAlign w:val="center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710" w:right="851" w:bottom="849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7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и участников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муниципальной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программы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spacing w:after="0" w:line="240" w:lineRule="auto"/>
        <w:rPr>
          <w:highlight w:val="yellow"/>
        </w:rPr>
      </w:pPr>
      <w:r/>
      <w:bookmarkStart w:id="3" w:name="Par3713"/>
      <w:r/>
      <w:bookmarkEnd w:id="3"/>
      <w:r>
        <w:rPr>
          <w:highlight w:val="yellow"/>
        </w:rPr>
      </w:r>
      <w:r>
        <w:rPr>
          <w:highlight w:val="yellow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ответственным исполнителем программы – Управляющим делами администрации, который: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об</w:t>
      </w:r>
      <w:r>
        <w:rPr>
          <w:rFonts w:ascii="Times New Roman" w:hAnsi="Times New Roman" w:eastAsia="Times New Roman"/>
          <w:sz w:val="24"/>
          <w:lang w:eastAsia="ru-RU"/>
        </w:rPr>
        <w:t xml:space="preserve">еспечивает совместно с Соисполнителями разработку проекта Программы,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18.09.2025 № 1488 (далее – Порядок);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осуществляет мониторинг реализации муниципальной программы и подготовку отчетов о ходе реализации муниципальной программы в соответствии с требовани</w:t>
      </w:r>
      <w:r>
        <w:rPr>
          <w:rFonts w:ascii="Times New Roman" w:hAnsi="Times New Roman" w:eastAsia="Times New Roman"/>
          <w:sz w:val="24"/>
          <w:lang w:eastAsia="ru-RU"/>
        </w:rPr>
        <w:t xml:space="preserve">ями Порядка</w:t>
      </w:r>
      <w:r>
        <w:rPr>
          <w:rFonts w:ascii="Times New Roman" w:hAnsi="Times New Roman" w:eastAsia="Times New Roman"/>
          <w:sz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Соисполнителями муниципальной программы являются: сектор муниципальной службы и кадров, МКУ «Управление по ОДА», МБУ «ЦБ»,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МКУ «ЦБ»,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МБУ «РЭС», ФИНУ, КУИ, отдел ЗАГС, административная комиссия, ОПВУ, специалист по работе с населением, Комиссия ПДН и ЗП, сектор по охране прав детей отдела образования, юридический отдел, отдел строительства и ЖКХ, МАУ «Информцентр», которые: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обеспечивают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несут ответственность за достижение плановых значений показателей муниципальной программы в части, их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формирует предложения по разработке проекта муниципальной программы, внесению изменений в муниципальную программу;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в пределах своей компетенции участвуют в разработке плана реализации муниципальной программы, направляют </w:t>
      </w:r>
      <w:r>
        <w:rPr>
          <w:rFonts w:ascii="Times New Roman" w:hAnsi="Times New Roman" w:eastAsia="Times New Roman"/>
          <w:sz w:val="24"/>
          <w:lang w:eastAsia="ru-RU"/>
        </w:rPr>
        <w:t xml:space="preserve">Управляющему делами администрации </w:t>
      </w:r>
      <w:r>
        <w:rPr>
          <w:rFonts w:ascii="Times New Roman" w:hAnsi="Times New Roman" w:eastAsia="Times New Roman"/>
          <w:sz w:val="24"/>
          <w:lang w:eastAsia="ru-RU"/>
        </w:rPr>
        <w:t xml:space="preserve">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представляют в </w:t>
      </w:r>
      <w:r>
        <w:rPr>
          <w:rFonts w:ascii="Times New Roman" w:hAnsi="Times New Roman" w:eastAsia="Times New Roman"/>
          <w:sz w:val="24"/>
          <w:lang w:eastAsia="ru-RU"/>
        </w:rPr>
        <w:t xml:space="preserve">отдел экономического развития </w:t>
      </w:r>
      <w:r>
        <w:rPr>
          <w:rFonts w:ascii="Times New Roman" w:hAnsi="Times New Roman" w:eastAsia="Times New Roman"/>
          <w:sz w:val="24"/>
          <w:lang w:eastAsia="ru-RU"/>
        </w:rPr>
        <w:t xml:space="preserve">в электронном виде в срок и по формам, установленным Порядком, всю необходимую информацию для проведения мониторинга и оценки эффективности муниципальной программы.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1135" w:right="993" w:bottom="1701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 об источниках и методике расчета значений показателей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firstLine="709"/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168" w:type="dxa"/>
        <w:tblInd w:w="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132"/>
        <w:gridCol w:w="1121"/>
        <w:gridCol w:w="1559"/>
        <w:gridCol w:w="2693"/>
        <w:gridCol w:w="2410"/>
        <w:gridCol w:w="1276"/>
        <w:gridCol w:w="1417"/>
      </w:tblGrid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W w:w="13608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4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(Чмсд/Чмсп)*100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численность муниципальных служащих подтвердивших свою квалификацию в результате аттестации,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отчет отдела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Чмсп –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муниципальных служащих допущенных к аттестации,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 (Чмсн/Чмсп)*100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Чмсн-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муниципальных служащих повысивших свою квалификацию, человек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отчет отдела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6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Чмсп –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муниципальных служащих направленных на повышение квалификации, человек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Своевременность исполнения документов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Сид=(Пд/Ос)*100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Пд- количество  сотрудников ОМСУ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соблюдающих сроки рассмотрения и исполнения документов,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системы электронного документооборота 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S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0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- общее количество сотрудников ОМСУ,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сводной отчетности, предоставленной с соблюдением сроков предоставления и 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остоверности в общем количестве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сводной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Д=(СО/ДОПС)*100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отчетных данных, предоставленных данных с соблюдением сроков и достоверностью данных, единиц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системы электронного документооборота 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S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Поступление предпис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аний, протоколов о привлечении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ответственности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контролирующих органов за несвоевременной и недостоверной предоставление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none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ОДА», МБУ «ЦБ», МКУ «ЦБ», МБУ «РЭС», ФИНУ,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КУИ, отдел ЗАГС, административная комиссия, ОПВУ, отдел строительства и ЖКХ, специалист по работе с населением, Комиссия ПДН и ЗП, юридический отдел, отдел строительства и ЖКХ, МАУ «Информцентр»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ДОПС-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сводных отчетных данных предоставляемых ОМСУ,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7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рабочих мест, обеспеченных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Д=(Окрм/Оскрм)*100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Окрм –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рабочих мест оснащенных компьютерным оборудованием, оргтехникой, расходными материалами, комплектующими, единиц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8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Оскрм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рабочих мест,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3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Д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/Д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оо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Дго –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объектов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(зданий, помещений) готовых к эксплуатации, соответс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вующи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х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требованиям пожарных и санитарно -технических ном и правил, штук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6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оо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общее количество эксплуатируемых объектов (зданий, помещений), штук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удовлетворенных заявок на  материально-техническое и транспортное обеспечение из общего числа поступивших заявок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(Уз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Окз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Окз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заявок на транспортное и материально-техническое обеспечение, поступивших для исполнения, штук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0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Уз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исполненных заявок, штук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Д=(Росэпз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Росэпз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работников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Р-общее количество работников, использующих ЭЦП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77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Уровень «Цифровой зрелости»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З=З1/З2*100%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сумма средств потраченных на организацию работ по защите информации на покупку и аренду Российского программного обеспечения и технических средств Российского производства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1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З2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общая сумма денежных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направленных в закупки для организации работ по защите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Стоимостная доля закупаемого и (или) арендуемого отечественного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П=П1/П2*100%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П1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сумма всех денежных средств потраченных на покупку и аренду Российского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П2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-общая сумма 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денежных средств направленная  в закупки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1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опубликованных на сайте нормативных правовых актов и сведений о размещении информации об официальном  опубликовании  нормативных правовых актов от общего количества поступивших за отчетный период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Д=(Паос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Пап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Паос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общее количество опубликованных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ПА,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размещенных на официальном сайте ОМСУ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Отчет об исполнении плана мероприятий по противодействию коррупции в Печенгском муниципальном округе»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Юридический отдел,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Пап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ПА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подлежащих размещению на официальном сайте ОМСУ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2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2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проживающих на территории Печенгского муниципального округа, удовлетворенных информационной открытостью органов местного самоуправления, от общей численности опрошенных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Д=(Гро/Гуов)*100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Гро- численность опрошенных граждан удовлетворенных информационной открытостью органов местного самоуправления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Социологический опрос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декабрь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«Инфрмацион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ный центр»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3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Гуов -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общая численность опрошенных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pPr>
      <w:r/>
      <w:bookmarkStart w:id="4" w:name="p124"/>
      <w:r/>
      <w:bookmarkEnd w:id="4"/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Указываются методы: статистическая отчетность, социологический опрос, прочие (указать).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40" w:lineRule="auto"/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4" w:right="706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12"/>
  </w:num>
  <w:num w:numId="8">
    <w:abstractNumId w:val="0"/>
  </w:num>
  <w:num w:numId="9">
    <w:abstractNumId w:val="13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3">
    <w:name w:val="Plain Table 1"/>
    <w:basedOn w:val="7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7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4"/>
    <w:basedOn w:val="7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2">
    <w:name w:val="Grid Table 5 Dark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3">
    <w:name w:val="Grid Table 6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4">
    <w:name w:val="Grid Table 7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List Table 1 Light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List Table 2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7">
    <w:name w:val="List Table 3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4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5 Dark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0">
    <w:name w:val="List Table 6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1">
    <w:name w:val="List Table 7 Colorful"/>
    <w:basedOn w:val="7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03">
    <w:name w:val="Heading 1"/>
    <w:basedOn w:val="702"/>
    <w:link w:val="90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04">
    <w:name w:val="Heading 2"/>
    <w:basedOn w:val="702"/>
    <w:next w:val="702"/>
    <w:link w:val="910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05">
    <w:name w:val="Heading 3"/>
    <w:basedOn w:val="702"/>
    <w:next w:val="702"/>
    <w:link w:val="911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06">
    <w:name w:val="Heading 4"/>
    <w:basedOn w:val="702"/>
    <w:next w:val="702"/>
    <w:link w:val="73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7">
    <w:name w:val="Heading 5"/>
    <w:basedOn w:val="702"/>
    <w:next w:val="702"/>
    <w:link w:val="73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702"/>
    <w:next w:val="702"/>
    <w:link w:val="73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9">
    <w:name w:val="Heading 7"/>
    <w:basedOn w:val="702"/>
    <w:next w:val="702"/>
    <w:link w:val="73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0">
    <w:name w:val="Heading 8"/>
    <w:basedOn w:val="702"/>
    <w:next w:val="702"/>
    <w:link w:val="73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1">
    <w:name w:val="Heading 9"/>
    <w:basedOn w:val="702"/>
    <w:next w:val="702"/>
    <w:link w:val="73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character" w:styleId="715" w:customStyle="1">
    <w:name w:val="Heading 4 Char"/>
    <w:basedOn w:val="712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Heading 5 Char"/>
    <w:basedOn w:val="712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6 Char"/>
    <w:basedOn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Heading 7 Char"/>
    <w:basedOn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Heading 8 Char"/>
    <w:basedOn w:val="712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Heading 9 Char"/>
    <w:basedOn w:val="712"/>
    <w:uiPriority w:val="9"/>
    <w:rPr>
      <w:rFonts w:ascii="Arial" w:hAnsi="Arial" w:eastAsia="Arial" w:cs="Arial"/>
      <w:i/>
      <w:iCs/>
      <w:sz w:val="21"/>
      <w:szCs w:val="21"/>
    </w:rPr>
  </w:style>
  <w:style w:type="character" w:styleId="721" w:customStyle="1">
    <w:name w:val="Title Char"/>
    <w:basedOn w:val="712"/>
    <w:uiPriority w:val="10"/>
    <w:rPr>
      <w:sz w:val="48"/>
      <w:szCs w:val="48"/>
    </w:rPr>
  </w:style>
  <w:style w:type="character" w:styleId="722" w:customStyle="1">
    <w:name w:val="Subtitle Char"/>
    <w:basedOn w:val="712"/>
    <w:uiPriority w:val="11"/>
    <w:rPr>
      <w:sz w:val="24"/>
      <w:szCs w:val="24"/>
    </w:rPr>
  </w:style>
  <w:style w:type="character" w:styleId="723" w:customStyle="1">
    <w:name w:val="Quote Char"/>
    <w:uiPriority w:val="29"/>
    <w:rPr>
      <w:i/>
    </w:rPr>
  </w:style>
  <w:style w:type="character" w:styleId="724" w:customStyle="1">
    <w:name w:val="Intense Quote Char"/>
    <w:uiPriority w:val="30"/>
    <w:rPr>
      <w:i/>
    </w:rPr>
  </w:style>
  <w:style w:type="character" w:styleId="725" w:customStyle="1">
    <w:name w:val="Footnote Text Char"/>
    <w:uiPriority w:val="99"/>
    <w:rPr>
      <w:sz w:val="18"/>
    </w:rPr>
  </w:style>
  <w:style w:type="character" w:styleId="726" w:customStyle="1">
    <w:name w:val="Endnote Text Char"/>
    <w:uiPriority w:val="99"/>
    <w:rPr>
      <w:sz w:val="20"/>
    </w:rPr>
  </w:style>
  <w:style w:type="character" w:styleId="727" w:customStyle="1">
    <w:name w:val="Heading 1 Char"/>
    <w:basedOn w:val="712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12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12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712"/>
    <w:link w:val="706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12"/>
    <w:link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12"/>
    <w:link w:val="708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12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12"/>
    <w:link w:val="710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12"/>
    <w:link w:val="711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Title"/>
    <w:basedOn w:val="702"/>
    <w:next w:val="702"/>
    <w:link w:val="737"/>
    <w:uiPriority w:val="10"/>
    <w:qFormat/>
    <w:pPr>
      <w:contextualSpacing/>
      <w:spacing w:before="300"/>
    </w:pPr>
    <w:rPr>
      <w:sz w:val="48"/>
      <w:szCs w:val="48"/>
    </w:rPr>
  </w:style>
  <w:style w:type="character" w:styleId="737" w:customStyle="1">
    <w:name w:val="Заголовок Знак"/>
    <w:basedOn w:val="712"/>
    <w:link w:val="736"/>
    <w:uiPriority w:val="10"/>
    <w:rPr>
      <w:sz w:val="48"/>
      <w:szCs w:val="48"/>
    </w:rPr>
  </w:style>
  <w:style w:type="paragraph" w:styleId="738">
    <w:name w:val="Subtitle"/>
    <w:basedOn w:val="702"/>
    <w:next w:val="702"/>
    <w:link w:val="739"/>
    <w:uiPriority w:val="11"/>
    <w:qFormat/>
    <w:pPr>
      <w:spacing w:before="200"/>
    </w:pPr>
    <w:rPr>
      <w:sz w:val="24"/>
      <w:szCs w:val="24"/>
    </w:rPr>
  </w:style>
  <w:style w:type="character" w:styleId="739" w:customStyle="1">
    <w:name w:val="Подзаголовок Знак"/>
    <w:basedOn w:val="712"/>
    <w:link w:val="738"/>
    <w:uiPriority w:val="11"/>
    <w:rPr>
      <w:sz w:val="24"/>
      <w:szCs w:val="24"/>
    </w:rPr>
  </w:style>
  <w:style w:type="paragraph" w:styleId="740">
    <w:name w:val="Quote"/>
    <w:basedOn w:val="702"/>
    <w:next w:val="702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702"/>
    <w:next w:val="702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12"/>
    <w:uiPriority w:val="99"/>
  </w:style>
  <w:style w:type="character" w:styleId="745" w:customStyle="1">
    <w:name w:val="Footer Char"/>
    <w:basedOn w:val="712"/>
    <w:uiPriority w:val="99"/>
  </w:style>
  <w:style w:type="character" w:styleId="746" w:customStyle="1">
    <w:name w:val="Caption Char"/>
    <w:uiPriority w:val="99"/>
  </w:style>
  <w:style w:type="table" w:styleId="747" w:customStyle="1">
    <w:name w:val="Table Grid Light"/>
    <w:basedOn w:val="71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Таблица простая 11"/>
    <w:basedOn w:val="71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Таблица простая 21"/>
    <w:basedOn w:val="71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31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Таблица простая 41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Таблица простая 51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1 светлая1"/>
    <w:basedOn w:val="71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1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1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1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1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1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1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-сетка 21"/>
    <w:basedOn w:val="71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1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1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1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1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1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1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31"/>
    <w:basedOn w:val="71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1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1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1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1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1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1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41"/>
    <w:basedOn w:val="71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1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1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1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1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1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1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Таблица-сетка 5 темная1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Таблица-сетка 6 цветная1"/>
    <w:basedOn w:val="71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1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1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1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1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1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1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Таблица-сетка 7 цветная1"/>
    <w:basedOn w:val="71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71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71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71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71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71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71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Список-таблица 1 светлая1"/>
    <w:basedOn w:val="71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1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1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1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1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1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1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Список-таблица 21"/>
    <w:basedOn w:val="71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1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1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1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1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1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1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Список-таблица 31"/>
    <w:basedOn w:val="71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1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1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1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1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1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1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41"/>
    <w:basedOn w:val="71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1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1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1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1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1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1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71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1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1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1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1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1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1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Список-таблица 6 цветная1"/>
    <w:basedOn w:val="71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1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1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1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1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1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1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Список-таблица 7 цветная1"/>
    <w:basedOn w:val="71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71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71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71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71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71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71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71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1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1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1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1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1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1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1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1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1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1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1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1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1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1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1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1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1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1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1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1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2">
    <w:name w:val="footnote text"/>
    <w:basedOn w:val="702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12"/>
    <w:uiPriority w:val="99"/>
    <w:unhideWhenUsed/>
    <w:rPr>
      <w:vertAlign w:val="superscript"/>
    </w:rPr>
  </w:style>
  <w:style w:type="paragraph" w:styleId="875">
    <w:name w:val="endnote text"/>
    <w:basedOn w:val="702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12"/>
    <w:uiPriority w:val="99"/>
    <w:semiHidden/>
    <w:unhideWhenUsed/>
    <w:rPr>
      <w:vertAlign w:val="superscript"/>
    </w:rPr>
  </w:style>
  <w:style w:type="paragraph" w:styleId="878">
    <w:name w:val="toc 1"/>
    <w:basedOn w:val="702"/>
    <w:next w:val="702"/>
    <w:uiPriority w:val="39"/>
    <w:unhideWhenUsed/>
    <w:pPr>
      <w:spacing w:after="57"/>
    </w:pPr>
  </w:style>
  <w:style w:type="paragraph" w:styleId="879">
    <w:name w:val="toc 2"/>
    <w:basedOn w:val="702"/>
    <w:next w:val="702"/>
    <w:uiPriority w:val="39"/>
    <w:unhideWhenUsed/>
    <w:pPr>
      <w:ind w:left="283"/>
      <w:spacing w:after="57"/>
    </w:pPr>
  </w:style>
  <w:style w:type="paragraph" w:styleId="880">
    <w:name w:val="toc 3"/>
    <w:basedOn w:val="702"/>
    <w:next w:val="702"/>
    <w:uiPriority w:val="39"/>
    <w:unhideWhenUsed/>
    <w:pPr>
      <w:ind w:left="567"/>
      <w:spacing w:after="57"/>
    </w:pPr>
  </w:style>
  <w:style w:type="paragraph" w:styleId="881">
    <w:name w:val="toc 4"/>
    <w:basedOn w:val="702"/>
    <w:next w:val="702"/>
    <w:uiPriority w:val="39"/>
    <w:unhideWhenUsed/>
    <w:pPr>
      <w:ind w:left="850"/>
      <w:spacing w:after="57"/>
    </w:pPr>
  </w:style>
  <w:style w:type="paragraph" w:styleId="882">
    <w:name w:val="toc 5"/>
    <w:basedOn w:val="702"/>
    <w:next w:val="702"/>
    <w:uiPriority w:val="39"/>
    <w:unhideWhenUsed/>
    <w:pPr>
      <w:ind w:left="1134"/>
      <w:spacing w:after="57"/>
    </w:pPr>
  </w:style>
  <w:style w:type="paragraph" w:styleId="883">
    <w:name w:val="toc 6"/>
    <w:basedOn w:val="702"/>
    <w:next w:val="702"/>
    <w:uiPriority w:val="39"/>
    <w:unhideWhenUsed/>
    <w:pPr>
      <w:ind w:left="1417"/>
      <w:spacing w:after="57"/>
    </w:pPr>
  </w:style>
  <w:style w:type="paragraph" w:styleId="884">
    <w:name w:val="toc 7"/>
    <w:basedOn w:val="702"/>
    <w:next w:val="702"/>
    <w:uiPriority w:val="39"/>
    <w:unhideWhenUsed/>
    <w:pPr>
      <w:ind w:left="1701"/>
      <w:spacing w:after="57"/>
    </w:pPr>
  </w:style>
  <w:style w:type="paragraph" w:styleId="885">
    <w:name w:val="toc 8"/>
    <w:basedOn w:val="702"/>
    <w:next w:val="702"/>
    <w:uiPriority w:val="39"/>
    <w:unhideWhenUsed/>
    <w:pPr>
      <w:ind w:left="1984"/>
      <w:spacing w:after="57"/>
    </w:pPr>
  </w:style>
  <w:style w:type="paragraph" w:styleId="886">
    <w:name w:val="toc 9"/>
    <w:basedOn w:val="702"/>
    <w:next w:val="702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02"/>
    <w:next w:val="702"/>
    <w:uiPriority w:val="99"/>
    <w:unhideWhenUsed/>
    <w:pPr>
      <w:spacing w:after="0"/>
    </w:pPr>
  </w:style>
  <w:style w:type="paragraph" w:styleId="889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0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1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2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3" w:customStyle="1">
    <w:name w:val="МОН Знак"/>
    <w:link w:val="894"/>
    <w:rPr>
      <w:sz w:val="24"/>
      <w:szCs w:val="24"/>
    </w:rPr>
  </w:style>
  <w:style w:type="paragraph" w:styleId="894" w:customStyle="1">
    <w:name w:val="МОН"/>
    <w:basedOn w:val="702"/>
    <w:link w:val="893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5">
    <w:name w:val="Strong"/>
    <w:qFormat/>
    <w:rPr>
      <w:b/>
      <w:bCs/>
    </w:rPr>
  </w:style>
  <w:style w:type="paragraph" w:styleId="896">
    <w:name w:val="List Paragraph"/>
    <w:basedOn w:val="702"/>
    <w:qFormat/>
    <w:pPr>
      <w:contextualSpacing/>
      <w:ind w:left="720"/>
    </w:pPr>
  </w:style>
  <w:style w:type="character" w:styleId="897" w:customStyle="1">
    <w:name w:val="Основной текст_"/>
    <w:link w:val="898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98" w:customStyle="1">
    <w:name w:val="Основной текст2"/>
    <w:basedOn w:val="702"/>
    <w:link w:val="897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99">
    <w:name w:val="Body Text 2"/>
    <w:basedOn w:val="702"/>
    <w:link w:val="900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0" w:customStyle="1">
    <w:name w:val="Основной текст 2 Знак"/>
    <w:link w:val="899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1">
    <w:name w:val="Footer"/>
    <w:basedOn w:val="702"/>
    <w:link w:val="90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2" w:customStyle="1">
    <w:name w:val="Нижний колонтитул Знак"/>
    <w:link w:val="901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3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4" w:customStyle="1">
    <w:name w:val="32"/>
    <w:basedOn w:val="70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5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06">
    <w:name w:val="Normal (Web)"/>
    <w:basedOn w:val="70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7">
    <w:name w:val="Body Text Indent"/>
    <w:basedOn w:val="702"/>
    <w:link w:val="908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08" w:customStyle="1">
    <w:name w:val="Основной текст с отступом Знак"/>
    <w:link w:val="907"/>
    <w:rPr>
      <w:rFonts w:ascii="Times New Roman" w:hAnsi="Times New Roman" w:eastAsia="Times New Roman" w:cs="Times New Roman"/>
      <w:sz w:val="24"/>
      <w:szCs w:val="24"/>
    </w:rPr>
  </w:style>
  <w:style w:type="character" w:styleId="909" w:customStyle="1">
    <w:name w:val="Заголовок 1 Знак"/>
    <w:link w:val="703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0" w:customStyle="1">
    <w:name w:val="Заголовок 2 Знак"/>
    <w:link w:val="704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1" w:customStyle="1">
    <w:name w:val="Заголовок 3 Знак"/>
    <w:link w:val="705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2">
    <w:name w:val="Table Grid"/>
    <w:basedOn w:val="71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3">
    <w:name w:val="Balloon Text"/>
    <w:basedOn w:val="702"/>
    <w:link w:val="914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4" w:customStyle="1">
    <w:name w:val="Текст выноски Знак"/>
    <w:link w:val="913"/>
    <w:rPr>
      <w:rFonts w:ascii="Tahoma" w:hAnsi="Tahoma" w:eastAsia="Times New Roman" w:cs="Tahoma"/>
      <w:sz w:val="16"/>
      <w:szCs w:val="16"/>
      <w:lang w:eastAsia="ru-RU"/>
    </w:rPr>
  </w:style>
  <w:style w:type="paragraph" w:styleId="915">
    <w:name w:val="Header"/>
    <w:basedOn w:val="702"/>
    <w:link w:val="916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6" w:customStyle="1">
    <w:name w:val="Верхний колонтитул Знак"/>
    <w:link w:val="91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7">
    <w:name w:val="Emphasis"/>
    <w:qFormat/>
    <w:rPr>
      <w:i/>
      <w:iCs/>
    </w:rPr>
  </w:style>
  <w:style w:type="paragraph" w:styleId="918" w:customStyle="1">
    <w:name w:val="Содержимое таблицы"/>
    <w:basedOn w:val="702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19" w:customStyle="1">
    <w:name w:val="consplusnormal"/>
    <w:basedOn w:val="70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0" w:customStyle="1">
    <w:name w:val="a2"/>
    <w:basedOn w:val="70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 w:customStyle="1">
    <w:name w:val="15"/>
    <w:basedOn w:val="70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2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 w:customStyle="1">
    <w:name w:val="h1"/>
    <w:basedOn w:val="70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 w:customStyle="1">
    <w:name w:val="msonospacing"/>
    <w:basedOn w:val="70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 w:customStyle="1">
    <w:name w:val="ac"/>
    <w:basedOn w:val="70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6">
    <w:name w:val="Body Text 3"/>
    <w:basedOn w:val="702"/>
    <w:link w:val="9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7" w:customStyle="1">
    <w:name w:val="Основной текст 3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HTML Bottom of Form"/>
    <w:basedOn w:val="702"/>
    <w:next w:val="702"/>
    <w:link w:val="929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29" w:customStyle="1">
    <w:name w:val="z-Конец формы Знак"/>
    <w:link w:val="928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0" w:customStyle="1">
    <w:name w:val="Style16"/>
    <w:basedOn w:val="702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Caption"/>
    <w:basedOn w:val="702"/>
    <w:next w:val="702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3">
    <w:name w:val="Body Text"/>
    <w:basedOn w:val="702"/>
    <w:link w:val="934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4" w:customStyle="1">
    <w:name w:val="Основной текст Знак"/>
    <w:link w:val="93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>
    <w:name w:val="Body Text Indent 2"/>
    <w:basedOn w:val="702"/>
    <w:link w:val="936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6" w:customStyle="1">
    <w:name w:val="Основной текст с отступом 2 Знак"/>
    <w:link w:val="93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7" w:customStyle="1">
    <w:name w:val="Заголовок №2_"/>
    <w:link w:val="938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38" w:customStyle="1">
    <w:name w:val="Заголовок №2"/>
    <w:basedOn w:val="702"/>
    <w:link w:val="937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39">
    <w:name w:val="No Spacing"/>
    <w:qFormat/>
    <w:rPr>
      <w:sz w:val="22"/>
      <w:szCs w:val="22"/>
      <w:lang w:eastAsia="en-US"/>
    </w:rPr>
  </w:style>
  <w:style w:type="paragraph" w:styleId="940" w:customStyle="1">
    <w:name w:val="Default"/>
    <w:rPr>
      <w:rFonts w:ascii="Arial" w:hAnsi="Arial" w:cs="Arial"/>
      <w:color w:val="000000"/>
      <w:sz w:val="24"/>
      <w:szCs w:val="24"/>
    </w:rPr>
  </w:style>
  <w:style w:type="paragraph" w:styleId="941" w:customStyle="1">
    <w:name w:val="msonormalcxspmiddle"/>
    <w:basedOn w:val="70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2" w:customStyle="1">
    <w:name w:val="Нет списка1"/>
    <w:next w:val="714"/>
    <w:semiHidden/>
    <w:unhideWhenUsed/>
  </w:style>
  <w:style w:type="table" w:styleId="943" w:customStyle="1">
    <w:name w:val="Сетка таблицы1"/>
    <w:basedOn w:val="713"/>
    <w:next w:val="91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4" w:customStyle="1">
    <w:name w:val="Абзац списка1"/>
    <w:basedOn w:val="702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5" w:customStyle="1">
    <w:name w:val="Знак Знак2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6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47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48" w:customStyle="1">
    <w:name w:val="Обычный (веб)18"/>
    <w:basedOn w:val="702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49" w:customStyle="1">
    <w:name w:val="Знак Знак2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 w:customStyle="1">
    <w:name w:val="Знак Знак2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1" w:customStyle="1">
    <w:name w:val="Знак Знак2 Знак Знак Знак Знак Знак Знак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2" w:customStyle="1">
    <w:name w:val="Знак Знак2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3" w:customStyle="1">
    <w:name w:val="Знак Знак2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>
    <w:name w:val="Body Text Indent 3"/>
    <w:basedOn w:val="702"/>
    <w:link w:val="956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6" w:customStyle="1">
    <w:name w:val="Основной текст с отступом 3 Знак"/>
    <w:link w:val="955"/>
    <w:uiPriority w:val="99"/>
    <w:semiHidden/>
    <w:rPr>
      <w:sz w:val="16"/>
      <w:szCs w:val="16"/>
    </w:rPr>
  </w:style>
  <w:style w:type="paragraph" w:styleId="957" w:customStyle="1">
    <w:name w:val="1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8">
    <w:name w:val="Hyperlink"/>
    <w:rPr>
      <w:strike w:val="0"/>
      <w:color w:val="808080"/>
      <w:u w:val="none"/>
    </w:rPr>
  </w:style>
  <w:style w:type="character" w:styleId="959" w:customStyle="1">
    <w:name w:val="blk"/>
  </w:style>
  <w:style w:type="character" w:styleId="960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1" w:customStyle="1">
    <w:name w:val="Знак Знак2 Знак Знак Знак Знак Знак Знак Знак Знак Знак Знак Знак Знак Знак Знак Знак Знак"/>
    <w:basedOn w:val="70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6D3FA-6E9E-4967-AF93-1CF66B4A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13</cp:revision>
  <dcterms:created xsi:type="dcterms:W3CDTF">2025-11-12T15:10:00Z</dcterms:created>
  <dcterms:modified xsi:type="dcterms:W3CDTF">2025-11-19T09:54:43Z</dcterms:modified>
</cp:coreProperties>
</file>