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1837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Укрепление общественного здоровья в Печенгском муниципальном округе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Порядком разработки, </w:t>
      </w:r>
      <w:r>
        <w:rPr>
          <w:rFonts w:ascii="Times New Roman" w:hAnsi="Times New Roman"/>
          <w:sz w:val="24"/>
          <w:szCs w:val="24"/>
        </w:rPr>
        <w:t xml:space="preserve">реализации и оценки эффективности муниципальных программ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Печенгского муниципального округа от 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1488</w:t>
      </w:r>
      <w:r>
        <w:rPr>
          <w:rFonts w:ascii="Times New Roman" w:hAnsi="Times New Roman"/>
          <w:sz w:val="24"/>
          <w:szCs w:val="24"/>
        </w:rPr>
        <w:t xml:space="preserve">, в целях </w:t>
      </w:r>
      <w:r>
        <w:rPr>
          <w:rFonts w:ascii="Times New Roman" w:hAnsi="Times New Roman"/>
          <w:sz w:val="24"/>
          <w:szCs w:val="24"/>
        </w:rPr>
        <w:t xml:space="preserve">реализации национального проекта «Демография»,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Укрепление общественного здоровья в Печенгском муниципальном округе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 в официальном</w:t>
      </w:r>
      <w:r>
        <w:rPr>
          <w:rFonts w:ascii="Times New Roman" w:hAnsi="Times New Roman" w:eastAsia="Times New Roman"/>
          <w:sz w:val="24"/>
          <w:szCs w:val="24"/>
        </w:rPr>
        <w:t xml:space="preserve">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12.11.2025 № </w:t>
      </w:r>
      <w:r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  <w:t xml:space="preserve">1837</w:t>
      </w:r>
      <w:r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</w:r>
      <w:r>
        <w:rPr>
          <w:rFonts w:ascii="Times New Roman" w:hAnsi="Times New Roman"/>
          <w:i w:val="0"/>
          <w:iCs w:val="0"/>
          <w:color w:val="000000" w:themeColor="text1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«</w:t>
      </w:r>
      <w:r>
        <w:rPr>
          <w:rFonts w:ascii="Times New Roman" w:hAnsi="Times New Roman"/>
          <w:b/>
          <w:sz w:val="24"/>
          <w:szCs w:val="24"/>
        </w:rPr>
        <w:t xml:space="preserve">УКРЕПЛЕНИЕ ОБЩЕС</w:t>
      </w:r>
      <w:r>
        <w:rPr>
          <w:rFonts w:ascii="Times New Roman" w:hAnsi="Times New Roman"/>
          <w:b/>
          <w:sz w:val="24"/>
          <w:szCs w:val="24"/>
        </w:rPr>
        <w:t xml:space="preserve">Т</w:t>
      </w:r>
      <w:r>
        <w:rPr>
          <w:rFonts w:ascii="Times New Roman" w:hAnsi="Times New Roman"/>
          <w:b/>
          <w:sz w:val="24"/>
          <w:szCs w:val="24"/>
        </w:rPr>
        <w:t xml:space="preserve">В</w:t>
      </w:r>
      <w:r>
        <w:rPr>
          <w:rFonts w:ascii="Times New Roman" w:hAnsi="Times New Roman"/>
          <w:b/>
          <w:sz w:val="24"/>
          <w:szCs w:val="24"/>
        </w:rPr>
        <w:t xml:space="preserve">ЕННОГО ЗДОРОВЬЯ</w:t>
      </w:r>
      <w:r>
        <w:rPr>
          <w:rFonts w:ascii="Times New Roman" w:hAnsi="Times New Roman"/>
          <w:b/>
          <w:sz w:val="24"/>
          <w:szCs w:val="24"/>
        </w:rPr>
        <w:t xml:space="preserve"> В ПЕЧЕНГСКОМ МУНЦИПАЛЬНОМ ОКРУГЕ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Администрация Печенгского муниципального округа (Управляющий делами администрации)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«Укрепление общественного здоровья в Печенгском муниципальном округе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00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здоровья жителей Печенгского муниципального округа, формирование культуры общественного здоровья, отве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тственного отношения к здоровью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75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отсутствуют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70 000,00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2 370 000,00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790 000,00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790 000,00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790 000,00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6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Увеличение численности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сотрудников ОМСУ Печенсгкого муниципального округа и подведомственных учреждений, охваченных сезонной вакцинацией от гриппа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до 80%.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численности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служащих, прошедших диспансеризацию, от общего числа муниципальных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служащих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подлежащих диспансеризации в текущем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100%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Увеличение численности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сотрудников подведомственных учреждений, охваченных профилактическими мероприятиями (профилактические осмотры, диспансеризация, репродуктивная диспансеризация) от общего числа сотрудников подведомственных учреждений до 70%;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Увеличение численности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граждан Печенгского округа, охваченных профилактическими мероприятиями (профилактические осмотры, диспансеризация, репродуктивная диспансеризация) от общего числа населения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40%;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Увеличение численности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обучающихся в образовательных учреждениях от 3 - 18 лет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охваченных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вакцинацией от сезонного гриппа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 50%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Увеличение численности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граждан Печенгского округа охваченных сезонной вакцинацией от гриппа, от общей численности прикрепленного населения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до 45%.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Увеличение численности замещенных штатных единиц врачебного персонала (физические лица) Печенгской ЦРБ от общей численности штатных единиц до 75%.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(Управляющий делами администрации Печенгского муниципального округа (далее - Управляющий делами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Управляющий делами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(Отдел строительства и ЖКХ адм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инистрации Печенгского муниципального округа) (далее - ОС и ЖКХ); Отдел образования администрации Печенгского муниципального округа) (далее – Отдел образования); Отдел культуры, спорта и молодежной политики администрации Печенгского муниципального округа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далее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тдел КСиМП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автономное учреждение «Информационный центр» Печенгского муниципального округа Мурманской области (далее – МАУ «Информцентр»)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сектор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службы и кадров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Печенгского муниципального округа)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- сектор муниципальной службы и кадров)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Филиал ГОБУЗ «МОКБ им. П.А. Баяндина» - Печенгская центральная районная больница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алее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Печенгская ЦРБ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900"/>
        <w:numPr>
          <w:ilvl w:val="0"/>
          <w:numId w:val="14"/>
        </w:num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управления в сфере реализации муниципальной программы «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Укрепление общественного здоровья </w:t>
        <w:br/>
        <w:t xml:space="preserve">в Печенгском муниципальном округ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900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Печенгский район - административно-территориальная единица в Мурманской области РФ. В границах района образован одноимённый муниципальный округ.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Территория Печенгского муниципального округа составляет 8662 км², это 6% территории Мурманской области. Плотность населения 3,7 чел./км².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состав Печенгского муниципального округа входят: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поселок городского типа Никель (административный центр муниципального округа);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город Заполярный;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поселок городского типа Печенга;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Борисоглебский;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Вайда-Губа;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Корзуново;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Лиинахамари;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Луостари;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Приречный;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Путевая усадьба 9 км железной дороги Луостари-Никель;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Раякоски;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Сальмиярви;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Спутник;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населенный пункт Цыпнаволок;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железнодорожная станция Печенга;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железнодорожная станция Титовка;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железнодорожная станция Луостари.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Вдоль Печенгского муниципального округа проходит автодорога федерального значения Р-21 («Кола») «Санкт-Петербург – Мурманск – МАПП «Борисоглебск».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Печенгский муниципальный округ расположен в самой северной европейской части территории России, в Северо-Западной части Кольского полуострова. С севера омывается Баренцевы</w:t>
      </w:r>
      <w:r>
        <w:rPr>
          <w:rFonts w:ascii="Times New Roman" w:hAnsi="Times New Roman"/>
          <w:sz w:val="24"/>
          <w:szCs w:val="24"/>
        </w:rPr>
        <w:t xml:space="preserve">м морем, на западе территория района примыкает к норвежской границе, по южной и юго-западной границе района проходит российско-финская граница. Территория Печенгского муниципального округа расположена за полярным кругом, относится к району Крайнего Севера.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Климат умеренно-арктический, морской, в целом подвержен влиянию теплого Северо-Атлантического течения (Гольфстрим), а также характеризуется сильной изменчивостью, достаточно суровый, что определяется комплексным вли</w:t>
      </w:r>
      <w:r>
        <w:rPr>
          <w:rFonts w:ascii="Times New Roman" w:hAnsi="Times New Roman"/>
          <w:sz w:val="24"/>
          <w:szCs w:val="24"/>
        </w:rPr>
        <w:t xml:space="preserve">янием на человека температуры и влажности воздуха, скорости ветра, количества осадков, переноса снега, давления воздуха, солнечной радиации и других неблагоприятных погодных условий. Наиболее тяжелым по условиям погоды является период с декабря по февраль.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Температура воздуха на рассма</w:t>
      </w:r>
      <w:r>
        <w:rPr>
          <w:rFonts w:ascii="Times New Roman" w:hAnsi="Times New Roman"/>
          <w:sz w:val="24"/>
          <w:szCs w:val="24"/>
        </w:rPr>
        <w:t xml:space="preserve">триваемой территории отличается большой неустойчивостью и испытывает резкие колебания. Среднегодовая температура воздуха составляет Вайда-Губа - +1,2˚С, Никель - +0,8˚С. Средняя температура самого холодного месяца - января равняется –минус 11˚С, средняя те</w:t>
      </w:r>
      <w:r>
        <w:rPr>
          <w:rFonts w:ascii="Times New Roman" w:hAnsi="Times New Roman"/>
          <w:sz w:val="24"/>
          <w:szCs w:val="24"/>
        </w:rPr>
        <w:t xml:space="preserve">мпература самого теплого месяца – июль +11,5˚С. Абсолютный зарегистрированный минимум составляет -34,5 ˚С, абсолютный максимум – +30,7˚С. Особенностями климата являются длительная снежная зима (7 месяцев); короткое (2,5 месяца) прохладное и дождливое лето.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Переход</w:t>
      </w:r>
      <w:r>
        <w:rPr>
          <w:rFonts w:ascii="Times New Roman" w:hAnsi="Times New Roman"/>
          <w:sz w:val="24"/>
          <w:szCs w:val="24"/>
        </w:rPr>
        <w:t xml:space="preserve"> среднесуточной температуры воздуха через 0˚ С осуществляется в конце апреля – начале мая и в начале октября, число дней с температурой выше 0˚С в среднем составляет 95 дней. Средняя продолжительность теплого периода 165 дней, морозного периода – 200 дней.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</w:t>
      </w:r>
      <w:r>
        <w:rPr>
          <w:rFonts w:ascii="Times New Roman" w:hAnsi="Times New Roman"/>
          <w:sz w:val="24"/>
          <w:szCs w:val="24"/>
        </w:rPr>
        <w:t xml:space="preserve">реднем за год выпадает 475 мм осадков. Большая часть осадков выпадает в теплый период (с мая по октябрь) – 326 мм, наименьшее количество осадков приходится на зимний период (с ноября по апрель) - 154 мм. Число дней с дождем в среднем в год составляет 102.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преобладающим перемещением в горизонтальном направлении теплых и влажных воздушных масс морского пр</w:t>
      </w:r>
      <w:r>
        <w:rPr>
          <w:rFonts w:ascii="Times New Roman" w:hAnsi="Times New Roman"/>
          <w:sz w:val="24"/>
          <w:szCs w:val="24"/>
        </w:rPr>
        <w:t xml:space="preserve">оисхождения, относительная влажность воздуха высока в течение всего года. Среднегодовая относительная влажность воздуха составляет 75%. В среднем за год наблюдается 30-35 дней с туманами. В основном они наблюдаются в зимний период времени в утренние часы.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Первый снег появляется в октябре. Устойчивый снежный покров устанавливается</w:t>
      </w:r>
      <w:r>
        <w:rPr>
          <w:rFonts w:ascii="Times New Roman" w:hAnsi="Times New Roman"/>
          <w:sz w:val="24"/>
          <w:szCs w:val="24"/>
        </w:rPr>
        <w:t xml:space="preserve"> в конце октября - начале ноября и разрушается в начале мая. Мощность снежного покрова достигает в среднем 40 см, максимальная высота снежного покрова – 80 см. Число дней в году со снегом – 200 дней. Максимальная глубина промерзания почвы достигает 2,0 м.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неблагоприятных явлений пого</w:t>
      </w:r>
      <w:r>
        <w:rPr>
          <w:rFonts w:ascii="Times New Roman" w:hAnsi="Times New Roman"/>
          <w:sz w:val="24"/>
          <w:szCs w:val="24"/>
        </w:rPr>
        <w:t xml:space="preserve">ды следует отметить метели, которые наблюдаются в холодный период года с октября по май, среднее число дней с метелью – 40. Величина снегопереноса составляет 1000 м3 на погонный метр. Метели чаще всего наблюдаются при южных, юго-западных (46%) и северо-зап</w:t>
      </w:r>
      <w:r>
        <w:rPr>
          <w:rFonts w:ascii="Times New Roman" w:hAnsi="Times New Roman"/>
          <w:sz w:val="24"/>
          <w:szCs w:val="24"/>
        </w:rPr>
        <w:t xml:space="preserve">адных, северных (34%) ветрах. В зимний период характерны частые метели со скоростью ветра до 15 м/с и более. Наибольшее их количество приходится с января по март месяц. Средняя повторяемость туманов 20 дней в году. Среднее число дней с грозой за год 3 - 6.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Ветровой режим территории имеет выраженный годовой ход. В зимнее время преобладают ветры южных и юго-западных направлений (до 70%), в летнее – северных и северо-восточных (до 46%). Сред</w:t>
      </w:r>
      <w:r>
        <w:rPr>
          <w:rFonts w:ascii="Times New Roman" w:hAnsi="Times New Roman"/>
          <w:sz w:val="24"/>
          <w:szCs w:val="24"/>
        </w:rPr>
        <w:t xml:space="preserve">няя</w:t>
      </w:r>
      <w:r>
        <w:rPr>
          <w:rFonts w:ascii="Times New Roman" w:hAnsi="Times New Roman"/>
          <w:sz w:val="24"/>
          <w:szCs w:val="24"/>
        </w:rPr>
        <w:t xml:space="preserve"> годовая скорость ветра составляет 4,5 - 7,8 м/сек, максимальная – 40 м/сек. Наибольшие скорости ветра отмечаются осенью и зимой и связаны с ветрами преобладающих направлений. Направление и скорость ветра определяют режим температуры, влажности и характер </w:t>
      </w:r>
      <w:r>
        <w:rPr>
          <w:rFonts w:ascii="Times New Roman" w:hAnsi="Times New Roman"/>
          <w:sz w:val="24"/>
          <w:szCs w:val="24"/>
        </w:rPr>
        <w:t xml:space="preserve">осадков проектируемой территории. В холодный период года наиболее сильные похолодания связаны с ветрами юго-восточного направления, потепления – западного, северо-западного. Смена зимнего режима ветра на летний происходит в апреле-мае, обратный переход осу</w:t>
      </w:r>
      <w:r>
        <w:rPr>
          <w:rFonts w:ascii="Times New Roman" w:hAnsi="Times New Roman"/>
          <w:sz w:val="24"/>
          <w:szCs w:val="24"/>
        </w:rPr>
        <w:t xml:space="preserve">ществляется в сентябре - октябре.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Общая характеристика системы здравоохранения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в Печенгском муниципальном округе</w:t>
      </w:r>
      <w:r>
        <w:rPr>
          <w:rFonts w:ascii="Times New Roman" w:hAnsi="Times New Roman"/>
          <w:b/>
          <w:sz w:val="24"/>
          <w:szCs w:val="24"/>
          <w:lang w:eastAsia="ru-RU"/>
        </w:rPr>
      </w:r>
      <w:r>
        <w:rPr>
          <w:rFonts w:ascii="Times New Roman" w:hAnsi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7"/>
        <w:jc w:val="both"/>
        <w:spacing w:after="0" w:line="240" w:lineRule="auto"/>
        <w:widowControl w:val="off"/>
        <w:tabs>
          <w:tab w:val="left" w:pos="126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структуре Печ</w:t>
      </w:r>
      <w:r>
        <w:rPr>
          <w:rFonts w:ascii="Times New Roman" w:hAnsi="Times New Roman"/>
          <w:sz w:val="24"/>
          <w:szCs w:val="24"/>
        </w:rPr>
        <w:t xml:space="preserve">енгской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ЦРБ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два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основных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подразделения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(г. Заполярный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пгт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Никель),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которые частично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дублируют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деятельность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друг друга.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7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-1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Амбулаторно-поликлиническая помощь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3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416"/>
        <w:gridCol w:w="3402"/>
        <w:gridCol w:w="2564"/>
      </w:tblGrid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Подразделение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Населенный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пункт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tcW w:w="25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Количество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посещений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 смену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Взрослая поликлиника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г. Заполярный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260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(стоматология - 30)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Детская поликлиника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Женская консультация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Взрослая поликлиника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пгт. Никель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320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(стоматология - 30)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Детская поликлиника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Женская консультация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Амбулатория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пгт. Печенга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ФАП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нп. Спутник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(в составе амбулатории пгт. Печенга)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ФАП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нп. Лиинахамари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(в составе амбулатории пгт. Печенга)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ФАП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нп. Корзуново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341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ФАП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нп. Раякоски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W w:w="256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</w:tbl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Стационарная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медицинская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помощь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оказывается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86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койках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круглосуточного стационара (56 - пгт. Никель, 30 - г. Заполярный), в том числе 16 коек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дневного пребывания (10 - пгт. Никель, 6 - г. Заполярный).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Стационарная помощь оказывается по 10 профилям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(терапевтический,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неврологический,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наркологический,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травматологический,</w:t>
      </w:r>
      <w:r>
        <w:rPr>
          <w:rFonts w:ascii="Times New Roman" w:hAnsi="Times New Roman" w:eastAsia="Times New Roman"/>
          <w:spacing w:val="-67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хирургический,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педиатрический,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гинекологический,</w:t>
      </w:r>
      <w:r>
        <w:rPr>
          <w:rFonts w:ascii="Times New Roman" w:hAnsi="Times New Roman" w:eastAsia="Times New Roman"/>
          <w:spacing w:val="7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патология</w:t>
      </w:r>
      <w:r>
        <w:rPr>
          <w:rFonts w:ascii="Times New Roman" w:hAnsi="Times New Roman" w:eastAsia="Times New Roman"/>
          <w:spacing w:val="7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беременных для</w:t>
      </w:r>
      <w:r>
        <w:rPr>
          <w:rFonts w:ascii="Times New Roman" w:hAnsi="Times New Roman" w:eastAsia="Times New Roman"/>
          <w:spacing w:val="-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беременных</w:t>
      </w:r>
      <w:r>
        <w:rPr>
          <w:rFonts w:ascii="Times New Roman" w:hAnsi="Times New Roman" w:eastAsia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pacing w:val="-3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рожениц,</w:t>
      </w:r>
      <w:r>
        <w:rPr>
          <w:rFonts w:ascii="Times New Roman" w:hAnsi="Times New Roman" w:eastAsia="Times New Roman"/>
          <w:spacing w:val="-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паллиативный).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Кроме того, в структуру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Печенгской ЦРБ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входит дневной стационар при АПУ в г. Заполярный по профилям терапевтический и неврологический на 13 коек/26 мест: 7-терапевтических 14 мест, 6-неврологических 12 мест.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Заболеваемость населения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первом месте по заболеваемости - болезни органов дыхания (20,9 %), на втором болезни костно-мышечной системы (13,0%), на третьем месте болезни эндокринной систе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мы – 10,3% , на четвёртом месте болезни системы кровообращения (10,2%), на пятом - болезни глаза и его придаточного аппарата (7,6 %), далее идут болезни мочеполовой системы (7,2 %), болезни органов пищеварения (5,1 %), новообразования (4,6 %), болезни кров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и кроветворных органов (3,4%), травмы и отравления (2,7 %), симптомы, признаки и отклонения от нормы (2,7 %), болезни кожи и подкожной клетчатки (2,7 %), болезни уха и сосцевидного отростка (2,5 %), некоторые инфекционные и паразитарные болезни (2,5%).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Заболеваемость детского населения Печенгского муниципального округа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структуре заболеваемости на первом месте у детей до 14 лет - заболевания органов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дыхания, на втором - болезни системы пищеварения, на третьем – некоторые инфекционные и паразитарные болезни, на четвертом - травмы, отравления и некоторые другие последствия воздействия внешних причин, на пятом - болезни глаза и его придаточного аппарата.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 подростков (15-17 лет) на первом месте также - болезни органов дыхания, на втором - болезни глаз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 и его придаточного аппарата, на третьем болезни эндокринной системы, расстройства питания и нарушения обмена веществ, на четвертом - болезни костно-мышечной системы, на пятом - травмы, отравления и некоторые другие последствия воздействия внешних причин.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Заболеваемость взрослого населения Печенгского муниципального округа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структуре первичной заболеваемо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сти взрослого населения Печенгского муниципального округа наибольшая доля приходится на болезни органов дыхания - 23,7% на втором месте - болезни органов пищеварения 14,5%, травмы и отравления - 12,8%, на третьем месте - болезни мочеполовой системы 10,3%.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Обеспеченность кадрами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Острой проблемой в сфере здравоохранения на нашей территории остается нехватка медицинских работников врачебного состава.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9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41"/>
        <w:gridCol w:w="1700"/>
        <w:gridCol w:w="1163"/>
        <w:gridCol w:w="1361"/>
        <w:gridCol w:w="2254"/>
      </w:tblGrid>
      <w:tr>
        <w:tblPrEx/>
        <w:trPr>
          <w:jc w:val="center"/>
          <w:trHeight w:val="63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4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Кол-во штатных единиц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Занятые ставки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Всего физических</w:t>
            </w:r>
            <w:r>
              <w:rPr>
                <w:rFonts w:ascii="Times New Roman" w:hAnsi="Times New Roman" w:eastAsia="Times New Roman"/>
              </w:rPr>
              <w:t xml:space="preserve">лиц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4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укомплектованность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41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Врачи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105,75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96,25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75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4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71%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>
          <w:jc w:val="center"/>
          <w:trHeight w:val="10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41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Средний медицинский персонал, в т.ч провизор и фармацевт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281,25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276,25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242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4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86%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>
          <w:jc w:val="center"/>
          <w:trHeight w:val="8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41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Младший медицинский персонал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75,75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74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71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4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94%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>
          <w:jc w:val="center"/>
          <w:trHeight w:val="5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41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Прочий персонал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213,25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3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199,25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191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4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90%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Всего в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Печенгской ЦРБ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трудятся 581 человек, из них: врачи – 75</w:t>
      </w:r>
      <w:r>
        <w:rPr>
          <w:rFonts w:ascii="Times New Roman" w:hAnsi="Times New Roman" w:eastAsia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>
        <w:rPr>
          <w:rFonts w:ascii="Times New Roman" w:hAnsi="Times New Roman" w:eastAsia="Times New Roman"/>
          <w:iCs/>
          <w:color w:val="000000"/>
          <w:sz w:val="24"/>
          <w:szCs w:val="24"/>
          <w:shd w:val="clear" w:color="auto" w:fill="ffffff"/>
          <w:lang w:eastAsia="ru-RU"/>
        </w:rPr>
        <w:t xml:space="preserve">средний медперсонал</w:t>
      </w:r>
      <w:r>
        <w:rPr>
          <w:rFonts w:ascii="Times New Roman" w:hAnsi="Times New Roman" w:eastAsia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– </w:t>
      </w:r>
      <w:r>
        <w:rPr>
          <w:rFonts w:ascii="Times New Roman" w:hAnsi="Times New Roman" w:eastAsia="Times New Roman"/>
          <w:iCs/>
          <w:color w:val="000000"/>
          <w:sz w:val="24"/>
          <w:szCs w:val="24"/>
          <w:shd w:val="clear" w:color="auto" w:fill="ffffff"/>
          <w:lang w:eastAsia="ru-RU"/>
        </w:rPr>
        <w:t xml:space="preserve">219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, младший медперсонал – 71</w:t>
      </w:r>
      <w:r>
        <w:rPr>
          <w:rFonts w:ascii="Times New Roman" w:hAnsi="Times New Roman" w:eastAsia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>
        <w:rPr>
          <w:rFonts w:ascii="Times New Roman" w:hAnsi="Times New Roman" w:eastAsia="Times New Roman"/>
          <w:iCs/>
          <w:color w:val="000000"/>
          <w:sz w:val="24"/>
          <w:szCs w:val="24"/>
          <w:shd w:val="clear" w:color="auto" w:fill="ffffff"/>
          <w:lang w:eastAsia="ru-RU"/>
        </w:rPr>
        <w:t xml:space="preserve">прочие –191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Врачи: укомплектованность по занятым должностям 91%, физическими лицами 71%.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2024 году приняты 23 врача, 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уволено 16</w:t>
      </w:r>
      <w:r>
        <w:rPr>
          <w:rFonts w:ascii="Times New Roman" w:hAnsi="Times New Roman" w:eastAsia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/>
          <w:iCs/>
          <w:color w:val="000000"/>
          <w:sz w:val="24"/>
          <w:szCs w:val="24"/>
          <w:shd w:val="clear" w:color="auto" w:fill="ffffff"/>
          <w:lang w:eastAsia="ru-RU"/>
        </w:rPr>
        <w:t xml:space="preserve">врачей, из них</w:t>
      </w:r>
      <w:r>
        <w:rPr>
          <w:rFonts w:ascii="Times New Roman" w:hAnsi="Times New Roman" w:eastAsia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/>
          <w:iCs/>
          <w:color w:val="000000"/>
          <w:sz w:val="24"/>
          <w:szCs w:val="24"/>
          <w:shd w:val="clear" w:color="auto" w:fill="ffffff"/>
          <w:lang w:eastAsia="ru-RU"/>
        </w:rPr>
        <w:t xml:space="preserve">2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 врача в связи с уходом на пенсию. Кроме того, для перерасчета пенсии уволились и принялись 11 врачей.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Средний медперсонал: укомплектованность по занятым должностям 94%, физическими лицами 86%.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За 2019 - 2024 годы в Печенгский муниципальный округ привлечено 45 врачей, 98 средний медицинский работник, в том числе в рамках программы «Земский доктор» в 2024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году 6 врачей, на дефицитные рабочие места с предоставлением выплат в рамках Закона Мурманской области 1572-01-ЗМО – 11 врачей.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За 12 месяцев 2024 года и январь 2025 года трудоустроены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новые врачи - 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рач-инфекционист, врач - уролог, врач - терапевт участковый, врач - травматолог, врач - педиатр участковый, врач - анестезиолог - реаниматолог. Планируется принять на рабочие места с предоставлением выплат в рамках 1572-01-ЗМО врача - акушера - гинеколога.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настоящее время поликлиника полностью укомплектована врачами - терапевтами участковыми, но 6 врачей терапевтов с января 2023 года и по настоящее время находятся в отпуске по уходу за ребенком до 3-х лет.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Уровень специалистов пенсионного возраста  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Печенгской ЦРБ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составляет: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по участковым терапевтам – 15%;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по участковым педиатрам г. Заполярный – 10%;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по участ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ковым педиатрам п. Никель – 50%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93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97"/>
        <w:gridCol w:w="1292"/>
        <w:gridCol w:w="1275"/>
        <w:gridCol w:w="1418"/>
        <w:gridCol w:w="226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Кол-во штатных единиц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Занятые ставки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Всего физических </w:t>
            </w:r>
            <w:r>
              <w:rPr>
                <w:rFonts w:ascii="Times New Roman" w:hAnsi="Times New Roman" w:eastAsia="Times New Roman"/>
              </w:rPr>
              <w:t xml:space="preserve">лиц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укомплектованность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7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Врач - терапевт участковый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17,5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17,5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15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100%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7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Врач - педиатр участковый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7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6,5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6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93%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</w:r>
      <w:r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</w:r>
      <w:r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В Печенгской ЦРБ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по целевому договору обучаются 3 студента ВУЗа. В 2024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году</w:t>
      </w:r>
      <w:r>
        <w:rPr>
          <w:rFonts w:ascii="Times New Roman" w:hAnsi="Times New Roman"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заключено 13 договоров со студентами медицинских колледжей.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</w:pPr>
      <w:r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  <w:t xml:space="preserve">После окончания ординатуры в 2026 году приступят 2 врача: оториноларинголог и хирург. </w:t>
      </w:r>
      <w:r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</w:r>
      <w:r>
        <w:rPr>
          <w:rFonts w:ascii="Times New Roman" w:hAnsi="Times New Roman" w:eastAsia="Times New Roman"/>
          <w:color w:val="000000"/>
          <w:shd w:val="clear" w:color="auto" w:fill="ffffff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отребность в медицинском персонале в разрезе населенных пунктов следующая: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г. Заполярный требуется: врач - терапевт участковый, врач - акушер - гинеколог, врач - эндоскопист, медицинская сестра палатная (постов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ая) - терапевтическое отделение;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Никель требуется: врач - педиатр участковый, врач - стоматолог - хирург, заведующий поликлиникой врач - терапевт, медицинская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сестра участковая (поликлиника);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п. Лиинахамари: заведующий ФАПом фельдшер.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Администрация Печенгского муниципального округа оказывает содействие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Печенгской ЦРБ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подборе и выделении жилых помещений (квартир) на территории Печенгского мун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иципального округа, за 2021 - 2024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для проживания приезжающих в округ медиков предоставлены в служебный наем 20 квартир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в 2025 году отремонтированы еще 5 квартир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Основные цели и задачи программы с указанием сроков и этапов ее реализации, а также перечень осн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овных мероприятий и показателей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Целью программы является улучшение здоровья жителей Печенгского муниципального округа, формирование культуры общественного здоровья, ответственного отношения к здоровью.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Для достижения указанной цели направлено решение следующих задач: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формирование здорового образа жизни через развитие системы медицинской профилактики;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мотивирование граждан к ведению здорового образа жизни посредством проведения информационно-коммуникационной кампании;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осуществление мероприятий, направленных на увеличение физической активности жителей Печенгского муниципального округа;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создание благоприятных условий в целях привлечения медицинских работников для работы в медицинских организациях.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96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44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  <w:t xml:space="preserve">2.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111"/>
        <w:gridCol w:w="992"/>
        <w:gridCol w:w="1134"/>
        <w:gridCol w:w="1134"/>
        <w:gridCol w:w="1134"/>
        <w:gridCol w:w="993"/>
        <w:gridCol w:w="1134"/>
        <w:gridCol w:w="992"/>
        <w:gridCol w:w="22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ность показателя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«Укрепление общественного здоровья в Печенгском муниципальном округе»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Улучшение здоровья жителей Печенгского муниципального округа, формирование культуры общественного здоровья, ответственного отношения к здоровью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сотрудников ОМСУ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Печенсгкого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подведомственных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охваченных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сезонной вакцинацией от гриппа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Администрация,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муниципальной службы и кадров,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9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муниципальных служащих, прошедших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диспансеризацию, от общего числа муниципальных служащих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подлежащих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диспансеризаци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текущем году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сотрудников подвед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омственных учреждений, охваченных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профилактическими мероприятиями (профилактические осмотры, диспансеризация, репродуктивная диспансеризация)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 общего числа сотрудников подведомственных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Администрация,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муниципальной службы и кадров,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Печенгского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охваченных профилактическими мероприятиями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(профилактические осмотры, диспансеризация, репродуктивная диспансеризация)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 общего числа населения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обучающихся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образовательных учреждениях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 3 - 18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охваченная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вакцинацией от сезонного гриппа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 Печенгского округа охваченных сезонной вакцинацией от гриппа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от общей численности прикрепленного населения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замещенных штатных 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диниц врачебного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персонала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(физические 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ица) Печенгской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 обще численности штатных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pStyle w:val="910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color w:val="ff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ff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ff0000"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877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5720"/>
        <w:gridCol w:w="1417"/>
        <w:gridCol w:w="2268"/>
        <w:gridCol w:w="496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</w:t>
            </w:r>
            <w: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Печенгская ЦРБ, МАУ «Информцентр», отдел образования,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96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 Доля сотрудников ОМСУ Печенсгкого муниципального округа и подведомственных учреждений, охваченных сезонной вакцинацией от гриппа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0.2. Доля муниципальных служащих, прошедших диспансеризацию, от общего числа муниципальных служащих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подлежащих диспансеризации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 Доля сотрудников подведомственных учреждений  охваченных профилактическими мероприятиями (профилактические осмотры, диспансеризация, репродуктивная диспансеризация)  от общего числа сотрудников подведомственных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 Доля граждан Печенгского округа, охваченных профилактическими мероприятиями (профилактические осмотры, диспансеризация, репродуктивная диспансеризация) от общего числа населения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 Доля обучающихся в образовательных учреждениях от 3 - 18 лет охваченная вакцинацией от сезонного гриппа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0.6.Доля граждан Печенгского округа охваченных сезонной вакцинацией от гриппа, от общей численности прикрепленного населения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9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«Осуществление профилактических мероприятий»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Печенгская ЦРБ, отдел образования,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                  сектор муниципальной службы и кадров,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96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процессный мероприятий 3. «Создание благоприятных условий в целях привлечения медицинских работников для работы в медицинских организациях»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0.7. Доля замещенных штатных единиц врачебного персонала (физические лица) Печенгская ЦРБ от общей численности штатных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45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276"/>
        <w:gridCol w:w="992"/>
        <w:gridCol w:w="1417"/>
        <w:gridCol w:w="1418"/>
        <w:gridCol w:w="1276"/>
        <w:gridCol w:w="1275"/>
        <w:gridCol w:w="255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7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Укрепление общественного здоровья в Печенгском муниципальном округе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2 3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«Информцентр», отдел образования,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                  сектор муниципальной службы и кадров,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2 370 000,00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2 3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2 370 000,00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</w:t>
            </w:r>
            <w: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«Осуществление профилактических мероприятий»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2 3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790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                  сектор муниципальной службы и кадров,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2 370 000,00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790 000,00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процессный мероприятий 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«Создание благоприятных условий в целях привлечения медицинских работников для работы в медицинских организациях»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Механизмы управления рисками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"/>
        <w:gridCol w:w="1494"/>
        <w:gridCol w:w="3474"/>
        <w:gridCol w:w="3386"/>
        <w:gridCol w:w="3302"/>
        <w:gridCol w:w="205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3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Невозможность или нецелесообразность реализации поставленных целей, выполнения каких-либо мероприятий (результатов), обязательств в связи с данными изменениями, что окажет влияние на конечные результаты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Проведение мониторинга планируемых изменений 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федеральном, региональном законодательстве.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Оперативное принятие муниципальных нормативных правовых актов с целью приведения нормативно-методической базы муниципальной программы в соответствие с государственной политикой на региональном уровне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3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Недостижение запланированных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рограммы, невыполнение мероприятий результатов в срок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Сбалансированное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аспределение финансовых средств по структурным элементам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рограммы в соответствии с ожидаемыми конечными результатами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3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Внешний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3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Непредвиденный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ыми и техногенными катастрофами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0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приоритетов для первоочередного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5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6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и участников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spacing w:after="0" w:line="240" w:lineRule="auto"/>
        <w:rPr>
          <w:highlight w:val="yellow"/>
        </w:rPr>
      </w:pPr>
      <w:r/>
      <w:bookmarkStart w:id="2" w:name="Par3713"/>
      <w:r/>
      <w:bookmarkEnd w:id="2"/>
      <w:r>
        <w:rPr>
          <w:highlight w:val="yellow"/>
        </w:rPr>
      </w:r>
      <w:r>
        <w:rPr>
          <w:highlight w:val="yellow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</w:t>
      </w:r>
      <w:r>
        <w:rPr>
          <w:rFonts w:ascii="Times New Roman" w:hAnsi="Times New Roman"/>
          <w:sz w:val="24"/>
          <w:szCs w:val="24"/>
        </w:rPr>
        <w:t xml:space="preserve">ответственным </w:t>
      </w:r>
      <w:r>
        <w:rPr>
          <w:rFonts w:ascii="Times New Roman" w:hAnsi="Times New Roman"/>
          <w:sz w:val="24"/>
          <w:szCs w:val="24"/>
        </w:rPr>
        <w:t xml:space="preserve">исполнителем программы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Управляющим делами администрации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который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обеспечивает совместно с Соисполнителями разработку проекта Программы, проектов постановлений Администрации об утверждении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и (или) о внесении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 и их согласование в соответствии с требованиями Порядка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ченгского муниципального округа, утвержденного постановлением администрации Печенгского муниципального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– Порядок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организует и координирует реализацию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несет ответственность за достижени</w:t>
      </w:r>
      <w:r>
        <w:rPr>
          <w:rFonts w:ascii="Times New Roman" w:hAnsi="Times New Roman" w:eastAsia="Times New Roman"/>
          <w:sz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lang w:eastAsia="ru-RU"/>
        </w:rPr>
        <w:t xml:space="preserve">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и конечных </w:t>
      </w:r>
      <w:r>
        <w:rPr>
          <w:rFonts w:ascii="Times New Roman" w:hAnsi="Times New Roman" w:eastAsia="Times New Roman"/>
          <w:sz w:val="24"/>
          <w:lang w:eastAsia="ru-RU"/>
        </w:rPr>
        <w:t xml:space="preserve">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осуществляет мониторинг реализации муниципальной программы и подготовку отчетов о ходе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соответствии с требованиями Порядка.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Соисполнителями муниципальной программы являются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сектор муниципальной службы и кадров,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ОС и ЖКХ, Отдел образования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отдел КСиМП,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Печенгская ЦРБ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руководители подведомственных учреждений,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которые: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обеспечива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разработку и реализацию комплексов процессных мероприятий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 отношении которых явля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тся соисполнител</w:t>
      </w:r>
      <w:r>
        <w:rPr>
          <w:rFonts w:ascii="Times New Roman" w:hAnsi="Times New Roman" w:eastAsia="Times New Roman"/>
          <w:sz w:val="24"/>
          <w:lang w:eastAsia="ru-RU"/>
        </w:rPr>
        <w:t xml:space="preserve">ями</w:t>
      </w:r>
      <w:r>
        <w:rPr>
          <w:rFonts w:ascii="Times New Roman" w:hAnsi="Times New Roman" w:eastAsia="Times New Roman"/>
          <w:sz w:val="24"/>
          <w:lang w:eastAsia="ru-RU"/>
        </w:rPr>
        <w:t xml:space="preserve">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нес</w:t>
      </w:r>
      <w:r>
        <w:rPr>
          <w:rFonts w:ascii="Times New Roman" w:hAnsi="Times New Roman" w:eastAsia="Times New Roman"/>
          <w:sz w:val="24"/>
          <w:lang w:eastAsia="ru-RU"/>
        </w:rPr>
        <w:t xml:space="preserve">ут</w:t>
      </w:r>
      <w:r>
        <w:rPr>
          <w:rFonts w:ascii="Times New Roman" w:hAnsi="Times New Roman" w:eastAsia="Times New Roman"/>
          <w:sz w:val="24"/>
          <w:lang w:eastAsia="ru-RU"/>
        </w:rPr>
        <w:t xml:space="preserve"> ответственность за достижение плановых значений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части, </w:t>
      </w:r>
      <w:r>
        <w:rPr>
          <w:rFonts w:ascii="Times New Roman" w:hAnsi="Times New Roman" w:eastAsia="Times New Roman"/>
          <w:sz w:val="24"/>
          <w:lang w:eastAsia="ru-RU"/>
        </w:rPr>
        <w:t xml:space="preserve">их </w:t>
      </w:r>
      <w:r>
        <w:rPr>
          <w:rFonts w:ascii="Times New Roman" w:hAnsi="Times New Roman" w:eastAsia="Times New Roman"/>
          <w:sz w:val="24"/>
          <w:lang w:eastAsia="ru-RU"/>
        </w:rPr>
        <w:t xml:space="preserve">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формирует предложения по разработке проекта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внесению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в пределах своей компетенции участву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в разработке плана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направля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lang w:eastAsia="ru-RU"/>
        </w:rPr>
        <w:t xml:space="preserve">Финансовому управлению </w:t>
      </w:r>
      <w:r>
        <w:rPr>
          <w:rFonts w:ascii="Times New Roman" w:hAnsi="Times New Roman" w:eastAsia="Times New Roman"/>
          <w:sz w:val="24"/>
          <w:lang w:eastAsia="ru-RU"/>
        </w:rPr>
        <w:t xml:space="preserve">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представля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в </w:t>
      </w:r>
      <w:r>
        <w:rPr>
          <w:rFonts w:ascii="Times New Roman" w:hAnsi="Times New Roman" w:eastAsia="Times New Roman"/>
          <w:sz w:val="24"/>
          <w:lang w:eastAsia="ru-RU"/>
        </w:rPr>
        <w:t xml:space="preserve">отдел экономического развития </w:t>
      </w:r>
      <w:r>
        <w:rPr>
          <w:rFonts w:ascii="Times New Roman" w:hAnsi="Times New Roman" w:eastAsia="Times New Roman"/>
          <w:sz w:val="24"/>
          <w:lang w:eastAsia="ru-RU"/>
        </w:rPr>
        <w:t xml:space="preserve">в электронном виде в срок</w:t>
      </w:r>
      <w:r>
        <w:rPr>
          <w:rFonts w:ascii="Times New Roman" w:hAnsi="Times New Roman" w:eastAsia="Times New Roman"/>
          <w:sz w:val="24"/>
          <w:lang w:eastAsia="ru-RU"/>
        </w:rPr>
        <w:t xml:space="preserve"> и по формам, у</w:t>
      </w:r>
      <w:r>
        <w:rPr>
          <w:rFonts w:ascii="Times New Roman" w:hAnsi="Times New Roman" w:eastAsia="Times New Roman"/>
          <w:sz w:val="24"/>
          <w:lang w:eastAsia="ru-RU"/>
        </w:rPr>
        <w:t xml:space="preserve">становленны</w:t>
      </w:r>
      <w:r>
        <w:rPr>
          <w:rFonts w:ascii="Times New Roman" w:hAnsi="Times New Roman" w:eastAsia="Times New Roman"/>
          <w:sz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lang w:eastAsia="ru-RU"/>
        </w:rPr>
        <w:t xml:space="preserve"> Порядком</w:t>
      </w:r>
      <w:r>
        <w:rPr>
          <w:rFonts w:ascii="Times New Roman" w:hAnsi="Times New Roman" w:eastAsia="Times New Roman"/>
          <w:sz w:val="24"/>
          <w:lang w:eastAsia="ru-RU"/>
        </w:rPr>
        <w:t xml:space="preserve">, всю </w:t>
      </w:r>
      <w:r>
        <w:rPr>
          <w:rFonts w:ascii="Times New Roman" w:hAnsi="Times New Roman" w:eastAsia="Times New Roman"/>
          <w:sz w:val="24"/>
          <w:lang w:eastAsia="ru-RU"/>
        </w:rPr>
        <w:t xml:space="preserve">необходимую информацию для проведения мониторинга и оценки эффективности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color w:val="ff0000"/>
          <w:sz w:val="24"/>
          <w:lang w:eastAsia="ru-RU"/>
        </w:rPr>
      </w:pPr>
      <w:r>
        <w:rPr>
          <w:rFonts w:ascii="Times New Roman" w:hAnsi="Times New Roman" w:eastAsia="Times New Roman"/>
          <w:color w:val="ff0000"/>
          <w:sz w:val="24"/>
          <w:lang w:eastAsia="ru-RU"/>
        </w:rPr>
      </w:r>
      <w:r>
        <w:rPr>
          <w:rFonts w:ascii="Times New Roman" w:hAnsi="Times New Roman" w:eastAsia="Times New Roman"/>
          <w:color w:val="ff0000"/>
          <w:sz w:val="24"/>
          <w:lang w:eastAsia="ru-RU"/>
        </w:rPr>
      </w:r>
      <w:r>
        <w:rPr>
          <w:rFonts w:ascii="Times New Roman" w:hAnsi="Times New Roman" w:eastAsia="Times New Roman"/>
          <w:color w:val="ff0000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1701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ведения об источниках и методике расчета значений показателей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5452" w:type="dxa"/>
        <w:tblInd w:w="-9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125"/>
        <w:gridCol w:w="1121"/>
        <w:gridCol w:w="1559"/>
        <w:gridCol w:w="3544"/>
        <w:gridCol w:w="1701"/>
        <w:gridCol w:w="1276"/>
        <w:gridCol w:w="141"/>
        <w:gridCol w:w="141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2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885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 «Укрепление общественного здоровья в Печенгском муниципальном округе»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2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сотрудников ОМСУ Печен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кого муниципального округа и подведомственных учреждений, охваченных сезонной вакцинацией от гриппа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Д=(Р</w:t>
            </w:r>
            <w:bookmarkStart w:id="3" w:name="_GoBack"/>
            <w:r/>
            <w:bookmarkEnd w:id="3"/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1/Р2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Р1 - количество сотрудников ОМСУ и подведомственных учреждений прошедшие вакцинацию от сезонного гриппа,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(протокол заседания противоэпидемиологической комиссии)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отчетные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ская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управляющий делами администрации,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2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- общее количе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ство сотрудников ОМС и подведомственных учреждений,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4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2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администрации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 муниципального округа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прошедших диспансеризацию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(Чмсп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 Чмсд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Чмсп 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мун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ципальных служащих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прошедших диспансеризацию, человек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годовой отчет отдела муниципальной службы и кадров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2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Чмсд-численность муниципальных служащих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направленных на диспансеризацию,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2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сотрудников подведомственных учреждений, охваченных профилактическими мероприятиями (профилактические осмотры, диспансеризация, репродуктивная диспансеризация) от общего числа сотрудников подведомственных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Д=(Р1/Р2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Р1 - количество сотрудников подведомственных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прошедшие профилактические мероприятия,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отчетные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/>
          </w:p>
        </w:tc>
      </w:tr>
      <w:tr>
        <w:tblPrEx/>
        <w:trPr>
          <w:trHeight w:val="76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2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Р2 - общее количество сотрудников подведомственных учреждений,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2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 Печенгского округа, охваченных профилактическими мероприятиями  (профилактические осмотры, диспансеризация, репродуктивная диспансеризация) от общего числа населения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Д=(Р1/Р2)*100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Р1- количество 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прошедших профилактические мероприятия,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отчетные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/>
          </w:p>
        </w:tc>
      </w:tr>
      <w:tr>
        <w:tblPrEx/>
        <w:trPr>
          <w:trHeight w:val="1140"/>
        </w:trPr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2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Р2 – общая численность прикрепленного взрослого населения Печенгского округа,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12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обучающихся в образовательных учреждениях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 3 - 18 лет охваченная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вакцинацией от сезонного гриппа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Д=(Р1/Р2)*100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Р1- количество жителей возрастом от 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18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вакцинированных от сезонного гриппа,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(протокол заседания противоэпидемиологической комиссии), отчетные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8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2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Р2 – общая численность прикрепленного населения возрастом от 3 до 18 лет,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12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 Печенгского округа, охваченных сезонной вакцинацией от гриппа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 обще численности прикрепленного населения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Д=(Р1/Р2)*100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Р1 - количество жителей возрастом от  18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вакцинированных от сезонного гриппа,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(протокол заседания противоэпидемиологической комиссии), отчетные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5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2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Р2 – общая численность прикреплен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ного населения возрастом от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18 лет,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6"/>
        </w:trPr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12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замещенных штатных единиц врачебного персонала (физические лица) Печенгской ЦРБ от обще численности штатных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Д=(П1/П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П1 -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замещенных штатных единиц (физические лица)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отчетные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spacing w:after="0" w:afterAutospacing="0" w:line="240" w:lineRule="auto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Печенгская ЦРБ</w:t>
            </w:r>
            <w:r/>
          </w:p>
        </w:tc>
      </w:tr>
      <w:tr>
        <w:tblPrEx/>
        <w:trPr>
          <w:trHeight w:val="34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2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 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общее  количество штатных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/>
      <w:bookmarkStart w:id="4" w:name="p124"/>
      <w:r/>
      <w:bookmarkEnd w:id="4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</w:p>
    <w:p>
      <w:r/>
    </w:p>
    <w:sectPr>
      <w:footnotePr/>
      <w:endnotePr/>
      <w:type w:val="nextPage"/>
      <w:pgSz w:w="11906" w:h="16838" w:orient="portrait"/>
      <w:pgMar w:top="822" w:right="707" w:bottom="567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10"/>
  </w:num>
  <w:num w:numId="5">
    <w:abstractNumId w:val="12"/>
  </w:num>
  <w:num w:numId="6">
    <w:abstractNumId w:val="9"/>
  </w:num>
  <w:num w:numId="7">
    <w:abstractNumId w:val="11"/>
  </w:num>
  <w:num w:numId="8">
    <w:abstractNumId w:val="13"/>
  </w:num>
  <w:num w:numId="9">
    <w:abstractNumId w:val="5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"/>
  </w:num>
  <w:num w:numId="14">
    <w:abstractNumId w:val="4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7">
    <w:name w:val="Heading 4 Char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688">
    <w:name w:val="Heading 5 Char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689">
    <w:name w:val="Heading 6 Char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690">
    <w:name w:val="Heading 7 Char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8 Char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692">
    <w:name w:val="Heading 9 Char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728"/>
    <w:link w:val="740"/>
    <w:uiPriority w:val="10"/>
    <w:rPr>
      <w:sz w:val="48"/>
      <w:szCs w:val="48"/>
    </w:rPr>
  </w:style>
  <w:style w:type="character" w:styleId="694">
    <w:name w:val="Subtitle Char"/>
    <w:basedOn w:val="728"/>
    <w:link w:val="742"/>
    <w:uiPriority w:val="11"/>
    <w:rPr>
      <w:sz w:val="24"/>
      <w:szCs w:val="24"/>
    </w:rPr>
  </w:style>
  <w:style w:type="character" w:styleId="695">
    <w:name w:val="Quote Char"/>
    <w:link w:val="744"/>
    <w:uiPriority w:val="29"/>
    <w:rPr>
      <w:i/>
    </w:rPr>
  </w:style>
  <w:style w:type="character" w:styleId="696">
    <w:name w:val="Intense Quote Char"/>
    <w:link w:val="746"/>
    <w:uiPriority w:val="30"/>
    <w:rPr>
      <w:i/>
    </w:rPr>
  </w:style>
  <w:style w:type="table" w:styleId="697">
    <w:name w:val="Plain Table 1"/>
    <w:basedOn w:val="7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2"/>
    <w:basedOn w:val="7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0">
    <w:name w:val="Plain Table 4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Plain Table 5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2">
    <w:name w:val="Grid Table 1 Light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7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5 Dark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7">
    <w:name w:val="Grid Table 6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8">
    <w:name w:val="Grid Table 7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List Table 1 Light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2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1">
    <w:name w:val="List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List Table 4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List Table 5 Dark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4">
    <w:name w:val="List Table 6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5">
    <w:name w:val="List Table 7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6">
    <w:name w:val="Footnote Text Char"/>
    <w:link w:val="876"/>
    <w:uiPriority w:val="99"/>
    <w:rPr>
      <w:sz w:val="18"/>
    </w:rPr>
  </w:style>
  <w:style w:type="character" w:styleId="717">
    <w:name w:val="Endnote Text Char"/>
    <w:link w:val="879"/>
    <w:uiPriority w:val="99"/>
    <w:rPr>
      <w:sz w:val="20"/>
    </w:rPr>
  </w:style>
  <w:style w:type="paragraph" w:styleId="718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9">
    <w:name w:val="Heading 1"/>
    <w:basedOn w:val="718"/>
    <w:link w:val="91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0">
    <w:name w:val="Heading 2"/>
    <w:basedOn w:val="718"/>
    <w:next w:val="718"/>
    <w:link w:val="91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1">
    <w:name w:val="Heading 3"/>
    <w:basedOn w:val="718"/>
    <w:next w:val="718"/>
    <w:link w:val="91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2">
    <w:name w:val="Heading 4"/>
    <w:basedOn w:val="718"/>
    <w:next w:val="718"/>
    <w:link w:val="73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3">
    <w:name w:val="Heading 5"/>
    <w:basedOn w:val="718"/>
    <w:next w:val="718"/>
    <w:link w:val="73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718"/>
    <w:next w:val="718"/>
    <w:link w:val="73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5">
    <w:name w:val="Heading 7"/>
    <w:basedOn w:val="718"/>
    <w:next w:val="718"/>
    <w:link w:val="73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6">
    <w:name w:val="Heading 8"/>
    <w:basedOn w:val="718"/>
    <w:next w:val="718"/>
    <w:link w:val="73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7">
    <w:name w:val="Heading 9"/>
    <w:basedOn w:val="718"/>
    <w:next w:val="718"/>
    <w:link w:val="73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 w:default="1">
    <w:name w:val="Default Paragraph Font"/>
    <w:uiPriority w:val="1"/>
    <w:semiHidden/>
    <w:unhideWhenUsed/>
  </w:style>
  <w:style w:type="table" w:styleId="7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0" w:default="1">
    <w:name w:val="No List"/>
    <w:uiPriority w:val="99"/>
    <w:semiHidden/>
    <w:unhideWhenUsed/>
  </w:style>
  <w:style w:type="character" w:styleId="731" w:customStyle="1">
    <w:name w:val="Heading 1 Char"/>
    <w:basedOn w:val="728"/>
    <w:uiPriority w:val="9"/>
    <w:rPr>
      <w:rFonts w:ascii="Arial" w:hAnsi="Arial" w:eastAsia="Arial" w:cs="Arial"/>
      <w:sz w:val="40"/>
      <w:szCs w:val="40"/>
    </w:rPr>
  </w:style>
  <w:style w:type="character" w:styleId="732" w:customStyle="1">
    <w:name w:val="Heading 2 Char"/>
    <w:basedOn w:val="728"/>
    <w:uiPriority w:val="9"/>
    <w:rPr>
      <w:rFonts w:ascii="Arial" w:hAnsi="Arial" w:eastAsia="Arial" w:cs="Arial"/>
      <w:sz w:val="34"/>
    </w:rPr>
  </w:style>
  <w:style w:type="character" w:styleId="733" w:customStyle="1">
    <w:name w:val="Heading 3 Char"/>
    <w:basedOn w:val="728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Заголовок 4 Знак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Заголовок 5 Знак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Заголовок 6 Знак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Заголовок 7 Знак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Заголовок 8 Знак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Заголовок 9 Знак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Title"/>
    <w:basedOn w:val="718"/>
    <w:next w:val="718"/>
    <w:link w:val="741"/>
    <w:uiPriority w:val="10"/>
    <w:qFormat/>
    <w:pPr>
      <w:contextualSpacing/>
      <w:spacing w:before="300"/>
    </w:pPr>
    <w:rPr>
      <w:sz w:val="48"/>
      <w:szCs w:val="48"/>
    </w:rPr>
  </w:style>
  <w:style w:type="character" w:styleId="741" w:customStyle="1">
    <w:name w:val="Заголовок Знак"/>
    <w:basedOn w:val="728"/>
    <w:link w:val="740"/>
    <w:uiPriority w:val="10"/>
    <w:rPr>
      <w:sz w:val="48"/>
      <w:szCs w:val="48"/>
    </w:rPr>
  </w:style>
  <w:style w:type="paragraph" w:styleId="742">
    <w:name w:val="Subtitle"/>
    <w:basedOn w:val="718"/>
    <w:next w:val="718"/>
    <w:link w:val="743"/>
    <w:uiPriority w:val="11"/>
    <w:qFormat/>
    <w:pPr>
      <w:spacing w:before="200"/>
    </w:pPr>
    <w:rPr>
      <w:sz w:val="24"/>
      <w:szCs w:val="24"/>
    </w:rPr>
  </w:style>
  <w:style w:type="character" w:styleId="743" w:customStyle="1">
    <w:name w:val="Подзаголовок Знак"/>
    <w:basedOn w:val="728"/>
    <w:link w:val="742"/>
    <w:uiPriority w:val="11"/>
    <w:rPr>
      <w:sz w:val="24"/>
      <w:szCs w:val="24"/>
    </w:rPr>
  </w:style>
  <w:style w:type="paragraph" w:styleId="744">
    <w:name w:val="Quote"/>
    <w:basedOn w:val="718"/>
    <w:next w:val="718"/>
    <w:link w:val="745"/>
    <w:uiPriority w:val="29"/>
    <w:qFormat/>
    <w:pPr>
      <w:ind w:left="720" w:right="720"/>
    </w:pPr>
    <w:rPr>
      <w:i/>
    </w:r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718"/>
    <w:next w:val="718"/>
    <w:link w:val="74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728"/>
    <w:uiPriority w:val="99"/>
  </w:style>
  <w:style w:type="character" w:styleId="749" w:customStyle="1">
    <w:name w:val="Footer Char"/>
    <w:basedOn w:val="728"/>
    <w:uiPriority w:val="99"/>
  </w:style>
  <w:style w:type="character" w:styleId="750" w:customStyle="1">
    <w:name w:val="Caption Char"/>
    <w:uiPriority w:val="99"/>
  </w:style>
  <w:style w:type="table" w:styleId="751" w:customStyle="1">
    <w:name w:val="Table Grid Light"/>
    <w:basedOn w:val="72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2" w:customStyle="1">
    <w:name w:val="Таблица простая 11"/>
    <w:basedOn w:val="72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Таблица простая 21"/>
    <w:basedOn w:val="72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Таблица простая 31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Таблица простая 41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Таблица простая 51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Таблица-сетка 1 светлая1"/>
    <w:basedOn w:val="72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2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2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2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2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2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2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Таблица-сетка 21"/>
    <w:basedOn w:val="72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2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2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2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31"/>
    <w:basedOn w:val="72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2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2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2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Таблица-сетка 41"/>
    <w:basedOn w:val="72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2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2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2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2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2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2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Таблица-сетка 5 темная1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Таблица-сетка 6 цветная1"/>
    <w:basedOn w:val="72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2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2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2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2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Таблица-сетка 7 цветная1"/>
    <w:basedOn w:val="72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72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72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72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Список-таблица 1 светлая1"/>
    <w:basedOn w:val="72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2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2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2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2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2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2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Список-таблица 21"/>
    <w:basedOn w:val="72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2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2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2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2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2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2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Список-таблица 31"/>
    <w:basedOn w:val="72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2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41"/>
    <w:basedOn w:val="72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2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2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2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2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2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2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Список-таблица 5 темная1"/>
    <w:basedOn w:val="72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2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Список-таблица 6 цветная1"/>
    <w:basedOn w:val="72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2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Список-таблица 7 цветная1"/>
    <w:basedOn w:val="72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72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72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72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72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72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72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2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2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2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2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2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2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2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2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2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2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2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2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2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2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718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728"/>
    <w:uiPriority w:val="99"/>
    <w:unhideWhenUsed/>
    <w:rPr>
      <w:vertAlign w:val="superscript"/>
    </w:rPr>
  </w:style>
  <w:style w:type="paragraph" w:styleId="879">
    <w:name w:val="endnote text"/>
    <w:basedOn w:val="718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728"/>
    <w:uiPriority w:val="99"/>
    <w:semiHidden/>
    <w:unhideWhenUsed/>
    <w:rPr>
      <w:vertAlign w:val="superscript"/>
    </w:rPr>
  </w:style>
  <w:style w:type="paragraph" w:styleId="882">
    <w:name w:val="toc 1"/>
    <w:basedOn w:val="718"/>
    <w:next w:val="718"/>
    <w:uiPriority w:val="39"/>
    <w:unhideWhenUsed/>
    <w:pPr>
      <w:spacing w:after="57"/>
    </w:pPr>
  </w:style>
  <w:style w:type="paragraph" w:styleId="883">
    <w:name w:val="toc 2"/>
    <w:basedOn w:val="718"/>
    <w:next w:val="718"/>
    <w:uiPriority w:val="39"/>
    <w:unhideWhenUsed/>
    <w:pPr>
      <w:ind w:left="283"/>
      <w:spacing w:after="57"/>
    </w:pPr>
  </w:style>
  <w:style w:type="paragraph" w:styleId="884">
    <w:name w:val="toc 3"/>
    <w:basedOn w:val="718"/>
    <w:next w:val="718"/>
    <w:uiPriority w:val="39"/>
    <w:unhideWhenUsed/>
    <w:pPr>
      <w:ind w:left="567"/>
      <w:spacing w:after="57"/>
    </w:pPr>
  </w:style>
  <w:style w:type="paragraph" w:styleId="885">
    <w:name w:val="toc 4"/>
    <w:basedOn w:val="718"/>
    <w:next w:val="718"/>
    <w:uiPriority w:val="39"/>
    <w:unhideWhenUsed/>
    <w:pPr>
      <w:ind w:left="850"/>
      <w:spacing w:after="57"/>
    </w:pPr>
  </w:style>
  <w:style w:type="paragraph" w:styleId="886">
    <w:name w:val="toc 5"/>
    <w:basedOn w:val="718"/>
    <w:next w:val="718"/>
    <w:uiPriority w:val="39"/>
    <w:unhideWhenUsed/>
    <w:pPr>
      <w:ind w:left="1134"/>
      <w:spacing w:after="57"/>
    </w:pPr>
  </w:style>
  <w:style w:type="paragraph" w:styleId="887">
    <w:name w:val="toc 6"/>
    <w:basedOn w:val="718"/>
    <w:next w:val="718"/>
    <w:uiPriority w:val="39"/>
    <w:unhideWhenUsed/>
    <w:pPr>
      <w:ind w:left="1417"/>
      <w:spacing w:after="57"/>
    </w:pPr>
  </w:style>
  <w:style w:type="paragraph" w:styleId="888">
    <w:name w:val="toc 7"/>
    <w:basedOn w:val="718"/>
    <w:next w:val="718"/>
    <w:uiPriority w:val="39"/>
    <w:unhideWhenUsed/>
    <w:pPr>
      <w:ind w:left="1701"/>
      <w:spacing w:after="57"/>
    </w:pPr>
  </w:style>
  <w:style w:type="paragraph" w:styleId="889">
    <w:name w:val="toc 8"/>
    <w:basedOn w:val="718"/>
    <w:next w:val="718"/>
    <w:uiPriority w:val="39"/>
    <w:unhideWhenUsed/>
    <w:pPr>
      <w:ind w:left="1984"/>
      <w:spacing w:after="57"/>
    </w:pPr>
  </w:style>
  <w:style w:type="paragraph" w:styleId="890">
    <w:name w:val="toc 9"/>
    <w:basedOn w:val="718"/>
    <w:next w:val="718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718"/>
    <w:next w:val="718"/>
    <w:uiPriority w:val="99"/>
    <w:unhideWhenUsed/>
    <w:pPr>
      <w:spacing w:after="0"/>
    </w:pPr>
  </w:style>
  <w:style w:type="paragraph" w:styleId="89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5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7" w:customStyle="1">
    <w:name w:val="МОН Знак"/>
    <w:link w:val="898"/>
    <w:rPr>
      <w:sz w:val="24"/>
      <w:szCs w:val="24"/>
    </w:rPr>
  </w:style>
  <w:style w:type="paragraph" w:styleId="898" w:customStyle="1">
    <w:name w:val="МОН"/>
    <w:basedOn w:val="718"/>
    <w:link w:val="89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9">
    <w:name w:val="Strong"/>
    <w:qFormat/>
    <w:rPr>
      <w:b/>
      <w:bCs/>
    </w:rPr>
  </w:style>
  <w:style w:type="paragraph" w:styleId="900">
    <w:name w:val="List Paragraph"/>
    <w:basedOn w:val="718"/>
    <w:link w:val="966"/>
    <w:uiPriority w:val="99"/>
    <w:qFormat/>
    <w:pPr>
      <w:contextualSpacing/>
      <w:ind w:left="720"/>
    </w:pPr>
  </w:style>
  <w:style w:type="character" w:styleId="901" w:customStyle="1">
    <w:name w:val="Основной текст_"/>
    <w:link w:val="90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2" w:customStyle="1">
    <w:name w:val="Основной текст2"/>
    <w:basedOn w:val="718"/>
    <w:link w:val="90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3">
    <w:name w:val="Body Text 2"/>
    <w:basedOn w:val="718"/>
    <w:link w:val="90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4" w:customStyle="1">
    <w:name w:val="Основной текст 2 Знак"/>
    <w:link w:val="90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5">
    <w:name w:val="Footer"/>
    <w:basedOn w:val="718"/>
    <w:link w:val="90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6" w:customStyle="1">
    <w:name w:val="Нижний колонтитул Знак"/>
    <w:link w:val="90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8" w:customStyle="1">
    <w:name w:val="32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0">
    <w:name w:val="Normal (Web)"/>
    <w:basedOn w:val="718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1">
    <w:name w:val="Body Text Indent"/>
    <w:basedOn w:val="718"/>
    <w:link w:val="91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2" w:customStyle="1">
    <w:name w:val="Основной текст с отступом Знак"/>
    <w:link w:val="911"/>
    <w:rPr>
      <w:rFonts w:ascii="Times New Roman" w:hAnsi="Times New Roman" w:eastAsia="Times New Roman" w:cs="Times New Roman"/>
      <w:sz w:val="24"/>
      <w:szCs w:val="24"/>
    </w:rPr>
  </w:style>
  <w:style w:type="character" w:styleId="913" w:customStyle="1">
    <w:name w:val="Заголовок 1 Знак"/>
    <w:link w:val="719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4" w:customStyle="1">
    <w:name w:val="Заголовок 2 Знак"/>
    <w:link w:val="720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5" w:customStyle="1">
    <w:name w:val="Заголовок 3 Знак"/>
    <w:link w:val="721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6">
    <w:name w:val="Table Grid"/>
    <w:basedOn w:val="729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Balloon Text"/>
    <w:basedOn w:val="718"/>
    <w:link w:val="91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8" w:customStyle="1">
    <w:name w:val="Текст выноски Знак"/>
    <w:link w:val="917"/>
    <w:rPr>
      <w:rFonts w:ascii="Tahoma" w:hAnsi="Tahoma" w:eastAsia="Times New Roman" w:cs="Tahoma"/>
      <w:sz w:val="16"/>
      <w:szCs w:val="16"/>
      <w:lang w:eastAsia="ru-RU"/>
    </w:rPr>
  </w:style>
  <w:style w:type="paragraph" w:styleId="919">
    <w:name w:val="Header"/>
    <w:basedOn w:val="718"/>
    <w:link w:val="92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0" w:customStyle="1">
    <w:name w:val="Верхний колонтитул Знак"/>
    <w:link w:val="91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1">
    <w:name w:val="Emphasis"/>
    <w:qFormat/>
    <w:rPr>
      <w:i/>
      <w:iCs/>
    </w:rPr>
  </w:style>
  <w:style w:type="paragraph" w:styleId="922" w:customStyle="1">
    <w:name w:val="Содержимое таблицы"/>
    <w:basedOn w:val="718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3" w:customStyle="1">
    <w:name w:val="consplusnormal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a2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15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7" w:customStyle="1">
    <w:name w:val="h1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msonospacing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ac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0">
    <w:name w:val="Body Text 3"/>
    <w:basedOn w:val="718"/>
    <w:link w:val="93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Основной текст 3 Знак"/>
    <w:link w:val="93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2">
    <w:name w:val="HTML Bottom of Form"/>
    <w:basedOn w:val="718"/>
    <w:next w:val="718"/>
    <w:link w:val="93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3" w:customStyle="1">
    <w:name w:val="z-Конец формы Знак"/>
    <w:link w:val="93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4" w:customStyle="1">
    <w:name w:val="Style16"/>
    <w:basedOn w:val="718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6">
    <w:name w:val="Caption"/>
    <w:basedOn w:val="718"/>
    <w:next w:val="718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7">
    <w:name w:val="Body Text"/>
    <w:basedOn w:val="718"/>
    <w:link w:val="93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Знак"/>
    <w:link w:val="93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>
    <w:name w:val="Body Text Indent 2"/>
    <w:basedOn w:val="718"/>
    <w:link w:val="94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0" w:customStyle="1">
    <w:name w:val="Основной текст с отступом 2 Знак"/>
    <w:link w:val="93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1" w:customStyle="1">
    <w:name w:val="Заголовок №2_"/>
    <w:link w:val="94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2" w:customStyle="1">
    <w:name w:val="Заголовок №2"/>
    <w:basedOn w:val="718"/>
    <w:link w:val="94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3">
    <w:name w:val="No Spacing"/>
    <w:uiPriority w:val="1"/>
    <w:qFormat/>
    <w:rPr>
      <w:sz w:val="22"/>
      <w:szCs w:val="22"/>
      <w:lang w:eastAsia="en-US"/>
    </w:rPr>
  </w:style>
  <w:style w:type="paragraph" w:styleId="944" w:customStyle="1">
    <w:name w:val="Default"/>
    <w:rPr>
      <w:rFonts w:ascii="Arial" w:hAnsi="Arial" w:cs="Arial"/>
      <w:color w:val="000000"/>
      <w:sz w:val="24"/>
      <w:szCs w:val="24"/>
    </w:rPr>
  </w:style>
  <w:style w:type="paragraph" w:styleId="945" w:customStyle="1">
    <w:name w:val="msonormalcxspmiddle"/>
    <w:basedOn w:val="71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6" w:customStyle="1">
    <w:name w:val="Нет списка1"/>
    <w:next w:val="730"/>
    <w:semiHidden/>
    <w:unhideWhenUsed/>
  </w:style>
  <w:style w:type="table" w:styleId="947" w:customStyle="1">
    <w:name w:val="Сетка таблицы1"/>
    <w:basedOn w:val="729"/>
    <w:next w:val="91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8" w:customStyle="1">
    <w:name w:val="Абзац списка1"/>
    <w:basedOn w:val="718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9" w:customStyle="1">
    <w:name w:val="Знак Знак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2" w:customStyle="1">
    <w:name w:val="Обычный (веб)18"/>
    <w:basedOn w:val="718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3" w:customStyle="1">
    <w:name w:val="Знак Знак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Знак Знак2 Знак Знак Знак Знак Знак Знак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Знак Знак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7" w:customStyle="1">
    <w:name w:val="Знак Знак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>
    <w:name w:val="Body Text Indent 3"/>
    <w:basedOn w:val="718"/>
    <w:link w:val="96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0" w:customStyle="1">
    <w:name w:val="Основной текст с отступом 3 Знак"/>
    <w:link w:val="959"/>
    <w:uiPriority w:val="99"/>
    <w:semiHidden/>
    <w:rPr>
      <w:sz w:val="16"/>
      <w:szCs w:val="16"/>
    </w:rPr>
  </w:style>
  <w:style w:type="paragraph" w:styleId="961" w:customStyle="1">
    <w:name w:val="1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2">
    <w:name w:val="Hyperlink"/>
    <w:rPr>
      <w:strike w:val="0"/>
      <w:color w:val="808080"/>
      <w:u w:val="none"/>
    </w:rPr>
  </w:style>
  <w:style w:type="character" w:styleId="963" w:customStyle="1">
    <w:name w:val="blk"/>
  </w:style>
  <w:style w:type="character" w:styleId="96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5" w:customStyle="1">
    <w:name w:val="Знак Знак2 Знак Знак Знак Знак Знак Знак Знак Знак Знак Знак Знак Знак Знак Знак Знак Знак"/>
    <w:basedOn w:val="71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 w:customStyle="1">
    <w:name w:val="Абзац списка Знак"/>
    <w:link w:val="900"/>
    <w:uiPriority w:val="99"/>
    <w:rPr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76F1D-189A-4E3B-916D-72075535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11</cp:revision>
  <dcterms:created xsi:type="dcterms:W3CDTF">2025-11-12T17:09:00Z</dcterms:created>
  <dcterms:modified xsi:type="dcterms:W3CDTF">2025-11-19T09:54:24Z</dcterms:modified>
</cp:coreProperties>
</file>