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12.11.2025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1838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Об утверждении муниципальной программы 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Муниципальные финансы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8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</w:t>
      </w:r>
      <w:r>
        <w:rPr>
          <w:rFonts w:ascii="Times New Roman" w:hAnsi="Times New Roman"/>
          <w:sz w:val="24"/>
          <w:szCs w:val="24"/>
        </w:rPr>
        <w:t xml:space="preserve"> Бюджетного кодекса Российской Федерации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в соответствии с </w:t>
      </w:r>
      <w:r>
        <w:rPr>
          <w:rFonts w:ascii="Times New Roman" w:hAnsi="Times New Roman"/>
          <w:sz w:val="24"/>
          <w:szCs w:val="24"/>
        </w:rPr>
        <w:t xml:space="preserve">Порядком разработки, </w:t>
      </w:r>
      <w:r>
        <w:rPr>
          <w:rFonts w:ascii="Times New Roman" w:hAnsi="Times New Roman"/>
          <w:sz w:val="24"/>
          <w:szCs w:val="24"/>
        </w:rPr>
        <w:t xml:space="preserve">реализации и оценки эффективности муниципальных программ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, утвержденн</w:t>
      </w:r>
      <w:r>
        <w:rPr>
          <w:rFonts w:ascii="Times New Roman" w:hAnsi="Times New Roman"/>
          <w:sz w:val="24"/>
          <w:szCs w:val="24"/>
        </w:rPr>
        <w:t xml:space="preserve">ым</w:t>
      </w:r>
      <w:r>
        <w:rPr>
          <w:rFonts w:ascii="Times New Roman" w:hAnsi="Times New Roman"/>
          <w:sz w:val="24"/>
          <w:szCs w:val="24"/>
        </w:rPr>
        <w:t xml:space="preserve"> постановлением администрации Печенгского муниципального округа от 1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.0</w:t>
      </w:r>
      <w:r>
        <w:rPr>
          <w:rFonts w:ascii="Times New Roman" w:hAnsi="Times New Roman"/>
          <w:sz w:val="24"/>
          <w:szCs w:val="24"/>
        </w:rPr>
        <w:t xml:space="preserve">9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/>
          <w:sz w:val="24"/>
          <w:szCs w:val="24"/>
        </w:rPr>
        <w:t xml:space="preserve">1488</w:t>
      </w:r>
      <w:r>
        <w:rPr>
          <w:rFonts w:ascii="Times New Roman" w:hAnsi="Times New Roman"/>
          <w:sz w:val="24"/>
          <w:szCs w:val="24"/>
        </w:rPr>
        <w:t xml:space="preserve">, в целях повышения эффективности использования бюджетных средств и совершенствования программного метода формирования бюджета Печенгского муниципального округа,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Утвердить муниципальную программу Печенгского муниципального округа «Муниципальные финансы» 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 согласно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01 января 202</w:t>
      </w:r>
      <w:r>
        <w:rPr>
          <w:rFonts w:ascii="Times New Roman" w:hAnsi="Times New Roman" w:eastAsia="Times New Roman"/>
          <w:sz w:val="24"/>
          <w:szCs w:val="24"/>
        </w:rPr>
        <w:t xml:space="preserve">6</w:t>
      </w:r>
      <w:r>
        <w:rPr>
          <w:rFonts w:ascii="Times New Roman" w:hAnsi="Times New Roman" w:eastAsia="Times New Roman"/>
          <w:sz w:val="24"/>
          <w:szCs w:val="24"/>
        </w:rPr>
        <w:t xml:space="preserve"> года.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Настоящее постановление опубликовать в официальном</w:t>
      </w:r>
      <w:r>
        <w:rPr>
          <w:rFonts w:ascii="Times New Roman" w:hAnsi="Times New Roman" w:eastAsia="Times New Roman"/>
          <w:sz w:val="24"/>
          <w:szCs w:val="24"/>
        </w:rPr>
        <w:t xml:space="preserve"> издании газета «Печенга» и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Кон</w:t>
      </w:r>
      <w:r>
        <w:rPr>
          <w:rFonts w:ascii="Times New Roman" w:hAnsi="Times New Roman"/>
          <w:sz w:val="24"/>
          <w:szCs w:val="24"/>
        </w:rPr>
        <w:t xml:space="preserve">троль за исполнением настоящего постановления возложить на заместителя Главы Печенгского муниципального округа по экономике и финансам Ахметову М.Ю.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Ионова О.В., 50270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/>
          <w:b w:val="0"/>
          <w:bCs w:val="0"/>
          <w:i/>
          <w:color w:val="000000" w:themeColor="text1"/>
          <w:sz w:val="20"/>
          <w:szCs w:val="20"/>
        </w:rPr>
      </w:pPr>
      <w:r>
        <w:rPr>
          <w:rFonts w:ascii="Times New Roman" w:hAnsi="Times New Roman" w:eastAsia="Times New Roman"/>
          <w:b w:val="0"/>
          <w:bCs w:val="0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/>
          <w:b w:val="0"/>
          <w:bCs w:val="0"/>
          <w:sz w:val="24"/>
          <w:szCs w:val="24"/>
          <w:lang w:val="en-US"/>
        </w:rPr>
        <w:t xml:space="preserve">12</w:t>
      </w:r>
      <w:r>
        <w:rPr>
          <w:rFonts w:ascii="Times New Roman" w:hAnsi="Times New Roman" w:eastAsia="Times New Roman"/>
          <w:b w:val="0"/>
          <w:bCs w:val="0"/>
          <w:sz w:val="24"/>
          <w:szCs w:val="24"/>
          <w:lang w:val="ru-RU"/>
        </w:rPr>
        <w:t xml:space="preserve">.</w:t>
      </w:r>
      <w:r>
        <w:rPr>
          <w:rFonts w:ascii="Times New Roman" w:hAnsi="Times New Roman" w:eastAsia="Times New Roman"/>
          <w:b w:val="0"/>
          <w:bCs w:val="0"/>
          <w:sz w:val="24"/>
          <w:szCs w:val="24"/>
          <w:lang w:val="en-US"/>
        </w:rPr>
        <w:t xml:space="preserve">11</w:t>
      </w:r>
      <w:r>
        <w:rPr>
          <w:rFonts w:ascii="Times New Roman" w:hAnsi="Times New Roman" w:eastAsia="Times New Roman"/>
          <w:b w:val="0"/>
          <w:bCs w:val="0"/>
          <w:sz w:val="24"/>
          <w:szCs w:val="24"/>
          <w:lang w:val="ru-RU"/>
        </w:rPr>
        <w:t xml:space="preserve">.</w:t>
      </w:r>
      <w:r>
        <w:rPr>
          <w:rFonts w:ascii="Times New Roman" w:hAnsi="Times New Roman" w:eastAsia="Times New Roman"/>
          <w:b w:val="0"/>
          <w:bCs w:val="0"/>
          <w:sz w:val="24"/>
          <w:szCs w:val="24"/>
          <w:lang w:val="en-US"/>
        </w:rPr>
        <w:t xml:space="preserve">2025</w:t>
      </w:r>
      <w:r>
        <w:rPr>
          <w:rFonts w:ascii="Times New Roman" w:hAnsi="Times New Roman" w:eastAsia="Times New Roman"/>
          <w:b w:val="0"/>
          <w:bCs w:val="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 w:val="0"/>
          <w:bCs w:val="0"/>
          <w:sz w:val="24"/>
          <w:szCs w:val="24"/>
          <w:lang w:eastAsia="ru-RU"/>
        </w:rPr>
        <w:t xml:space="preserve">№ </w:t>
      </w:r>
      <w:r>
        <w:rPr>
          <w:rFonts w:ascii="Times New Roman" w:hAnsi="Times New Roman"/>
          <w:b w:val="0"/>
          <w:bCs w:val="0"/>
          <w:color w:val="000000" w:themeColor="text1"/>
          <w:sz w:val="24"/>
          <w:szCs w:val="24"/>
          <w:highlight w:val="none"/>
          <w:lang w:val="en-US"/>
        </w:rPr>
        <w:t xml:space="preserve">1838</w:t>
      </w:r>
      <w:r>
        <w:rPr>
          <w:rFonts w:ascii="Times New Roman" w:hAnsi="Times New Roman"/>
          <w:b w:val="0"/>
          <w:bCs w:val="0"/>
          <w:i/>
          <w:color w:val="000000" w:themeColor="text1"/>
          <w:sz w:val="20"/>
          <w:szCs w:val="20"/>
        </w:rPr>
      </w:r>
      <w:r>
        <w:rPr>
          <w:rFonts w:ascii="Times New Roman" w:hAnsi="Times New Roman"/>
          <w:b w:val="0"/>
          <w:bCs w:val="0"/>
          <w:i/>
          <w:color w:val="000000" w:themeColor="text1"/>
          <w:sz w:val="20"/>
          <w:szCs w:val="20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  <w:szCs w:val="28"/>
        </w:rPr>
        <w:outlineLvl w:val="1"/>
      </w:pPr>
      <w:r>
        <w:rPr>
          <w:rFonts w:ascii="Times New Roman" w:hAnsi="Times New Roman"/>
          <w:b/>
          <w:sz w:val="28"/>
          <w:szCs w:val="28"/>
        </w:rPr>
        <w:t xml:space="preserve">«М</w:t>
      </w:r>
      <w:r>
        <w:rPr>
          <w:rFonts w:ascii="Times New Roman" w:hAnsi="Times New Roman"/>
          <w:b/>
          <w:sz w:val="28"/>
          <w:szCs w:val="28"/>
        </w:rPr>
        <w:t xml:space="preserve">УНИЦИПАЛЬНЫЕ ФИНАНСЫ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Срок реализации: 2026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- 2028 годы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Ответственный исполнитель муниципальной программы –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Финансовое управление администрации Печенгского муниципального округа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  <w:outlineLvl w:val="2"/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0" w:name="P366"/>
      <w:r/>
      <w:bookmarkEnd w:id="0"/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  <w:t xml:space="preserve">ПАСПОРТ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u w:val="single"/>
          <w:lang w:eastAsia="ru-RU"/>
        </w:rPr>
      </w:pPr>
      <w:r>
        <w:rPr>
          <w:rFonts w:ascii="Times New Roman" w:hAnsi="Times New Roman" w:eastAsia="Times New Roman"/>
          <w:b/>
          <w:sz w:val="24"/>
          <w:u w:val="single"/>
          <w:lang w:eastAsia="ru-RU"/>
        </w:rPr>
        <w:t xml:space="preserve">«Муниципальные финансы»</w:t>
      </w:r>
      <w:r>
        <w:rPr>
          <w:rFonts w:ascii="Times New Roman" w:hAnsi="Times New Roman" w:eastAsia="Times New Roman"/>
          <w:b/>
          <w:sz w:val="24"/>
          <w:u w:val="single"/>
          <w:lang w:eastAsia="ru-RU"/>
        </w:rPr>
      </w:r>
      <w:r>
        <w:rPr>
          <w:rFonts w:ascii="Times New Roman" w:hAnsi="Times New Roman" w:eastAsia="Times New Roman"/>
          <w:b/>
          <w:sz w:val="24"/>
          <w:u w:val="singl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896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беспечение долгосрочной сбалансированности и устойчивости бюджета округа, выполнение принятых расходных обязательств, повышени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ачества управления муниципальными финансами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35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направлений (подпрограмм)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Направление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(подпрограмма)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1. Обеспечение условий для устойчивого исполнения бюджета округа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направления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(подпрограммы)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Финансовое управление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Печенгского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5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47" w:leader="none"/>
                <w:tab w:val="left" w:pos="8518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Направление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(подпрограмма)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Повышение качества ведения учета и составления отчетности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47" w:leader="none"/>
                <w:tab w:val="left" w:pos="8518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Ответственны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исполнител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направления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(подпрограммы)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униципальное бюджетное учреждение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«Централизованная бухгалтерия по обслуживанию муниципальных учреждений Печенгского муниципального округа Мурманской области»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(далее - МБУ «ЦБ»)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224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00,00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78 079 800,00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074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Сохранение к 2029 году высокого уровня оценки долговой устойчивости Печенгского муниципального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Достижение по итогам 2028 года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 качества осуществления бюджетного процесса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присвоенной Печенгскому округу Министерством финансов Мурманской области за предшествующий отчетному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 Обеспечение ведения бухгалтерского учета органов местного самоуправления и муниципальных учреждений – 34 единицы к 2028 году.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 Выполнение контрольных мероприятий в части осуществления внутреннего финансового контроля в объеме 100 % к общему числу запланированных мероприятий.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 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сполнители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Печенгского муниципального округа (Контрольно-ревизионный отдел администрации Печенгского муниципального округа) (далее - КРО),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МБУ «ЦБ»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Связь с национальными, региональными проектами/государственными программами Мурманской области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pStyle w:val="896"/>
        <w:numPr>
          <w:ilvl w:val="0"/>
          <w:numId w:val="14"/>
        </w:num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Приоритеты 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задачи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муниципального управления в сфере реализации муниципальной программы «Муниципальные финансы»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/>
          <w:sz w:val="24"/>
          <w:szCs w:val="24"/>
        </w:rPr>
        <w:t xml:space="preserve">Основн</w:t>
      </w:r>
      <w:r>
        <w:rPr>
          <w:rFonts w:ascii="Times New Roman" w:hAnsi="Times New Roman"/>
          <w:sz w:val="24"/>
          <w:szCs w:val="24"/>
        </w:rPr>
        <w:t xml:space="preserve">ым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стратегическим приоритетом политики в сфере управления муниципальными финансами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Печенгского муниципального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округа является эффективное использование бюджетных ресурсов для обеспечения динамичного развития экономики, повышения уровня жизни населения и формирования благоприятных условий жизнедеятельности.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Приоритеты государственной политики в сфере реализации Программы определены исходя из положений стратегических документов федерального и регионального уровня, Указ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а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Президента Российской Федерации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от 7 мая 2024 года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№ 309 «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О национальных целях развития Российской Федерации на период до 2030 год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а и на перспективу до 2036 года»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, а также в соответствии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с основными нормативными правовыми актами, регулирующими бюджетный процесс в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Печенгском муниципальном округе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.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Финансовое управление является уполномоченным органом администрации Печенгского муниципального округа по управлению средствами бюджета округа и обеспечивает проведение ответственной финансовой политики муниципальной власти.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В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 условиях ограниченных финансовых ресурсов бюджета округа требуется усиленное внимание за обеспечением взве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шенного подхода к управлению бюджетными средствами, повышением эффективности и результативности бюджетных расходов. Проведение предсказуемой и ответственной бюджетной политики является важнейшей предпосылкой для обеспечения макроэкономической стабильности.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Для повышения эффективности деятельности необходимо установление и соблюдение четко сформулированных принципов взвешенной бюджетной политики, к которым относятся: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реалистичность и надежность экономических прогнозов и предпосылок, положенных в основу бюджетного планирования;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формирование бюджета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округа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с учетом долгосрочного прогноза основных параметров бюджетной системы;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ограничение дефицита бюджета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округа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и муниципального долга;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полнота учета и прогнозирование объёма финансовых и других</w:t>
      </w:r>
      <w:r>
        <w:rPr>
          <w:rFonts w:ascii="Times New Roman" w:hAnsi="Times New Roman" w:eastAsia="SimSun"/>
          <w:color w:val="ff3333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ресурсов, которые могут быть направлены на достижение конкретных целей (включая бюджетные ассигнования, налоговые льготы, имущество, доходы от приносящей доход деятельности); проведение оптимизационных мероприятий;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планирование бюджетных ассигнований исходя из необходимости безусловного исполнения действующих расходных обязательств;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принятие новых расходных обязательств при наличии взвешенного, экономически обоснованного подхода и четкой оценки, необходимых для их исполнения, бюджетных ассигнований;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соблюдение установленных бюджетных ограничений</w:t>
      </w:r>
      <w:r>
        <w:rPr>
          <w:rFonts w:ascii="Times New Roman" w:hAnsi="Times New Roman" w:eastAsia="SimSun"/>
          <w:color w:val="000000"/>
          <w:sz w:val="28"/>
          <w:szCs w:val="28"/>
          <w:lang w:eastAsia="zh-CN" w:bidi="hi-IN"/>
        </w:rPr>
        <w:t xml:space="preserve">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и обеспечение финансовой устойчивости и платежеспособности бюджета округа при принятии новых расходных обязательств, в том числе в сокращении ранее принятых обязат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ельств (в случае необходимости);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  <w:t xml:space="preserve">п</w:t>
      </w:r>
      <w:r>
        <w:rPr>
          <w:rFonts w:ascii="Times New Roman" w:hAnsi="Times New Roman" w:eastAsia="Times New Roman"/>
          <w:sz w:val="24"/>
          <w:lang w:eastAsia="ru-RU"/>
        </w:rPr>
        <w:t xml:space="preserve">овышение качества ведения бюджетного учета путем установления единых правовых и методологических основ ведения учета в </w:t>
      </w:r>
      <w:r>
        <w:rPr>
          <w:rFonts w:ascii="Times New Roman" w:hAnsi="Times New Roman" w:eastAsia="Times New Roman"/>
          <w:sz w:val="24"/>
          <w:lang w:eastAsia="ru-RU"/>
        </w:rPr>
        <w:t xml:space="preserve">органах местного самоуправления и учреждений Печенгского муниципального округа </w:t>
      </w:r>
      <w:r>
        <w:rPr>
          <w:rFonts w:ascii="Times New Roman" w:hAnsi="Times New Roman" w:eastAsia="Times New Roman"/>
          <w:sz w:val="24"/>
          <w:lang w:eastAsia="ru-RU"/>
        </w:rPr>
        <w:t xml:space="preserve">и своевременность предоставления отчетности</w:t>
      </w:r>
      <w:r>
        <w:rPr>
          <w:rFonts w:ascii="Times New Roman" w:hAnsi="Times New Roman" w:eastAsia="Times New Roman"/>
          <w:sz w:val="24"/>
          <w:lang w:eastAsia="ru-RU"/>
        </w:rPr>
        <w:t xml:space="preserve">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  <w:t xml:space="preserve">п</w:t>
      </w:r>
      <w:r>
        <w:rPr>
          <w:rFonts w:ascii="Times New Roman" w:hAnsi="Times New Roman" w:eastAsia="Times New Roman"/>
          <w:sz w:val="24"/>
          <w:lang w:eastAsia="ru-RU"/>
        </w:rPr>
        <w:t xml:space="preserve">редупреждение и пресечение нарушений законодательства в финансово-бюджетной сфере и законодательства о контрактной сист</w:t>
      </w:r>
      <w:r>
        <w:rPr>
          <w:rFonts w:ascii="Times New Roman" w:hAnsi="Times New Roman" w:eastAsia="Times New Roman"/>
          <w:sz w:val="24"/>
          <w:lang w:eastAsia="ru-RU"/>
        </w:rPr>
        <w:t xml:space="preserve">еме в сфере закупок.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shd w:val="clear" w:color="auto" w:fill="ffffff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shd w:val="clear" w:color="auto" w:fill="ffffff"/>
          <w:lang w:eastAsia="zh-CN" w:bidi="hi-IN"/>
        </w:rPr>
        <w:t xml:space="preserve">Муниципальная программа имеет существенные отличия от большинства других муниципальных программ </w:t>
      </w:r>
      <w:r>
        <w:rPr>
          <w:rFonts w:ascii="Times New Roman" w:hAnsi="Times New Roman" w:eastAsia="SimSun"/>
          <w:color w:val="000000"/>
          <w:sz w:val="24"/>
          <w:szCs w:val="24"/>
          <w:shd w:val="clear" w:color="auto" w:fill="ffffff"/>
          <w:lang w:eastAsia="zh-CN" w:bidi="hi-IN"/>
        </w:rPr>
        <w:t xml:space="preserve">Печенгского муниципального</w:t>
      </w:r>
      <w:r>
        <w:rPr>
          <w:rFonts w:ascii="Times New Roman" w:hAnsi="Times New Roman" w:eastAsia="SimSun"/>
          <w:color w:val="000000"/>
          <w:sz w:val="24"/>
          <w:szCs w:val="24"/>
          <w:shd w:val="clear" w:color="auto" w:fill="ffffff"/>
          <w:lang w:eastAsia="zh-CN" w:bidi="hi-IN"/>
        </w:rPr>
        <w:t xml:space="preserve"> округа. Она ориентирована на создание общих для всех участников бюджетного процесса, в том числе администрации </w:t>
      </w:r>
      <w:r>
        <w:rPr>
          <w:rFonts w:ascii="Times New Roman" w:hAnsi="Times New Roman" w:eastAsia="SimSun"/>
          <w:color w:val="000000"/>
          <w:sz w:val="24"/>
          <w:szCs w:val="24"/>
          <w:shd w:val="clear" w:color="auto" w:fill="ffffff"/>
          <w:lang w:eastAsia="zh-CN" w:bidi="hi-IN"/>
        </w:rPr>
        <w:t xml:space="preserve">Печенгского муниципального округа</w:t>
      </w:r>
      <w:r>
        <w:rPr>
          <w:rFonts w:ascii="Times New Roman" w:hAnsi="Times New Roman" w:eastAsia="SimSun"/>
          <w:color w:val="000000"/>
          <w:sz w:val="24"/>
          <w:szCs w:val="24"/>
          <w:shd w:val="clear" w:color="auto" w:fill="ffffff"/>
          <w:lang w:eastAsia="zh-CN" w:bidi="hi-IN"/>
        </w:rPr>
        <w:t xml:space="preserve">, ее отраслевых (функциональных) органов, реализующих другие муниципальные программы, условий и механизмов их реализации.</w:t>
      </w:r>
      <w:r>
        <w:rPr>
          <w:rFonts w:ascii="Times New Roman" w:hAnsi="Times New Roman" w:eastAsia="SimSun"/>
          <w:color w:val="000000"/>
          <w:sz w:val="24"/>
          <w:szCs w:val="24"/>
          <w:shd w:val="clear" w:color="auto" w:fill="ffffff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shd w:val="clear" w:color="auto" w:fill="ffffff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Реализация программы вносит значительный вклад в достижение практически всех стратегических целей социально-экономического развития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Печенгского муниципального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округа, в том числе путем создания и поддержания благоприятных условий для экономического роста за счет соблюдения принятых ограничений по долговой нагрузке.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На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 основе вышеуказанных принципов, определена цель Программы: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беспечение долгосрочной сбалансированности и устойчивости бюджета округа, выполнение принятых расходных обязательств, повышение качества управления муниципальных финансов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.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sz w:val="24"/>
          <w:szCs w:val="24"/>
          <w:lang w:eastAsia="zh-CN" w:bidi="hi-IN"/>
        </w:rPr>
        <w:t xml:space="preserve">Для достижения поставленной цели в рамках реализации Программы предусматривается решение следующих приоритетных задач:</w:t>
      </w:r>
      <w:r>
        <w:rPr>
          <w:rFonts w:ascii="Times New Roman" w:hAnsi="Times New Roman" w:eastAsia="SimSun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sz w:val="24"/>
          <w:szCs w:val="24"/>
          <w:lang w:eastAsia="zh-CN" w:bidi="hi-IN"/>
        </w:rPr>
        <w:tab/>
        <w:t xml:space="preserve">э</w:t>
      </w:r>
      <w:r>
        <w:rPr>
          <w:rFonts w:ascii="Times New Roman" w:hAnsi="Times New Roman" w:eastAsia="SimSun"/>
          <w:sz w:val="24"/>
          <w:szCs w:val="24"/>
          <w:lang w:eastAsia="zh-CN" w:bidi="hi-IN"/>
        </w:rPr>
        <w:t xml:space="preserve">ффективное планирование бюджета округа, совершенствование нормативно-методического </w:t>
      </w:r>
      <w:r>
        <w:rPr>
          <w:rFonts w:ascii="Times New Roman" w:hAnsi="Times New Roman" w:eastAsia="SimSun"/>
          <w:sz w:val="24"/>
          <w:szCs w:val="24"/>
          <w:lang w:eastAsia="zh-CN" w:bidi="hi-IN"/>
        </w:rPr>
        <w:t xml:space="preserve">обеспечения бюджетного процесса;</w:t>
      </w:r>
      <w:r>
        <w:rPr>
          <w:rFonts w:ascii="Times New Roman" w:hAnsi="Times New Roman" w:eastAsia="SimSun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sz w:val="24"/>
          <w:szCs w:val="24"/>
          <w:lang w:eastAsia="zh-CN" w:bidi="hi-IN"/>
        </w:rPr>
        <w:tab/>
        <w:t xml:space="preserve">м</w:t>
      </w:r>
      <w:r>
        <w:rPr>
          <w:rFonts w:ascii="Times New Roman" w:hAnsi="Times New Roman" w:eastAsia="SimSun"/>
          <w:sz w:val="24"/>
          <w:szCs w:val="24"/>
          <w:lang w:eastAsia="zh-CN" w:bidi="hi-IN"/>
        </w:rPr>
        <w:t xml:space="preserve">обилизация доходов и организация качественного исполнения бюджета округа</w:t>
      </w:r>
      <w:r>
        <w:rPr>
          <w:rFonts w:ascii="Times New Roman" w:hAnsi="Times New Roman" w:eastAsia="SimSun"/>
          <w:sz w:val="24"/>
          <w:szCs w:val="24"/>
          <w:lang w:eastAsia="zh-CN" w:bidi="hi-IN"/>
        </w:rPr>
        <w:t xml:space="preserve">;</w:t>
      </w:r>
      <w:r>
        <w:rPr>
          <w:rFonts w:ascii="Times New Roman" w:hAnsi="Times New Roman" w:eastAsia="SimSun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sz w:val="24"/>
          <w:szCs w:val="24"/>
          <w:lang w:eastAsia="zh-CN" w:bidi="hi-IN"/>
        </w:rPr>
        <w:tab/>
        <w:t xml:space="preserve">п</w:t>
      </w:r>
      <w:r>
        <w:rPr>
          <w:rFonts w:ascii="Times New Roman" w:hAnsi="Times New Roman" w:eastAsia="SimSun"/>
          <w:sz w:val="24"/>
          <w:szCs w:val="24"/>
          <w:lang w:eastAsia="zh-CN" w:bidi="hi-IN"/>
        </w:rPr>
        <w:t xml:space="preserve">роведение взвешенной долговой политики, обеспечение своевременного исполнения долговых обязательств</w:t>
      </w:r>
      <w:r>
        <w:rPr>
          <w:rFonts w:ascii="Times New Roman" w:hAnsi="Times New Roman" w:eastAsia="SimSun"/>
          <w:sz w:val="24"/>
          <w:szCs w:val="24"/>
          <w:lang w:eastAsia="zh-CN" w:bidi="hi-IN"/>
        </w:rPr>
        <w:t xml:space="preserve">;</w:t>
      </w:r>
      <w:r>
        <w:rPr>
          <w:rFonts w:ascii="Times New Roman" w:hAnsi="Times New Roman" w:eastAsia="SimSun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sz w:val="24"/>
          <w:szCs w:val="24"/>
          <w:lang w:eastAsia="zh-CN" w:bidi="hi-IN"/>
        </w:rPr>
        <w:tab/>
        <w:t xml:space="preserve">о</w:t>
      </w:r>
      <w:r>
        <w:rPr>
          <w:rFonts w:ascii="Times New Roman" w:hAnsi="Times New Roman" w:eastAsia="SimSun"/>
          <w:sz w:val="24"/>
          <w:szCs w:val="24"/>
          <w:lang w:eastAsia="zh-CN" w:bidi="hi-IN"/>
        </w:rPr>
        <w:t xml:space="preserve">беспечение открытости и прозрачности бюджетного процесса в </w:t>
      </w:r>
      <w:r>
        <w:rPr>
          <w:rFonts w:ascii="Times New Roman" w:hAnsi="Times New Roman" w:eastAsia="SimSun"/>
          <w:sz w:val="24"/>
          <w:szCs w:val="24"/>
          <w:lang w:eastAsia="zh-CN" w:bidi="hi-IN"/>
        </w:rPr>
        <w:t xml:space="preserve">Печенгском муниципальном округе;</w:t>
      </w:r>
      <w:r>
        <w:rPr>
          <w:rFonts w:ascii="Times New Roman" w:hAnsi="Times New Roman" w:eastAsia="SimSun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 w:eastAsia="SimSun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sz w:val="24"/>
          <w:szCs w:val="24"/>
          <w:lang w:eastAsia="zh-CN" w:bidi="hi-IN"/>
        </w:rPr>
        <w:tab/>
        <w:t xml:space="preserve">с</w:t>
      </w:r>
      <w:r>
        <w:rPr>
          <w:rFonts w:ascii="Times New Roman" w:hAnsi="Times New Roman"/>
          <w:sz w:val="24"/>
          <w:szCs w:val="24"/>
        </w:rPr>
        <w:t xml:space="preserve">оздание эффективной организации бухгалтерского, бюджетного и налогового учета в муниципальных учреждениях и органах местного самоуправления Печенгского муниципального округа, осуществление внутреннего финансового контроля.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/>
          <w:color w:val="ff0000"/>
          <w:sz w:val="24"/>
          <w:szCs w:val="24"/>
          <w:u w:val="single"/>
        </w:rPr>
      </w:r>
      <w:r>
        <w:rPr>
          <w:rFonts w:ascii="Times New Roman" w:hAnsi="Times New Roman"/>
          <w:color w:val="ff0000"/>
          <w:sz w:val="24"/>
          <w:szCs w:val="24"/>
          <w:u w:val="single"/>
        </w:rPr>
      </w:r>
      <w:r>
        <w:rPr>
          <w:rFonts w:ascii="Times New Roman" w:hAnsi="Times New Roman"/>
          <w:color w:val="ff0000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1" w:name="P446"/>
      <w:r/>
      <w:bookmarkEnd w:id="1"/>
      <w:r>
        <w:rPr>
          <w:rFonts w:ascii="Times New Roman" w:hAnsi="Times New Roman" w:eastAsia="Times New Roman"/>
          <w:b/>
          <w:sz w:val="24"/>
          <w:lang w:eastAsia="ru-RU"/>
        </w:rPr>
        <w:t xml:space="preserve">2. </w:t>
      </w:r>
      <w:r>
        <w:rPr>
          <w:rFonts w:ascii="Times New Roman" w:hAnsi="Times New Roman" w:eastAsia="Times New Roman"/>
          <w:b/>
          <w:sz w:val="24"/>
          <w:lang w:eastAsia="ru-RU"/>
        </w:rPr>
        <w:t xml:space="preserve">Перечень</w:t>
      </w:r>
      <w:r>
        <w:rPr>
          <w:rFonts w:ascii="Times New Roman" w:hAnsi="Times New Roman" w:eastAsia="Times New Roman"/>
          <w:b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4"/>
          <w:lang w:eastAsia="ru-RU"/>
        </w:rPr>
        <w:t xml:space="preserve">показателей муниципальной программы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"/>
        <w:gridCol w:w="4732"/>
        <w:gridCol w:w="1134"/>
        <w:gridCol w:w="1530"/>
        <w:gridCol w:w="975"/>
        <w:gridCol w:w="1028"/>
        <w:gridCol w:w="1064"/>
        <w:gridCol w:w="1062"/>
        <w:gridCol w:w="1034"/>
        <w:gridCol w:w="167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Муниципальная программа, направления(подпрограммы), цели, показатели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Ед. изм.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ность показателя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vertAlign w:val="superscript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6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Значение показателя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Соисполнитель,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ответственный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за достижение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показателя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2024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2025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2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факт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оценка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Муниципальная программа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  <w:t xml:space="preserve">Муниципальные финансы»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Цель муниципальной программы: 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 xml:space="preserve">О</w:t>
            </w:r>
            <w:r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беспечение долгосрочной сбалансированности и устойчивости бюджета округа, выполнение принятых расходных обязательств, повышение качества управления муниципальны</w:t>
            </w:r>
            <w:r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ми финансами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Оценка долговой устойчивости Печенгского муниципального округа по итогам финансового года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уровень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высокий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высокий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высокий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высокий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высокий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Степень качества осуществления бюджетного процесса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присвоенная Печенгскому округу  Министерством финансов Мурманской области за предшествующий отчетному год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III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II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II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обслужива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емых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органов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местного самоуправления и муниципальных учреждений в сфере бухгалтерского учета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МБУ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Выполнение контрольных мероприятий к общему числу запланированных мероприятий в части осуществления внутреннего финансового контроля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171,4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КРО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2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Направление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(подпрограмма)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  <w:t xml:space="preserve">Выполнение условий для устойчивого исполнения бюджета округа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tabs>
                <w:tab w:val="left" w:pos="247" w:leader="none"/>
                <w:tab w:val="left" w:pos="8518" w:leader="none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Цель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 xml:space="preserve">Создание условий для эффективного и прозрачного управления финансовыми ресурсами в рамках выполнения установленных функций и полномочий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Исполнение расходных обязательств от утвержденных параметров бюджета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95,0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95,0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95,0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Результаты мониторинга информации, размещенной в ЕПБС финансовым органом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1.3.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Отношение муниципального долга муниципального образования к доходам бюджета округа без учета объема безвозмездных поступлений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3,6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2,56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&lt;=27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&lt;=27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&lt;=27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2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47" w:leader="none"/>
                <w:tab w:val="left" w:pos="8518" w:leader="none"/>
              </w:tabs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Направление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(подпрограмма)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  <w:t xml:space="preserve">«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 xml:space="preserve">Повышение качества ведения учета и составления отчетности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Цель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  <w:t xml:space="preserve">Создание эффективной организации бухгалтерского и налогового учета в муниципальных учреждениях и органах местного самоуправления Печенгского муниципального округа, осуществление внутреннего финансового контроля</w:t>
            </w:r>
            <w:r>
              <w:rPr>
                <w:rFonts w:ascii="Arial" w:hAnsi="Arial" w:cs="Arial"/>
                <w:color w:val="24242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Оценка качества финансового менеджмента главных распорядителей средств бюджета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балл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4,38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4,30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управление, КРО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Соблюдение установленных законодательством Российской Федерации требований о сроках и составе отчетности об исполнении бюджета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3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5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0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МБУ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/>
      <w:bookmarkStart w:id="2" w:name="p125"/>
      <w:r/>
      <w:bookmarkEnd w:id="2"/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 структурных элементов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746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5720"/>
        <w:gridCol w:w="1417"/>
        <w:gridCol w:w="1969"/>
        <w:gridCol w:w="513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2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Направления (подпрограммы), комплексы процессных и(или) проектных мероприятий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Срок выполнения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6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Соисполнители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Связь с показ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ателями муниципальной программы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(наименования показателей)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8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Направление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одпрограмма)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  <w:t xml:space="preserve">«Выполнение условий для устойчивого исполнения бюджета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2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Организация и совершенствование бюджетного процесса в Печенгском муниципальном округе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0.2.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Степень качества осуществления бюджетного процесса, присвоенная Печенгскому округу Министерством финансов Мурманской области за предшествующий отчетному год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1.1. Исполнение расходных обязательств от утвержденных параметров бюджета округа.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1.2. Результаты мониторинга информации, размещенн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в ЕПБС финансовым органом.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2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«Повышение гибкости долговой политики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0.1.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Оценка долговой устойчивости Печенгского муниципального округа по итогам финансового года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i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1.3. Отношение муниципального долга муниципального образования к доходам бюджета округа без учета объема безвозмездных поступлений.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9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Направление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(подпрограмма)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  <w:t xml:space="preserve">«Повышение качества ведения учета и составления отчетности 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2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процессных мероприятий 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«Обеспечение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бухгалтерского обслуживания»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0.3.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Количество обслужива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емых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органов местного самоуправления и муниципальных учреждений в сфере бухгалтерского учета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2.1. Оценка качества финансового менеджмента главных распорядителей средств бюджета округа.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2.2. Соблюдение установленных законодательством Российской Федерации требований о сроках и составе отчетности об исполнении бюджета округа.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4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2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цессных 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мероприятий 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Осуществление внутреннего финансового контроля и контроля за соблюдением законодательства в сфере закупок товаров, работ, услуг для обеспечения муниципальных нужд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КРО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0.4.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Выполнение контрольных мероприятий к общему числу запланированных мероприятий в части осуществления внутреннего финансового контроля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i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4. Сведения об объемах финансирования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45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"/>
        <w:gridCol w:w="4111"/>
        <w:gridCol w:w="1276"/>
        <w:gridCol w:w="1276"/>
        <w:gridCol w:w="1559"/>
        <w:gridCol w:w="1276"/>
        <w:gridCol w:w="1291"/>
        <w:gridCol w:w="1276"/>
        <w:gridCol w:w="1842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Муниципальная программа, ГРБС, направления (подпрограммы)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Период реализации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7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Объемы и источники финансирования (рублей)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eastAsia="Times New Roman"/>
                <w:b/>
                <w:strike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Год/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источник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Муниципальная программа «Муниципальные финансы»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4224400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78079800,00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8074800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8069800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КРО, МБУ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4224400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78079800,00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8074800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8069800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390000,00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135000,00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130000,00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125000,00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390000,00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135000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130000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125000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 Печенгского муниципального округа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3834400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77944800,00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7944800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7944800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3834400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77944800,00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7944800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7944800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Направление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(подпрограмма)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«Выполнение условий для устойчивого исполнения бюджета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390000,00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135000,00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130000,00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125000,00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390000,00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135000,00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130000,00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125000,00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«Организация и совершенствование бюджетного процесса в Печенгском муниципальном округе»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«Повышение гибкости долговой политики Печенгского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390000,00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135000,00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130000,00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125000,00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390000,00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135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000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130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125000,00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Направление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(подпрограмма)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«Повышение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 качества ведения учета и составления отчетности 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233834400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00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77944800,00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7944800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7944800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МБУ «ЦБ», КРО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233834400,00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77944800,00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7944800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7944800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«Обеспечение бухгалтерского обслуживания»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233834400,00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77944800,00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7944800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79448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МБУ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233834400,00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77944800,00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79448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794480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«Осуществление внутреннего финансового контроля и контроля за соблюдением законодательства в сфере закупок товаров, работ, услуг для обеспечения муниципальных нужд»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КРО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91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5. Механизмы управления рисками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496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1723"/>
        <w:gridCol w:w="3117"/>
        <w:gridCol w:w="3163"/>
        <w:gridCol w:w="4131"/>
        <w:gridCol w:w="165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Наименование риска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Ожидаемые последствия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Меры по предотвращению наступления риска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Меры реагирования при наличии признаков наступления риска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Периодичность мониторинга рисков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7" w:type="pct"/>
            <w:textDirection w:val="lrTb"/>
            <w:noWrap w:val="false"/>
          </w:tcPr>
          <w:p>
            <w:pPr>
              <w:ind w:right="0"/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Правовой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8" w:type="pct"/>
            <w:textDirection w:val="lrTb"/>
            <w:noWrap w:val="false"/>
          </w:tcPr>
          <w:p>
            <w:pPr>
              <w:ind w:right="0"/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1) Изменения федерального и регионального законодательства в бюджетной сфере.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after="0" w:afterAutospacing="0" w:line="240" w:lineRule="auto"/>
              <w:widowControl w:val="off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2) Наличие неопределенности в праве и регулируемых им общественных отношениях как следствие вариативности толкования правовых норм. Данный фактор предполагает возможность появления судебных исков 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Печенгскому муниципальному округу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 возмещении вреда, причиненного в результате действий (бездействия)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органов либо должностных лиц этих органов, в том числе в результате издания не соответствующего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акону или иному правовому акту акта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муниципального органа, и как следствие 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возникновение дополнительных неэффективных расходов бюджетных средств,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 снижение деловой репутации муниципальных органов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4" w:type="pct"/>
            <w:textDirection w:val="lrTb"/>
            <w:noWrap w:val="false"/>
          </w:tcPr>
          <w:p>
            <w:pPr>
              <w:ind w:right="0"/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Оперативное реагирование на изменения федерального и регионального законодательства.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Разработка и реализация согласованных межведомственных решений, всестороннее рассмотрение и оцен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ка последствий принятия проектов нормативных правовых актов в бюджетно-финансовой сфере (изменений в них), их увязка с мерами правового регулирования в рамках других направлений деятельности органов местного самоуправления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5" w:type="pct"/>
            <w:textDirection w:val="lrTb"/>
            <w:noWrap w:val="false"/>
          </w:tcPr>
          <w:p>
            <w:pPr>
              <w:ind w:right="0"/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Своевременное внесение соответствующих изменений в нормативные правовые акты, касающиеся реализации мероприятий муниципальной программы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1" w:type="pct"/>
            <w:textDirection w:val="lrTb"/>
            <w:noWrap w:val="false"/>
          </w:tcPr>
          <w:p>
            <w:pPr>
              <w:ind w:right="0"/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Постоянно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7" w:type="pct"/>
            <w:textDirection w:val="lrTb"/>
            <w:noWrap w:val="false"/>
          </w:tcPr>
          <w:p>
            <w:pPr>
              <w:ind w:right="0"/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Финансовый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(ухудшение параметров экономической конъюнктуры, принятие решений по введению новых расходных обязательств, не обеспеченных финансовыми ресурсами, рост процентной ставки по привлекаемым кредитным ресурсам)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8" w:type="pct"/>
            <w:textDirection w:val="lrTb"/>
            <w:noWrap w:val="false"/>
          </w:tcPr>
          <w:p>
            <w:pPr>
              <w:ind w:right="0"/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Возникновение указанного риска может повлечь увеличение дефицита бюджета округа и, как следствие, приведет к увеличению объема муниципального долга и стоимости его обслуживания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4" w:type="pct"/>
            <w:textDirection w:val="lrTb"/>
            <w:noWrap w:val="false"/>
          </w:tcPr>
          <w:p>
            <w:pPr>
              <w:ind w:right="0"/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 целью снижения рисков несбалансированности бюджета округа предполагается ежемесячное проведение мониторинг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хода исполнения бюджет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 округа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 доходам и расходам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Приор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итизация расходных обязательств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приведение их в соответствие со складывающимися бюджетными возможностями.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авление на уменьшение дефицита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бюджета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экономии бюджетных средств, возникшей в ходе исполнения бюджета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при осуществлении закупок товаров, работ, услуг получателями бюджетных средств.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Мини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мизация стоимости обслуживания муниципального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долга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5" w:type="pct"/>
            <w:textDirection w:val="lrTb"/>
            <w:noWrap w:val="false"/>
          </w:tcPr>
          <w:p>
            <w:pPr>
              <w:ind w:right="0"/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Принятие решения главными распорядителями средств бюджета округа о сокращении расходов бюджета в части мероприятий, не являющихся первоочередными, за исключением социально ориентированных.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Использование принципа гибкости ресурсного обеспечения при планировании мероприятий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муниципальной 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рограммы, корректировка состава программных мероприятий и показателей с учетом достигнутых результатов и текущих условий реализации Программы.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Гибкое реагирование на изменяющиеся условия финансовых рынков и использование наиболее благоприятных форм заимствований.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1" w:type="pct"/>
            <w:textDirection w:val="lrTb"/>
            <w:noWrap w:val="false"/>
          </w:tcPr>
          <w:p>
            <w:pPr>
              <w:ind w:right="0"/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Постоянно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7" w:type="pct"/>
            <w:textDirection w:val="lrTb"/>
            <w:noWrap w:val="false"/>
          </w:tcPr>
          <w:p>
            <w:pPr>
              <w:ind w:right="0"/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Внешний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8" w:type="pct"/>
            <w:textDirection w:val="lrTb"/>
            <w:noWrap w:val="false"/>
          </w:tcPr>
          <w:p>
            <w:pPr>
              <w:ind w:right="0"/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Ежегодное внесение изменений в мониторинг проведения уровня открытости бюджетных данных муниципальных образований Мурманской области, утвержденный приказом Министерства финансов Мурманской области от 26.06.2024 № 113н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(далее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 Приказ </w:t>
              <w:br/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 26.06.2024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113н)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а также внесение изменений в постановление Правительства Мурманской области от 28.04.2011 № 217-ПП «О Порядке проведения мониторинга качества управления бюджетным процессом в муниципальных образованиях Мурманской области»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(далее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 Постановление от 28.04.2011 </w:t>
              <w:br/>
              <w:t xml:space="preserve">№ 217-ПП)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в части корректировок индикаторов, добавления новых показателей для оценки и иное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4" w:type="pct"/>
            <w:textDirection w:val="lrTb"/>
            <w:noWrap w:val="false"/>
          </w:tcPr>
          <w:p>
            <w:pPr>
              <w:pStyle w:val="906"/>
              <w:ind w:right="0"/>
              <w:jc w:val="both"/>
              <w:spacing w:before="0" w:beforeAutospacing="0" w:after="0" w:afterAutospacing="0" w:line="240" w:lineRule="auto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Направление предложений в </w:t>
            </w:r>
            <w:r>
              <w:rPr>
                <w:sz w:val="20"/>
                <w:szCs w:val="20"/>
              </w:rPr>
              <w:t xml:space="preserve">Министерство финансов Мурманской области </w:t>
            </w:r>
            <w:r>
              <w:rPr>
                <w:sz w:val="20"/>
                <w:szCs w:val="20"/>
              </w:rPr>
              <w:t xml:space="preserve">в части корректировки и внесения изменений в </w:t>
            </w:r>
            <w:r>
              <w:rPr>
                <w:sz w:val="20"/>
                <w:szCs w:val="20"/>
              </w:rPr>
              <w:t xml:space="preserve">Приказ </w:t>
            </w:r>
            <w:r>
              <w:rPr>
                <w:sz w:val="20"/>
                <w:szCs w:val="20"/>
              </w:rPr>
              <w:t xml:space="preserve">от 26.06.2024 </w:t>
            </w:r>
            <w:r>
              <w:rPr>
                <w:sz w:val="20"/>
                <w:szCs w:val="20"/>
              </w:rPr>
              <w:t xml:space="preserve">№ 113н и Постановление </w:t>
              <w:br/>
              <w:t xml:space="preserve">от 28.04.2011 № 217-ПП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55" w:type="pct"/>
            <w:textDirection w:val="lrTb"/>
            <w:noWrap w:val="false"/>
          </w:tcPr>
          <w:p>
            <w:pPr>
              <w:ind w:right="0"/>
              <w:jc w:val="both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Оптимизация распределения конкретных рисков между участниками и исполнителями муниципальной программы с учетом их реальных возможностей по управлению соответствующими рисками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1" w:type="pct"/>
            <w:textDirection w:val="lrTb"/>
            <w:noWrap w:val="false"/>
          </w:tcPr>
          <w:p>
            <w:pPr>
              <w:ind w:right="0"/>
              <w:jc w:val="center"/>
              <w:spacing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 мере необходимости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мониторинг официального сайта Министерства финансов мурманской области на наличие проект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изменений 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мониторинги, утвержденные приказом № 113н и постановлением от 28.04.2011 </w:t>
              <w:br/>
              <w:t xml:space="preserve">№ 217-ПП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6838" w:h="11905" w:orient="landscape"/>
          <w:pgMar w:top="993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/>
          <w:b/>
          <w:sz w:val="24"/>
          <w:szCs w:val="24"/>
        </w:rPr>
        <w:t xml:space="preserve">6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Порядок взаимодействия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Ответственного исполнителя, Соисполнителей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и участников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рограммы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rPr>
          <w:highlight w:val="yellow"/>
        </w:rPr>
        <w:suppressLineNumbers w:val="0"/>
      </w:pPr>
      <w:r/>
      <w:bookmarkStart w:id="3" w:name="Par3713"/>
      <w:r/>
      <w:bookmarkEnd w:id="3"/>
      <w:r>
        <w:rPr>
          <w:highlight w:val="yellow"/>
        </w:rPr>
      </w:r>
      <w:r>
        <w:rPr>
          <w:highlight w:val="yellow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Мониторинг и контроль реализации муниципальной программы осуществляется </w:t>
      </w:r>
      <w:r>
        <w:rPr>
          <w:rFonts w:ascii="Times New Roman" w:hAnsi="Times New Roman"/>
          <w:sz w:val="24"/>
          <w:szCs w:val="24"/>
        </w:rPr>
        <w:t xml:space="preserve">ответственным </w:t>
      </w:r>
      <w:r>
        <w:rPr>
          <w:rFonts w:ascii="Times New Roman" w:hAnsi="Times New Roman"/>
          <w:sz w:val="24"/>
          <w:szCs w:val="24"/>
        </w:rPr>
        <w:t xml:space="preserve">исполнителем программы </w:t>
      </w:r>
      <w:r>
        <w:rPr>
          <w:rFonts w:ascii="Times New Roman" w:hAnsi="Times New Roman"/>
          <w:sz w:val="24"/>
          <w:szCs w:val="24"/>
        </w:rPr>
        <w:t xml:space="preserve">– Финансовым управлением, </w:t>
      </w:r>
      <w:r>
        <w:rPr>
          <w:rFonts w:ascii="Times New Roman" w:hAnsi="Times New Roman"/>
          <w:sz w:val="24"/>
          <w:szCs w:val="24"/>
        </w:rPr>
        <w:t xml:space="preserve">который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обеспечивает совместно с Соисполнителями разработку проекта Программы, проектов постановлений Администрации об утверждении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и (или) о внесении изменений в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муниципальную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рограмму и их согласование в соответствии с требованиями Порядка</w:t>
      </w:r>
      <w:r>
        <w:rPr>
          <w:rFonts w:ascii="Times New Roman" w:hAnsi="Times New Roman" w:eastAsia="Times New Roman"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разработки, реализации и оценки эффективности муниципальных программ Пе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ченгского муниципального округа, утвержденного постановлением администрации Печенгского муниципального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округа 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18.09.2025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1488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(далее – Порядок от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18.09.2025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  <w:br/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1488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организует и координирует реализацию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несет ответственность за достижени</w:t>
      </w:r>
      <w:r>
        <w:rPr>
          <w:rFonts w:ascii="Times New Roman" w:hAnsi="Times New Roman" w:eastAsia="Times New Roman"/>
          <w:sz w:val="24"/>
          <w:lang w:eastAsia="ru-RU"/>
        </w:rPr>
        <w:t xml:space="preserve">е</w:t>
      </w:r>
      <w:r>
        <w:rPr>
          <w:rFonts w:ascii="Times New Roman" w:hAnsi="Times New Roman" w:eastAsia="Times New Roman"/>
          <w:sz w:val="24"/>
          <w:lang w:eastAsia="ru-RU"/>
        </w:rPr>
        <w:t xml:space="preserve"> показателей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и конечных </w:t>
      </w:r>
      <w:r>
        <w:rPr>
          <w:rFonts w:ascii="Times New Roman" w:hAnsi="Times New Roman" w:eastAsia="Times New Roman"/>
          <w:sz w:val="24"/>
          <w:lang w:eastAsia="ru-RU"/>
        </w:rPr>
        <w:t xml:space="preserve">результатов ее реализации в части его 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  <w:t xml:space="preserve">осуществляет мониторинг реализации муниципальной программы и подготовку отчетов о ходе реализации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в соответствии с требованиями Порядка</w:t>
      </w:r>
      <w:r>
        <w:rPr>
          <w:rFonts w:ascii="Times New Roman" w:hAnsi="Times New Roman" w:eastAsia="Times New Roman"/>
          <w:sz w:val="24"/>
          <w:lang w:eastAsia="ru-RU"/>
        </w:rPr>
        <w:t xml:space="preserve"> от</w:t>
      </w:r>
      <w:r>
        <w:rPr>
          <w:rFonts w:ascii="Times New Roman" w:hAnsi="Times New Roman" w:eastAsia="Times New Roman"/>
          <w:sz w:val="24"/>
          <w:lang w:eastAsia="ru-RU"/>
        </w:rPr>
        <w:t xml:space="preserve"> 18.09.2025</w:t>
      </w:r>
      <w:r>
        <w:rPr>
          <w:rFonts w:ascii="Times New Roman" w:hAnsi="Times New Roman" w:eastAsia="Times New Roman"/>
          <w:sz w:val="24"/>
          <w:lang w:eastAsia="ru-RU"/>
        </w:rPr>
        <w:t xml:space="preserve"> № </w:t>
      </w:r>
      <w:r>
        <w:rPr>
          <w:rFonts w:ascii="Times New Roman" w:hAnsi="Times New Roman" w:eastAsia="Times New Roman"/>
          <w:sz w:val="24"/>
          <w:lang w:eastAsia="ru-RU"/>
        </w:rPr>
        <w:t xml:space="preserve">1488</w:t>
      </w:r>
      <w:r>
        <w:rPr>
          <w:rFonts w:ascii="Times New Roman" w:hAnsi="Times New Roman" w:eastAsia="Times New Roman"/>
          <w:sz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Соисполнителями муниципальной программы являются МБУ «ЦБ» и КРО, которые: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обеспечива</w:t>
      </w:r>
      <w:r>
        <w:rPr>
          <w:rFonts w:ascii="Times New Roman" w:hAnsi="Times New Roman" w:eastAsia="Times New Roman"/>
          <w:sz w:val="24"/>
          <w:lang w:eastAsia="ru-RU"/>
        </w:rPr>
        <w:t xml:space="preserve">ют</w:t>
      </w:r>
      <w:r>
        <w:rPr>
          <w:rFonts w:ascii="Times New Roman" w:hAnsi="Times New Roman" w:eastAsia="Times New Roman"/>
          <w:sz w:val="24"/>
          <w:lang w:eastAsia="ru-RU"/>
        </w:rPr>
        <w:t xml:space="preserve"> разработку и реализацию комплексов процессных мероприятий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в отношении которых явля</w:t>
      </w:r>
      <w:r>
        <w:rPr>
          <w:rFonts w:ascii="Times New Roman" w:hAnsi="Times New Roman" w:eastAsia="Times New Roman"/>
          <w:sz w:val="24"/>
          <w:lang w:eastAsia="ru-RU"/>
        </w:rPr>
        <w:t xml:space="preserve">ю</w:t>
      </w:r>
      <w:r>
        <w:rPr>
          <w:rFonts w:ascii="Times New Roman" w:hAnsi="Times New Roman" w:eastAsia="Times New Roman"/>
          <w:sz w:val="24"/>
          <w:lang w:eastAsia="ru-RU"/>
        </w:rPr>
        <w:t xml:space="preserve">тся соисполнител</w:t>
      </w:r>
      <w:r>
        <w:rPr>
          <w:rFonts w:ascii="Times New Roman" w:hAnsi="Times New Roman" w:eastAsia="Times New Roman"/>
          <w:sz w:val="24"/>
          <w:lang w:eastAsia="ru-RU"/>
        </w:rPr>
        <w:t xml:space="preserve">ями</w:t>
      </w:r>
      <w:r>
        <w:rPr>
          <w:rFonts w:ascii="Times New Roman" w:hAnsi="Times New Roman" w:eastAsia="Times New Roman"/>
          <w:sz w:val="24"/>
          <w:lang w:eastAsia="ru-RU"/>
        </w:rPr>
        <w:t xml:space="preserve">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нес</w:t>
      </w:r>
      <w:r>
        <w:rPr>
          <w:rFonts w:ascii="Times New Roman" w:hAnsi="Times New Roman" w:eastAsia="Times New Roman"/>
          <w:sz w:val="24"/>
          <w:lang w:eastAsia="ru-RU"/>
        </w:rPr>
        <w:t xml:space="preserve">ут</w:t>
      </w:r>
      <w:r>
        <w:rPr>
          <w:rFonts w:ascii="Times New Roman" w:hAnsi="Times New Roman" w:eastAsia="Times New Roman"/>
          <w:sz w:val="24"/>
          <w:lang w:eastAsia="ru-RU"/>
        </w:rPr>
        <w:t xml:space="preserve"> ответственность за достижение плановых значений показателей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в части, </w:t>
      </w:r>
      <w:r>
        <w:rPr>
          <w:rFonts w:ascii="Times New Roman" w:hAnsi="Times New Roman" w:eastAsia="Times New Roman"/>
          <w:sz w:val="24"/>
          <w:lang w:eastAsia="ru-RU"/>
        </w:rPr>
        <w:t xml:space="preserve">их </w:t>
      </w:r>
      <w:r>
        <w:rPr>
          <w:rFonts w:ascii="Times New Roman" w:hAnsi="Times New Roman" w:eastAsia="Times New Roman"/>
          <w:sz w:val="24"/>
          <w:lang w:eastAsia="ru-RU"/>
        </w:rPr>
        <w:t xml:space="preserve">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формирует предложения по разработке проекта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внесению изменений в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муниципальную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рограмму;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в пределах своей компетенции участву</w:t>
      </w:r>
      <w:r>
        <w:rPr>
          <w:rFonts w:ascii="Times New Roman" w:hAnsi="Times New Roman" w:eastAsia="Times New Roman"/>
          <w:sz w:val="24"/>
          <w:lang w:eastAsia="ru-RU"/>
        </w:rPr>
        <w:t xml:space="preserve">ют</w:t>
      </w:r>
      <w:r>
        <w:rPr>
          <w:rFonts w:ascii="Times New Roman" w:hAnsi="Times New Roman" w:eastAsia="Times New Roman"/>
          <w:sz w:val="24"/>
          <w:lang w:eastAsia="ru-RU"/>
        </w:rPr>
        <w:t xml:space="preserve"> в разработке плана реализации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направля</w:t>
      </w:r>
      <w:r>
        <w:rPr>
          <w:rFonts w:ascii="Times New Roman" w:hAnsi="Times New Roman" w:eastAsia="Times New Roman"/>
          <w:sz w:val="24"/>
          <w:lang w:eastAsia="ru-RU"/>
        </w:rPr>
        <w:t xml:space="preserve">ю</w:t>
      </w:r>
      <w:r>
        <w:rPr>
          <w:rFonts w:ascii="Times New Roman" w:hAnsi="Times New Roman" w:eastAsia="Times New Roman"/>
          <w:sz w:val="24"/>
          <w:lang w:eastAsia="ru-RU"/>
        </w:rPr>
        <w:t xml:space="preserve">т </w:t>
      </w:r>
      <w:r>
        <w:rPr>
          <w:rFonts w:ascii="Times New Roman" w:hAnsi="Times New Roman" w:eastAsia="Times New Roman"/>
          <w:sz w:val="24"/>
          <w:lang w:eastAsia="ru-RU"/>
        </w:rPr>
        <w:t xml:space="preserve">Финансовому управлению </w:t>
      </w:r>
      <w:r>
        <w:rPr>
          <w:rFonts w:ascii="Times New Roman" w:hAnsi="Times New Roman" w:eastAsia="Times New Roman"/>
          <w:sz w:val="24"/>
          <w:lang w:eastAsia="ru-RU"/>
        </w:rPr>
        <w:t xml:space="preserve">соответствующие предложения;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представля</w:t>
      </w:r>
      <w:r>
        <w:rPr>
          <w:rFonts w:ascii="Times New Roman" w:hAnsi="Times New Roman" w:eastAsia="Times New Roman"/>
          <w:sz w:val="24"/>
          <w:lang w:eastAsia="ru-RU"/>
        </w:rPr>
        <w:t xml:space="preserve">ют</w:t>
      </w:r>
      <w:r>
        <w:rPr>
          <w:rFonts w:ascii="Times New Roman" w:hAnsi="Times New Roman" w:eastAsia="Times New Roman"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lang w:eastAsia="ru-RU"/>
        </w:rPr>
        <w:t xml:space="preserve">в финансовое управление в электронном виде в срок</w:t>
      </w:r>
      <w:r>
        <w:rPr>
          <w:rFonts w:ascii="Times New Roman" w:hAnsi="Times New Roman" w:eastAsia="Times New Roman"/>
          <w:sz w:val="24"/>
          <w:lang w:eastAsia="ru-RU"/>
        </w:rPr>
        <w:t xml:space="preserve"> и по формам, у</w:t>
      </w:r>
      <w:r>
        <w:rPr>
          <w:rFonts w:ascii="Times New Roman" w:hAnsi="Times New Roman" w:eastAsia="Times New Roman"/>
          <w:sz w:val="24"/>
          <w:lang w:eastAsia="ru-RU"/>
        </w:rPr>
        <w:t xml:space="preserve">становленны</w:t>
      </w:r>
      <w:r>
        <w:rPr>
          <w:rFonts w:ascii="Times New Roman" w:hAnsi="Times New Roman" w:eastAsia="Times New Roman"/>
          <w:sz w:val="24"/>
          <w:lang w:eastAsia="ru-RU"/>
        </w:rPr>
        <w:t xml:space="preserve">м</w:t>
      </w:r>
      <w:r>
        <w:rPr>
          <w:rFonts w:ascii="Times New Roman" w:hAnsi="Times New Roman" w:eastAsia="Times New Roman"/>
          <w:sz w:val="24"/>
          <w:lang w:eastAsia="ru-RU"/>
        </w:rPr>
        <w:t xml:space="preserve"> Порядком от </w:t>
      </w:r>
      <w:r>
        <w:rPr>
          <w:rFonts w:ascii="Times New Roman" w:hAnsi="Times New Roman" w:eastAsia="Times New Roman"/>
          <w:sz w:val="24"/>
          <w:lang w:eastAsia="ru-RU"/>
        </w:rPr>
        <w:t xml:space="preserve">18.09.2025 </w:t>
      </w:r>
      <w:r>
        <w:rPr>
          <w:rFonts w:ascii="Times New Roman" w:hAnsi="Times New Roman" w:eastAsia="Times New Roman"/>
          <w:sz w:val="24"/>
          <w:lang w:eastAsia="ru-RU"/>
        </w:rPr>
        <w:t xml:space="preserve">№</w:t>
      </w:r>
      <w:r>
        <w:rPr>
          <w:rFonts w:ascii="Times New Roman" w:hAnsi="Times New Roman" w:eastAsia="Times New Roman"/>
          <w:sz w:val="24"/>
          <w:lang w:eastAsia="ru-RU"/>
        </w:rPr>
        <w:t xml:space="preserve"> 1488</w:t>
      </w:r>
      <w:r>
        <w:rPr>
          <w:rFonts w:ascii="Times New Roman" w:hAnsi="Times New Roman" w:eastAsia="Times New Roman"/>
          <w:sz w:val="24"/>
          <w:lang w:eastAsia="ru-RU"/>
        </w:rPr>
        <w:t xml:space="preserve">, всю </w:t>
      </w:r>
      <w:r>
        <w:rPr>
          <w:rFonts w:ascii="Times New Roman" w:hAnsi="Times New Roman" w:eastAsia="Times New Roman"/>
          <w:sz w:val="24"/>
          <w:lang w:eastAsia="ru-RU"/>
        </w:rPr>
        <w:t xml:space="preserve">необходимую информацию для проведения мониторинга и оценки эффективности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Участники муниципальной программы: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осуществляют реализацию мероприятий муниципальной программы, участниками которых они являются;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представляют ответственному исполнителю муницип</w:t>
      </w:r>
      <w:r>
        <w:rPr>
          <w:rFonts w:ascii="Times New Roman" w:hAnsi="Times New Roman"/>
          <w:sz w:val="24"/>
          <w:szCs w:val="24"/>
        </w:rPr>
        <w:t xml:space="preserve">альной программы (Направления (подпрограммы)) и соисполнителям предложения при разработке проекта муниципальной программы и предложения по внесению в нее изменений в части мероприятий муниципальной программы, в реализации которых предполагается их участие;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представляют ответственному исполнителю муниципальной программы (Направления (подпрограммы)) и соисполнителям необходимую информацию для проведения мониторинга и оценки эффективности муниципальной программы.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Мониторинг выполнения муниципальной программы осуществляется по итогам за первый квартал, полугодие, девять месяцев текущего финансового года, а также по итогам прошедшего финансового года.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Результаты мониторинга отражаются в отчетах о ходе реализации муниципальной программы по итогам за первый квартал, полугодие, девять месяцев, а также годовых отчетах о ходе реализации и оценке эффективности муниципальных программ в соответствии с Порядком.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  <w:sectPr>
          <w:footnotePr/>
          <w:endnotePr/>
          <w:type w:val="nextPage"/>
          <w:pgSz w:w="11905" w:h="16838" w:orient="portrait"/>
          <w:pgMar w:top="993" w:right="993" w:bottom="1701" w:left="85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tbl>
      <w:tblPr>
        <w:tblW w:w="222" w:type="dxa"/>
        <w:tblInd w:w="10728" w:type="dxa"/>
        <w:tblLook w:val="01E0" w:firstRow="1" w:lastRow="1" w:firstColumn="1" w:lastColumn="1" w:noHBand="0" w:noVBand="0"/>
      </w:tblPr>
      <w:tblGrid>
        <w:gridCol w:w="222"/>
      </w:tblGrid>
      <w:tr>
        <w:tblPrEx/>
        <w:trPr/>
        <w:tc>
          <w:tcPr>
            <w:shd w:val="clear" w:color="auto" w:fill="auto"/>
            <w:tcW w:w="22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</w:p>
        </w:tc>
      </w:tr>
    </w:tbl>
    <w:p>
      <w:pPr>
        <w:ind w:firstLine="0"/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  <w:suppressLineNumbers w:val="0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С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ведения об источниках и методике расчета значений показателей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рограммы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ind w:firstLine="0"/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</w:rPr>
      </w:r>
    </w:p>
    <w:tbl>
      <w:tblPr>
        <w:tblW w:w="14168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3289"/>
        <w:gridCol w:w="1121"/>
        <w:gridCol w:w="1559"/>
        <w:gridCol w:w="2693"/>
        <w:gridCol w:w="2410"/>
        <w:gridCol w:w="1276"/>
        <w:gridCol w:w="1417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8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Наименование показателя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Единица измерения, временная характеристика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vertAlign w:val="superscript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Алгоритм расчета (формула)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Базовые показатели (используемые в формуле)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Метод сбора информации,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код формы отчетности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vertAlign w:val="superscript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Дата получения фактических значений показателей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Ответственный исполнитель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3" w:type="dxa"/>
            <w:vAlign w:val="center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765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Муниципальная программа «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Муниципальные финансы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»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8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Оценка долговой устойчивости Печенгского муниципального округа по итогам финансового года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уровень, 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Статья 107.1 Бюджетного кодекса Российской Федерации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Публикация перечней муниципальных образований Мурманской области по уровням долговой устойчивости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 сайте </w:t>
            </w:r>
            <w:hyperlink r:id="rId11" w:tooltip="https://minfin.gov-murman.ru/" w:history="1">
              <w:r>
                <w:rPr>
                  <w:rStyle w:val="958"/>
                  <w:rFonts w:ascii="Times New Roman" w:hAnsi="Times New Roman" w:eastAsia="Times New Roman"/>
                  <w:color w:val="0000ff"/>
                  <w:sz w:val="20"/>
                  <w:szCs w:val="20"/>
                  <w:lang w:eastAsia="ru-RU"/>
                </w:rPr>
                <w:t xml:space="preserve">https://minfin.gov-murman.ru/</w:t>
              </w:r>
            </w:hyperlink>
            <w:r>
              <w:rPr>
                <w:rFonts w:ascii="Times New Roman" w:hAnsi="Times New Roman" w:eastAsia="Times New Roman"/>
                <w:color w:val="0000f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(приказ Министерства финансов Мурманской области)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 мере проведения мониторинга Министерством финансов Мурманской области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89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Степень качества осуществления бюджетного процесса, присвоенная Печенгскому округу  Министерством финансов Мурманской области за предшествующий отчетному год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степень, 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Публикация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рейтинга качества управления бюджетным процессом в муниципальных образованиях Мурманской области по итогам отчетного финансового года на сайте </w:t>
            </w:r>
            <w:hyperlink r:id="rId12" w:tooltip="https://minfin.gov-murman.ru/" w:history="1">
              <w:r>
                <w:rPr>
                  <w:rStyle w:val="958"/>
                  <w:rFonts w:ascii="Times New Roman" w:hAnsi="Times New Roman" w:eastAsia="Times New Roman"/>
                  <w:color w:val="0000ff"/>
                  <w:sz w:val="20"/>
                  <w:szCs w:val="20"/>
                  <w:lang w:eastAsia="ru-RU"/>
                </w:rPr>
                <w:t xml:space="preserve">https://minfin.gov-murman.ru/</w:t>
              </w:r>
            </w:hyperlink>
            <w:r>
              <w:rPr>
                <w:rFonts w:ascii="Times New Roman" w:hAnsi="Times New Roman" w:eastAsia="Times New Roman"/>
                <w:color w:val="0000f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июнь-июль, следующего за отчетным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89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обслужива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емых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органов местного самоуправления и муниципальных учреждений в сфере бухгалтерского учета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ед., 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у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учреждений, заключивших договоры на бухгалтерское обслуживание с централизованной бухгалтерией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январь, следующ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за отчетным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28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Выполнение контрольных мероприятий к общему числу запланированных мероприятий в части осуществления внутреннего финансового контроля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 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КМ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пл 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 КМ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ф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*100                                                                                                           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КМ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пл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– утвержденный план контрольных мероприятий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в 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 м году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КРО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 1 апреля года, следующего за отчетным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КРО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0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КМ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ф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акт 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ыполнени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контрольных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в 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 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году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765" w:type="dxa"/>
            <w:vAlign w:val="center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Направление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(подпрограмма)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  <w:t xml:space="preserve">«Выполнение условий для устойчивого исполнения бюджета округа»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28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Исполнение расходных обязательств от утвержденных параметров бюджета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 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БА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val="en-US" w:eastAsia="ru-RU"/>
              </w:rPr>
              <w:t xml:space="preserve">i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 КР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* 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БА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– Бюджетные ассигнования, утвержденные сводной бюджетной росписью на 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й год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об исполнении бюджета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округа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  <w:br/>
              <w:t xml:space="preserve">(ф. 0503117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Январь, следующий за отчетным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КР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– кассовые расходы за 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89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Результаты мониторинга информации, размещенной в ЕПБС финансовым органом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 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Мониторинг УФК по Мурманской области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соответствии с приказом Минфина России </w:t>
              <w:br/>
              <w:t xml:space="preserve">от 28.12.2016 № 243н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Январь,  следующий за отчетным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28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Отношение муниципального долга муниципального образования к доходам бюджета округа без учета объема безвозмездных поступлений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 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Дi / (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Хi - БПi)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*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Дi - объем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муниципального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долга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Печенгского муниципального округа по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состоянию на 1 января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года, следующего за i-м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об исполнении бюджета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округа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(ф. 0503117)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публикация выписки из муниципальной долговой книги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Печенгского муниципального округа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на сайте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Печенгского муниципального округа в сети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нтернет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Январь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следующий за отчетным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40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ДОХi - объем доходов  бюджета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округа в i-м году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БПi - объем безвозмездных поступлений в бюджет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округа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 i-м году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765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Направление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(подпрограмма)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  <w:t xml:space="preserve">Повышение качества ведения учета и составления отчетности 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28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Оценка качества финансового менеджмента главных распорядителей средств бюджета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балл, 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/>
            <m:oMathPara>
              <m:oMathParaPr/>
              <m:oMath>
                <m:f>
                  <m:fPr>
                    <m:ctrlPr>
                      <w:rPr>
                        <w:rFonts w:ascii="Cambria Math" w:hAnsi="Cambria Math" w:eastAsia="Times New Roman"/>
                        <w:sz w:val="20"/>
                        <w:szCs w:val="20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eastAsia="Times New Roman"/>
                            <w:sz w:val="20"/>
                            <w:szCs w:val="20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eastAsia="Times New Roman"/>
                            <w:sz w:val="20"/>
                            <w:szCs w:val="20"/>
                            <w:lang w:eastAsia="ru-RU"/>
                          </w:rPr>
                          <m:rPr>
                            <m:sty m:val="p"/>
                          </m:rPr>
                          <m:t>SUM R</m:t>
                        </m:r>
                      </m:e>
                      <m:sub>
                        <m:r>
                          <w:rPr>
                            <w:rFonts w:ascii="Cambria Math" w:hAnsi="Cambria Math" w:eastAsia="Times New Roman"/>
                            <w:sz w:val="20"/>
                            <w:szCs w:val="20"/>
                            <w:lang w:val="en-US" w:eastAsia="ru-RU"/>
                          </w:rPr>
                          <m:rPr/>
                          <m:t>i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eastAsia="Times New Roman"/>
                        <w:sz w:val="20"/>
                        <w:szCs w:val="20"/>
                        <w:lang w:eastAsia="ru-RU"/>
                      </w:rPr>
                      <m:rPr>
                        <m:sty m:val="p"/>
                      </m:rPr>
                      <m:t>n</m:t>
                    </m:r>
                  </m:den>
                </m:f>
              </m:oMath>
            </m:oMathPara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SUM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R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– сумма рейтинговых оценок главных 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а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дминистраторов, принявших участие в мониторинге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орядок проведения мониторинга качества финансового менеджмента главных распорядителей средств бюджета округа, утвержденный приказом финансового управления от 16.08.2022 № 104. Публикация на сайте Печенгского муниципального округа в сети Интернет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 20-го июня года, следующего за отчетным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управление,  КРО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n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- количество главных администраторов, принявших участие в мониторинге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07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8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Соблюдение установленных законодательством Российской Федерации требований о сроках и составе отчетности об исполнении бюджета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ш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/ МУ * 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МУ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ш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–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муниципальные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учреждения с нарушением состава и срока сдачи отчетности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Инструкция о порядке составления, представления годовой, квартальной бухгалтерской отчетности муниципальных бюджетных и автономных 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(33н)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Инструкция о порядке составления и представления годовой, квартальной и месячной отчетности об исполнении бюджетов бюджетной системы РФ (191н), приказ финансового управления </w:t>
              <w:br/>
              <w:t xml:space="preserve">от 30.12.2022 № 177 </w:t>
              <w:br/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 сроках предоставления главными распорядителями средств бюджета округа, главными администраторами доходов бюджета округа, глав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ными администраторами источников финансирования дефицита бюджета округа консолидированной месячной, квартальной и годовой бюджетной отчетности, консолидированной квартальной и годовой бухгалтерской отчетности муниципальных бюджетных и автономных 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3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0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8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МУ – общее количество муниципальных учреждений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contextualSpacing/>
        <w:jc w:val="both"/>
        <w:spacing w:after="0" w:line="288" w:lineRule="atLeast"/>
        <w:rPr>
          <w:rFonts w:ascii="Times New Roman" w:hAnsi="Times New Roman" w:eastAsia="Times New Roman"/>
          <w:sz w:val="18"/>
          <w:szCs w:val="18"/>
          <w:lang w:eastAsia="ru-RU"/>
        </w:rPr>
      </w:pPr>
      <w:r/>
      <w:bookmarkStart w:id="4" w:name="p124"/>
      <w:r/>
      <w:bookmarkEnd w:id="4"/>
      <w:r>
        <w:rPr>
          <w:rFonts w:ascii="Times New Roman" w:hAnsi="Times New Roman" w:eastAsia="Times New Roman"/>
          <w:sz w:val="18"/>
          <w:szCs w:val="18"/>
          <w:vertAlign w:val="superscript"/>
          <w:lang w:eastAsia="ru-RU"/>
        </w:rPr>
        <w:t xml:space="preserve">4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Ежегодно, нарастающим итогом, убывающим итогом. 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vertAlign w:val="superscript"/>
          <w:lang w:eastAsia="ru-RU"/>
        </w:rPr>
        <w:t xml:space="preserve">5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Указываются методы: статистическая отчетность, социологический опрос, прочие (указать). 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b/>
          <w:sz w:val="18"/>
          <w:szCs w:val="18"/>
          <w:highlight w:val="yellow"/>
          <w:lang w:eastAsia="ru-RU"/>
        </w:rPr>
        <w:sectPr>
          <w:footnotePr/>
          <w:endnotePr/>
          <w:type w:val="nextPage"/>
          <w:pgSz w:w="16838" w:h="11905" w:orient="landscape"/>
          <w:pgMar w:top="851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/>
          <w:sz w:val="18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18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18"/>
          <w:szCs w:val="18"/>
          <w:highlight w:val="yellow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851" w:right="848" w:bottom="1701" w:left="709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</w:font>
  <w:font w:name="SimSun">
    <w:panose1 w:val="02010600030101010101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6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3"/>
  </w:num>
  <w:num w:numId="4">
    <w:abstractNumId w:val="9"/>
  </w:num>
  <w:num w:numId="5">
    <w:abstractNumId w:val="11"/>
  </w:num>
  <w:num w:numId="6">
    <w:abstractNumId w:val="8"/>
  </w:num>
  <w:num w:numId="7">
    <w:abstractNumId w:val="10"/>
  </w:num>
  <w:num w:numId="8">
    <w:abstractNumId w:val="12"/>
  </w:num>
  <w:num w:numId="9">
    <w:abstractNumId w:val="5"/>
  </w:num>
  <w:num w:numId="10">
    <w:abstractNumId w:val="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3">
    <w:name w:val="Heading 4 Char"/>
    <w:basedOn w:val="724"/>
    <w:link w:val="718"/>
    <w:uiPriority w:val="9"/>
    <w:rPr>
      <w:rFonts w:ascii="Arial" w:hAnsi="Arial" w:eastAsia="Arial" w:cs="Arial"/>
      <w:b/>
      <w:bCs/>
      <w:sz w:val="26"/>
      <w:szCs w:val="26"/>
    </w:rPr>
  </w:style>
  <w:style w:type="character" w:styleId="684">
    <w:name w:val="Heading 5 Char"/>
    <w:basedOn w:val="72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685">
    <w:name w:val="Heading 6 Char"/>
    <w:basedOn w:val="72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686">
    <w:name w:val="Heading 7 Char"/>
    <w:basedOn w:val="724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7">
    <w:name w:val="Heading 8 Char"/>
    <w:basedOn w:val="72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688">
    <w:name w:val="Heading 9 Char"/>
    <w:basedOn w:val="72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character" w:styleId="689">
    <w:name w:val="Title Char"/>
    <w:basedOn w:val="724"/>
    <w:link w:val="736"/>
    <w:uiPriority w:val="10"/>
    <w:rPr>
      <w:sz w:val="48"/>
      <w:szCs w:val="48"/>
    </w:rPr>
  </w:style>
  <w:style w:type="character" w:styleId="690">
    <w:name w:val="Subtitle Char"/>
    <w:basedOn w:val="724"/>
    <w:link w:val="738"/>
    <w:uiPriority w:val="11"/>
    <w:rPr>
      <w:sz w:val="24"/>
      <w:szCs w:val="24"/>
    </w:rPr>
  </w:style>
  <w:style w:type="character" w:styleId="691">
    <w:name w:val="Quote Char"/>
    <w:link w:val="740"/>
    <w:uiPriority w:val="29"/>
    <w:rPr>
      <w:i/>
    </w:rPr>
  </w:style>
  <w:style w:type="character" w:styleId="692">
    <w:name w:val="Intense Quote Char"/>
    <w:link w:val="742"/>
    <w:uiPriority w:val="30"/>
    <w:rPr>
      <w:i/>
    </w:rPr>
  </w:style>
  <w:style w:type="table" w:styleId="693">
    <w:name w:val="Plain Table 1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4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2">
    <w:name w:val="Grid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3">
    <w:name w:val="Grid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4">
    <w:name w:val="Grid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List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List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7">
    <w:name w:val="List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List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List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0">
    <w:name w:val="List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1">
    <w:name w:val="List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12">
    <w:name w:val="Footnote Text Char"/>
    <w:link w:val="872"/>
    <w:uiPriority w:val="99"/>
    <w:rPr>
      <w:sz w:val="18"/>
    </w:rPr>
  </w:style>
  <w:style w:type="character" w:styleId="713">
    <w:name w:val="Endnote Text Char"/>
    <w:link w:val="875"/>
    <w:uiPriority w:val="99"/>
    <w:rPr>
      <w:sz w:val="20"/>
    </w:rPr>
  </w:style>
  <w:style w:type="paragraph" w:styleId="714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15">
    <w:name w:val="Heading 1"/>
    <w:basedOn w:val="714"/>
    <w:link w:val="909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16">
    <w:name w:val="Heading 2"/>
    <w:basedOn w:val="714"/>
    <w:next w:val="714"/>
    <w:link w:val="910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17">
    <w:name w:val="Heading 3"/>
    <w:basedOn w:val="714"/>
    <w:next w:val="714"/>
    <w:link w:val="911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18">
    <w:name w:val="Heading 4"/>
    <w:basedOn w:val="714"/>
    <w:next w:val="714"/>
    <w:link w:val="73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9">
    <w:name w:val="Heading 5"/>
    <w:basedOn w:val="714"/>
    <w:next w:val="714"/>
    <w:link w:val="73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0">
    <w:name w:val="Heading 6"/>
    <w:basedOn w:val="714"/>
    <w:next w:val="714"/>
    <w:link w:val="73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21">
    <w:name w:val="Heading 7"/>
    <w:basedOn w:val="714"/>
    <w:next w:val="714"/>
    <w:link w:val="73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22">
    <w:name w:val="Heading 8"/>
    <w:basedOn w:val="714"/>
    <w:next w:val="714"/>
    <w:link w:val="73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23">
    <w:name w:val="Heading 9"/>
    <w:basedOn w:val="714"/>
    <w:next w:val="714"/>
    <w:link w:val="73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 w:default="1">
    <w:name w:val="Default Paragraph Font"/>
    <w:uiPriority w:val="1"/>
    <w:semiHidden/>
    <w:unhideWhenUsed/>
  </w:style>
  <w:style w:type="table" w:styleId="7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6" w:default="1">
    <w:name w:val="No List"/>
    <w:uiPriority w:val="99"/>
    <w:semiHidden/>
    <w:unhideWhenUsed/>
  </w:style>
  <w:style w:type="character" w:styleId="727" w:customStyle="1">
    <w:name w:val="Heading 1 Char"/>
    <w:basedOn w:val="724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Heading 2 Char"/>
    <w:basedOn w:val="724"/>
    <w:uiPriority w:val="9"/>
    <w:rPr>
      <w:rFonts w:ascii="Arial" w:hAnsi="Arial" w:eastAsia="Arial" w:cs="Arial"/>
      <w:sz w:val="34"/>
    </w:rPr>
  </w:style>
  <w:style w:type="character" w:styleId="729" w:customStyle="1">
    <w:name w:val="Heading 3 Char"/>
    <w:basedOn w:val="724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Заголовок 4 Знак"/>
    <w:basedOn w:val="724"/>
    <w:link w:val="718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Заголовок 5 Знак"/>
    <w:basedOn w:val="72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Заголовок 6 Знак"/>
    <w:basedOn w:val="72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Заголовок 7 Знак"/>
    <w:basedOn w:val="724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Заголовок 8 Знак"/>
    <w:basedOn w:val="72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Заголовок 9 Знак"/>
    <w:basedOn w:val="72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Title"/>
    <w:basedOn w:val="714"/>
    <w:next w:val="714"/>
    <w:link w:val="737"/>
    <w:uiPriority w:val="10"/>
    <w:qFormat/>
    <w:pPr>
      <w:contextualSpacing/>
      <w:spacing w:before="300"/>
    </w:pPr>
    <w:rPr>
      <w:sz w:val="48"/>
      <w:szCs w:val="48"/>
    </w:rPr>
  </w:style>
  <w:style w:type="character" w:styleId="737" w:customStyle="1">
    <w:name w:val="Заголовок Знак"/>
    <w:basedOn w:val="724"/>
    <w:link w:val="736"/>
    <w:uiPriority w:val="10"/>
    <w:rPr>
      <w:sz w:val="48"/>
      <w:szCs w:val="48"/>
    </w:rPr>
  </w:style>
  <w:style w:type="paragraph" w:styleId="738">
    <w:name w:val="Subtitle"/>
    <w:basedOn w:val="714"/>
    <w:next w:val="714"/>
    <w:link w:val="739"/>
    <w:uiPriority w:val="11"/>
    <w:qFormat/>
    <w:pPr>
      <w:spacing w:before="200"/>
    </w:pPr>
    <w:rPr>
      <w:sz w:val="24"/>
      <w:szCs w:val="24"/>
    </w:rPr>
  </w:style>
  <w:style w:type="character" w:styleId="739" w:customStyle="1">
    <w:name w:val="Подзаголовок Знак"/>
    <w:basedOn w:val="724"/>
    <w:link w:val="738"/>
    <w:uiPriority w:val="11"/>
    <w:rPr>
      <w:sz w:val="24"/>
      <w:szCs w:val="24"/>
    </w:rPr>
  </w:style>
  <w:style w:type="paragraph" w:styleId="740">
    <w:name w:val="Quote"/>
    <w:basedOn w:val="714"/>
    <w:next w:val="714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Цитата 2 Знак"/>
    <w:link w:val="740"/>
    <w:uiPriority w:val="29"/>
    <w:rPr>
      <w:i/>
    </w:rPr>
  </w:style>
  <w:style w:type="paragraph" w:styleId="742">
    <w:name w:val="Intense Quote"/>
    <w:basedOn w:val="714"/>
    <w:next w:val="714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Выделенная цитата Знак"/>
    <w:link w:val="742"/>
    <w:uiPriority w:val="30"/>
    <w:rPr>
      <w:i/>
    </w:rPr>
  </w:style>
  <w:style w:type="character" w:styleId="744" w:customStyle="1">
    <w:name w:val="Header Char"/>
    <w:basedOn w:val="724"/>
    <w:uiPriority w:val="99"/>
  </w:style>
  <w:style w:type="character" w:styleId="745" w:customStyle="1">
    <w:name w:val="Footer Char"/>
    <w:basedOn w:val="724"/>
    <w:uiPriority w:val="99"/>
  </w:style>
  <w:style w:type="character" w:styleId="746" w:customStyle="1">
    <w:name w:val="Caption Char"/>
    <w:uiPriority w:val="99"/>
  </w:style>
  <w:style w:type="table" w:styleId="747" w:customStyle="1">
    <w:name w:val="Table Grid Light"/>
    <w:basedOn w:val="72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8" w:customStyle="1">
    <w:name w:val="Таблица простая 11"/>
    <w:basedOn w:val="72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Таблица простая 21"/>
    <w:basedOn w:val="72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Таблица простая 31"/>
    <w:basedOn w:val="72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 w:customStyle="1">
    <w:name w:val="Таблица простая 41"/>
    <w:basedOn w:val="72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Таблица простая 51"/>
    <w:basedOn w:val="72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 w:customStyle="1">
    <w:name w:val="Таблица-сетка 1 светлая1"/>
    <w:basedOn w:val="72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1"/>
    <w:basedOn w:val="72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2"/>
    <w:basedOn w:val="72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3"/>
    <w:basedOn w:val="72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4"/>
    <w:basedOn w:val="72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5"/>
    <w:basedOn w:val="72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6"/>
    <w:basedOn w:val="72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-сетка 21"/>
    <w:basedOn w:val="72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1"/>
    <w:basedOn w:val="72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2"/>
    <w:basedOn w:val="72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3"/>
    <w:basedOn w:val="72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4"/>
    <w:basedOn w:val="72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5"/>
    <w:basedOn w:val="72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6"/>
    <w:basedOn w:val="72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Таблица-сетка 31"/>
    <w:basedOn w:val="72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1"/>
    <w:basedOn w:val="72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2"/>
    <w:basedOn w:val="72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3"/>
    <w:basedOn w:val="72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4"/>
    <w:basedOn w:val="72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5"/>
    <w:basedOn w:val="72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6"/>
    <w:basedOn w:val="72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Таблица-сетка 41"/>
    <w:basedOn w:val="72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 w:customStyle="1">
    <w:name w:val="Grid Table 4 - Accent 1"/>
    <w:basedOn w:val="72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6" w:customStyle="1">
    <w:name w:val="Grid Table 4 - Accent 2"/>
    <w:basedOn w:val="72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7" w:customStyle="1">
    <w:name w:val="Grid Table 4 - Accent 3"/>
    <w:basedOn w:val="72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8" w:customStyle="1">
    <w:name w:val="Grid Table 4 - Accent 4"/>
    <w:basedOn w:val="72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9" w:customStyle="1">
    <w:name w:val="Grid Table 4 - Accent 5"/>
    <w:basedOn w:val="72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0" w:customStyle="1">
    <w:name w:val="Grid Table 4 - Accent 6"/>
    <w:basedOn w:val="72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1" w:customStyle="1">
    <w:name w:val="Таблица-сетка 5 темная1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1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2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3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4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5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6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8" w:customStyle="1">
    <w:name w:val="Таблица-сетка 6 цветная1"/>
    <w:basedOn w:val="72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9" w:customStyle="1">
    <w:name w:val="Grid Table 6 Colorful - Accent 1"/>
    <w:basedOn w:val="72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0" w:customStyle="1">
    <w:name w:val="Grid Table 6 Colorful - Accent 2"/>
    <w:basedOn w:val="72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1" w:customStyle="1">
    <w:name w:val="Grid Table 6 Colorful - Accent 3"/>
    <w:basedOn w:val="72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2" w:customStyle="1">
    <w:name w:val="Grid Table 6 Colorful - Accent 4"/>
    <w:basedOn w:val="72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3" w:customStyle="1">
    <w:name w:val="Grid Table 6 Colorful - Accent 5"/>
    <w:basedOn w:val="72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Grid Table 6 Colorful - Accent 6"/>
    <w:basedOn w:val="72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Таблица-сетка 7 цветная1"/>
    <w:basedOn w:val="72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1"/>
    <w:basedOn w:val="72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2"/>
    <w:basedOn w:val="72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3"/>
    <w:basedOn w:val="72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4"/>
    <w:basedOn w:val="72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5"/>
    <w:basedOn w:val="72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6"/>
    <w:basedOn w:val="72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Список-таблица 1 светлая1"/>
    <w:basedOn w:val="72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1"/>
    <w:basedOn w:val="72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2"/>
    <w:basedOn w:val="72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3"/>
    <w:basedOn w:val="72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4"/>
    <w:basedOn w:val="72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5"/>
    <w:basedOn w:val="72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6"/>
    <w:basedOn w:val="72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Список-таблица 21"/>
    <w:basedOn w:val="72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1"/>
    <w:basedOn w:val="72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2"/>
    <w:basedOn w:val="72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3"/>
    <w:basedOn w:val="72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4"/>
    <w:basedOn w:val="72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5"/>
    <w:basedOn w:val="72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6"/>
    <w:basedOn w:val="72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6" w:customStyle="1">
    <w:name w:val="Список-таблица 31"/>
    <w:basedOn w:val="72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1"/>
    <w:basedOn w:val="72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2"/>
    <w:basedOn w:val="72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3"/>
    <w:basedOn w:val="72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4"/>
    <w:basedOn w:val="72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5"/>
    <w:basedOn w:val="72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6"/>
    <w:basedOn w:val="72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Список-таблица 41"/>
    <w:basedOn w:val="72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1"/>
    <w:basedOn w:val="72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2"/>
    <w:basedOn w:val="72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3"/>
    <w:basedOn w:val="72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4"/>
    <w:basedOn w:val="72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5"/>
    <w:basedOn w:val="72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6"/>
    <w:basedOn w:val="72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Список-таблица 5 темная1"/>
    <w:basedOn w:val="72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1"/>
    <w:basedOn w:val="72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2"/>
    <w:basedOn w:val="72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3"/>
    <w:basedOn w:val="72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4"/>
    <w:basedOn w:val="72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5"/>
    <w:basedOn w:val="72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6"/>
    <w:basedOn w:val="72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Список-таблица 6 цветная1"/>
    <w:basedOn w:val="72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8" w:customStyle="1">
    <w:name w:val="List Table 6 Colorful - Accent 1"/>
    <w:basedOn w:val="72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9" w:customStyle="1">
    <w:name w:val="List Table 6 Colorful - Accent 2"/>
    <w:basedOn w:val="72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List Table 6 Colorful - Accent 3"/>
    <w:basedOn w:val="72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1" w:customStyle="1">
    <w:name w:val="List Table 6 Colorful - Accent 4"/>
    <w:basedOn w:val="72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List Table 6 Colorful - Accent 5"/>
    <w:basedOn w:val="72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3" w:customStyle="1">
    <w:name w:val="List Table 6 Colorful - Accent 6"/>
    <w:basedOn w:val="72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4" w:customStyle="1">
    <w:name w:val="Список-таблица 7 цветная1"/>
    <w:basedOn w:val="72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1"/>
    <w:basedOn w:val="72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2"/>
    <w:basedOn w:val="72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3"/>
    <w:basedOn w:val="72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4"/>
    <w:basedOn w:val="72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5"/>
    <w:basedOn w:val="72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6"/>
    <w:basedOn w:val="72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ned - Accent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Lined - Accent 1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Lined - Accent 2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Lined - Accent 3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Lined - Accent 4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Lined - Accent 5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Lined - Accent 6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 &amp; Lined - Accent"/>
    <w:basedOn w:val="72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Bordered &amp; Lined - Accent 1"/>
    <w:basedOn w:val="72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Bordered &amp; Lined - Accent 2"/>
    <w:basedOn w:val="72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Bordered &amp; Lined - Accent 3"/>
    <w:basedOn w:val="72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Bordered &amp; Lined - Accent 4"/>
    <w:basedOn w:val="72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Bordered &amp; Lined - Accent 5"/>
    <w:basedOn w:val="72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Bordered &amp; Lined - Accent 6"/>
    <w:basedOn w:val="72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"/>
    <w:basedOn w:val="72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6" w:customStyle="1">
    <w:name w:val="Bordered - Accent 1"/>
    <w:basedOn w:val="72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7" w:customStyle="1">
    <w:name w:val="Bordered - Accent 2"/>
    <w:basedOn w:val="72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8" w:customStyle="1">
    <w:name w:val="Bordered - Accent 3"/>
    <w:basedOn w:val="72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9" w:customStyle="1">
    <w:name w:val="Bordered - Accent 4"/>
    <w:basedOn w:val="72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0" w:customStyle="1">
    <w:name w:val="Bordered - Accent 5"/>
    <w:basedOn w:val="72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1" w:customStyle="1">
    <w:name w:val="Bordered - Accent 6"/>
    <w:basedOn w:val="72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2">
    <w:name w:val="footnote text"/>
    <w:basedOn w:val="714"/>
    <w:link w:val="873"/>
    <w:uiPriority w:val="99"/>
    <w:semiHidden/>
    <w:unhideWhenUsed/>
    <w:pPr>
      <w:spacing w:after="40" w:line="240" w:lineRule="auto"/>
    </w:pPr>
    <w:rPr>
      <w:sz w:val="18"/>
    </w:rPr>
  </w:style>
  <w:style w:type="character" w:styleId="873" w:customStyle="1">
    <w:name w:val="Текст сноски Знак"/>
    <w:link w:val="872"/>
    <w:uiPriority w:val="99"/>
    <w:rPr>
      <w:sz w:val="18"/>
    </w:rPr>
  </w:style>
  <w:style w:type="character" w:styleId="874">
    <w:name w:val="footnote reference"/>
    <w:basedOn w:val="724"/>
    <w:uiPriority w:val="99"/>
    <w:unhideWhenUsed/>
    <w:rPr>
      <w:vertAlign w:val="superscript"/>
    </w:rPr>
  </w:style>
  <w:style w:type="paragraph" w:styleId="875">
    <w:name w:val="endnote text"/>
    <w:basedOn w:val="714"/>
    <w:link w:val="876"/>
    <w:uiPriority w:val="99"/>
    <w:semiHidden/>
    <w:unhideWhenUsed/>
    <w:pPr>
      <w:spacing w:after="0" w:line="240" w:lineRule="auto"/>
    </w:pPr>
    <w:rPr>
      <w:sz w:val="20"/>
    </w:rPr>
  </w:style>
  <w:style w:type="character" w:styleId="876" w:customStyle="1">
    <w:name w:val="Текст концевой сноски Знак"/>
    <w:link w:val="875"/>
    <w:uiPriority w:val="99"/>
    <w:rPr>
      <w:sz w:val="20"/>
    </w:rPr>
  </w:style>
  <w:style w:type="character" w:styleId="877">
    <w:name w:val="endnote reference"/>
    <w:basedOn w:val="724"/>
    <w:uiPriority w:val="99"/>
    <w:semiHidden/>
    <w:unhideWhenUsed/>
    <w:rPr>
      <w:vertAlign w:val="superscript"/>
    </w:rPr>
  </w:style>
  <w:style w:type="paragraph" w:styleId="878">
    <w:name w:val="toc 1"/>
    <w:basedOn w:val="714"/>
    <w:next w:val="714"/>
    <w:uiPriority w:val="39"/>
    <w:unhideWhenUsed/>
    <w:pPr>
      <w:spacing w:after="57"/>
    </w:pPr>
  </w:style>
  <w:style w:type="paragraph" w:styleId="879">
    <w:name w:val="toc 2"/>
    <w:basedOn w:val="714"/>
    <w:next w:val="714"/>
    <w:uiPriority w:val="39"/>
    <w:unhideWhenUsed/>
    <w:pPr>
      <w:ind w:left="283"/>
      <w:spacing w:after="57"/>
    </w:pPr>
  </w:style>
  <w:style w:type="paragraph" w:styleId="880">
    <w:name w:val="toc 3"/>
    <w:basedOn w:val="714"/>
    <w:next w:val="714"/>
    <w:uiPriority w:val="39"/>
    <w:unhideWhenUsed/>
    <w:pPr>
      <w:ind w:left="567"/>
      <w:spacing w:after="57"/>
    </w:pPr>
  </w:style>
  <w:style w:type="paragraph" w:styleId="881">
    <w:name w:val="toc 4"/>
    <w:basedOn w:val="714"/>
    <w:next w:val="714"/>
    <w:uiPriority w:val="39"/>
    <w:unhideWhenUsed/>
    <w:pPr>
      <w:ind w:left="850"/>
      <w:spacing w:after="57"/>
    </w:pPr>
  </w:style>
  <w:style w:type="paragraph" w:styleId="882">
    <w:name w:val="toc 5"/>
    <w:basedOn w:val="714"/>
    <w:next w:val="714"/>
    <w:uiPriority w:val="39"/>
    <w:unhideWhenUsed/>
    <w:pPr>
      <w:ind w:left="1134"/>
      <w:spacing w:after="57"/>
    </w:pPr>
  </w:style>
  <w:style w:type="paragraph" w:styleId="883">
    <w:name w:val="toc 6"/>
    <w:basedOn w:val="714"/>
    <w:next w:val="714"/>
    <w:uiPriority w:val="39"/>
    <w:unhideWhenUsed/>
    <w:pPr>
      <w:ind w:left="1417"/>
      <w:spacing w:after="57"/>
    </w:pPr>
  </w:style>
  <w:style w:type="paragraph" w:styleId="884">
    <w:name w:val="toc 7"/>
    <w:basedOn w:val="714"/>
    <w:next w:val="714"/>
    <w:uiPriority w:val="39"/>
    <w:unhideWhenUsed/>
    <w:pPr>
      <w:ind w:left="1701"/>
      <w:spacing w:after="57"/>
    </w:pPr>
  </w:style>
  <w:style w:type="paragraph" w:styleId="885">
    <w:name w:val="toc 8"/>
    <w:basedOn w:val="714"/>
    <w:next w:val="714"/>
    <w:uiPriority w:val="39"/>
    <w:unhideWhenUsed/>
    <w:pPr>
      <w:ind w:left="1984"/>
      <w:spacing w:after="57"/>
    </w:pPr>
  </w:style>
  <w:style w:type="paragraph" w:styleId="886">
    <w:name w:val="toc 9"/>
    <w:basedOn w:val="714"/>
    <w:next w:val="714"/>
    <w:uiPriority w:val="39"/>
    <w:unhideWhenUsed/>
    <w:pPr>
      <w:ind w:left="2268"/>
      <w:spacing w:after="57"/>
    </w:pPr>
  </w:style>
  <w:style w:type="paragraph" w:styleId="887">
    <w:name w:val="TOC Heading"/>
    <w:uiPriority w:val="39"/>
    <w:unhideWhenUsed/>
  </w:style>
  <w:style w:type="paragraph" w:styleId="888">
    <w:name w:val="table of figures"/>
    <w:basedOn w:val="714"/>
    <w:next w:val="714"/>
    <w:uiPriority w:val="99"/>
    <w:unhideWhenUsed/>
    <w:pPr>
      <w:spacing w:after="0"/>
    </w:pPr>
  </w:style>
  <w:style w:type="paragraph" w:styleId="889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0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1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92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93" w:customStyle="1">
    <w:name w:val="МОН Знак"/>
    <w:link w:val="894"/>
    <w:rPr>
      <w:sz w:val="24"/>
      <w:szCs w:val="24"/>
    </w:rPr>
  </w:style>
  <w:style w:type="paragraph" w:styleId="894" w:customStyle="1">
    <w:name w:val="МОН"/>
    <w:basedOn w:val="714"/>
    <w:link w:val="893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895">
    <w:name w:val="Strong"/>
    <w:qFormat/>
    <w:rPr>
      <w:b/>
      <w:bCs/>
    </w:rPr>
  </w:style>
  <w:style w:type="paragraph" w:styleId="896">
    <w:name w:val="List Paragraph"/>
    <w:basedOn w:val="714"/>
    <w:qFormat/>
    <w:pPr>
      <w:contextualSpacing/>
      <w:ind w:left="720"/>
    </w:pPr>
  </w:style>
  <w:style w:type="character" w:styleId="897" w:customStyle="1">
    <w:name w:val="Основной текст_"/>
    <w:link w:val="898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898" w:customStyle="1">
    <w:name w:val="Основной текст2"/>
    <w:basedOn w:val="714"/>
    <w:link w:val="897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899">
    <w:name w:val="Body Text 2"/>
    <w:basedOn w:val="714"/>
    <w:link w:val="900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0" w:customStyle="1">
    <w:name w:val="Основной текст 2 Знак"/>
    <w:link w:val="899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1">
    <w:name w:val="Footer"/>
    <w:basedOn w:val="714"/>
    <w:link w:val="902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02" w:customStyle="1">
    <w:name w:val="Нижний колонтитул Знак"/>
    <w:link w:val="901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03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04" w:customStyle="1">
    <w:name w:val="32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5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06">
    <w:name w:val="Normal (Web)"/>
    <w:basedOn w:val="714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07">
    <w:name w:val="Body Text Indent"/>
    <w:basedOn w:val="714"/>
    <w:link w:val="908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08" w:customStyle="1">
    <w:name w:val="Основной текст с отступом Знак"/>
    <w:link w:val="907"/>
    <w:rPr>
      <w:rFonts w:ascii="Times New Roman" w:hAnsi="Times New Roman" w:eastAsia="Times New Roman" w:cs="Times New Roman"/>
      <w:sz w:val="24"/>
      <w:szCs w:val="24"/>
    </w:rPr>
  </w:style>
  <w:style w:type="character" w:styleId="909" w:customStyle="1">
    <w:name w:val="Заголовок 1 Знак"/>
    <w:link w:val="715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0" w:customStyle="1">
    <w:name w:val="Заголовок 2 Знак"/>
    <w:link w:val="716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1" w:customStyle="1">
    <w:name w:val="Заголовок 3 Знак"/>
    <w:link w:val="717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12">
    <w:name w:val="Table Grid"/>
    <w:basedOn w:val="725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3">
    <w:name w:val="Balloon Text"/>
    <w:basedOn w:val="714"/>
    <w:link w:val="914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14" w:customStyle="1">
    <w:name w:val="Текст выноски Знак"/>
    <w:link w:val="913"/>
    <w:rPr>
      <w:rFonts w:ascii="Tahoma" w:hAnsi="Tahoma" w:eastAsia="Times New Roman" w:cs="Tahoma"/>
      <w:sz w:val="16"/>
      <w:szCs w:val="16"/>
      <w:lang w:eastAsia="ru-RU"/>
    </w:rPr>
  </w:style>
  <w:style w:type="paragraph" w:styleId="915">
    <w:name w:val="Header"/>
    <w:basedOn w:val="714"/>
    <w:link w:val="916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6" w:customStyle="1">
    <w:name w:val="Верхний колонтитул Знак"/>
    <w:link w:val="915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17">
    <w:name w:val="Emphasis"/>
    <w:qFormat/>
    <w:rPr>
      <w:i/>
      <w:iCs/>
    </w:rPr>
  </w:style>
  <w:style w:type="paragraph" w:styleId="918" w:customStyle="1">
    <w:name w:val="Содержимое таблицы"/>
    <w:basedOn w:val="714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19" w:customStyle="1">
    <w:name w:val="consplusnormal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0" w:customStyle="1">
    <w:name w:val="a2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1" w:customStyle="1">
    <w:name w:val="15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2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3" w:customStyle="1">
    <w:name w:val="h1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4" w:customStyle="1">
    <w:name w:val="msonospacing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5" w:customStyle="1">
    <w:name w:val="ac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6">
    <w:name w:val="Body Text 3"/>
    <w:basedOn w:val="714"/>
    <w:link w:val="92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7" w:customStyle="1">
    <w:name w:val="Основной текст 3 Знак"/>
    <w:link w:val="926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8">
    <w:name w:val="HTML Bottom of Form"/>
    <w:basedOn w:val="714"/>
    <w:next w:val="714"/>
    <w:link w:val="929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29" w:customStyle="1">
    <w:name w:val="z-Конец формы Знак"/>
    <w:link w:val="928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0" w:customStyle="1">
    <w:name w:val="Style16"/>
    <w:basedOn w:val="714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1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32">
    <w:name w:val="Caption"/>
    <w:basedOn w:val="714"/>
    <w:next w:val="714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33">
    <w:name w:val="Body Text"/>
    <w:basedOn w:val="714"/>
    <w:link w:val="934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4" w:customStyle="1">
    <w:name w:val="Основной текст Знак"/>
    <w:link w:val="93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5">
    <w:name w:val="Body Text Indent 2"/>
    <w:basedOn w:val="714"/>
    <w:link w:val="936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6" w:customStyle="1">
    <w:name w:val="Основной текст с отступом 2 Знак"/>
    <w:link w:val="93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7" w:customStyle="1">
    <w:name w:val="Заголовок №2_"/>
    <w:link w:val="938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38" w:customStyle="1">
    <w:name w:val="Заголовок №2"/>
    <w:basedOn w:val="714"/>
    <w:link w:val="937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39">
    <w:name w:val="No Spacing"/>
    <w:qFormat/>
    <w:rPr>
      <w:sz w:val="22"/>
      <w:szCs w:val="22"/>
      <w:lang w:eastAsia="en-US"/>
    </w:rPr>
  </w:style>
  <w:style w:type="paragraph" w:styleId="940" w:customStyle="1">
    <w:name w:val="Default"/>
    <w:rPr>
      <w:rFonts w:ascii="Arial" w:hAnsi="Arial" w:cs="Arial"/>
      <w:color w:val="000000"/>
      <w:sz w:val="24"/>
      <w:szCs w:val="24"/>
    </w:rPr>
  </w:style>
  <w:style w:type="paragraph" w:styleId="941" w:customStyle="1">
    <w:name w:val="msonormalcxspmiddle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42" w:customStyle="1">
    <w:name w:val="Нет списка1"/>
    <w:next w:val="726"/>
    <w:semiHidden/>
    <w:unhideWhenUsed/>
  </w:style>
  <w:style w:type="table" w:styleId="943" w:customStyle="1">
    <w:name w:val="Сетка таблицы1"/>
    <w:basedOn w:val="725"/>
    <w:next w:val="912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4" w:customStyle="1">
    <w:name w:val="Абзац списка1"/>
    <w:basedOn w:val="714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45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6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47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48" w:customStyle="1">
    <w:name w:val="Обычный (веб)18"/>
    <w:basedOn w:val="714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49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0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1" w:customStyle="1">
    <w:name w:val="Знак Знак2 Знак Знак Знак Знак Знак Знак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2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3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5">
    <w:name w:val="Body Text Indent 3"/>
    <w:basedOn w:val="714"/>
    <w:link w:val="956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56" w:customStyle="1">
    <w:name w:val="Основной текст с отступом 3 Знак"/>
    <w:link w:val="955"/>
    <w:uiPriority w:val="99"/>
    <w:semiHidden/>
    <w:rPr>
      <w:sz w:val="16"/>
      <w:szCs w:val="16"/>
    </w:rPr>
  </w:style>
  <w:style w:type="paragraph" w:styleId="957" w:customStyle="1">
    <w:name w:val="1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58">
    <w:name w:val="Hyperlink"/>
    <w:rPr>
      <w:strike w:val="0"/>
      <w:color w:val="808080"/>
      <w:u w:val="none"/>
    </w:rPr>
  </w:style>
  <w:style w:type="character" w:styleId="959" w:customStyle="1">
    <w:name w:val="blk"/>
  </w:style>
  <w:style w:type="character" w:styleId="960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1" w:customStyle="1">
    <w:name w:val="Знак Знак2 Знак Знак Знак Знак Знак Знак Знак Знак Знак Знак Знак Знак Знак Знак Знак Знак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minfin.gov-murman.ru/" TargetMode="External"/><Relationship Id="rId12" Type="http://schemas.openxmlformats.org/officeDocument/2006/relationships/hyperlink" Target="https://minfin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90E1E-66A7-42F3-BDB9-2E9711CD5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11</cp:revision>
  <dcterms:created xsi:type="dcterms:W3CDTF">2025-10-23T09:21:00Z</dcterms:created>
  <dcterms:modified xsi:type="dcterms:W3CDTF">2025-11-19T09:54:00Z</dcterms:modified>
</cp:coreProperties>
</file>