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left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12.11.2025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№ 1841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муниципальной программы </w:t>
      </w:r>
      <w:r>
        <w:rPr>
          <w:b/>
          <w:bCs/>
          <w:sz w:val="20"/>
          <w:szCs w:val="20"/>
        </w:rPr>
        <w:t xml:space="preserve">Печенгского</w:t>
      </w:r>
      <w:r>
        <w:rPr>
          <w:b/>
          <w:bCs/>
          <w:sz w:val="20"/>
          <w:szCs w:val="20"/>
        </w:rPr>
        <w:t xml:space="preserve">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«Э</w:t>
      </w:r>
      <w:r>
        <w:rPr>
          <w:rFonts w:eastAsia="TimesNewRomanPSMT"/>
          <w:b/>
          <w:bCs/>
          <w:sz w:val="20"/>
          <w:szCs w:val="20"/>
        </w:rPr>
        <w:t xml:space="preserve">кономический потенциал</w:t>
      </w:r>
      <w:r>
        <w:rPr>
          <w:b/>
          <w:bCs/>
          <w:sz w:val="20"/>
          <w:szCs w:val="20"/>
        </w:rPr>
        <w:t xml:space="preserve">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</w:t>
      </w:r>
      <w:r>
        <w:t xml:space="preserve">вуясь </w:t>
      </w:r>
      <w:r>
        <w:t xml:space="preserve">статьей 179 Бюджетного кодекса Российской Федерации,</w:t>
      </w:r>
      <w:r>
        <w:t xml:space="preserve"> </w:t>
      </w:r>
      <w:r>
        <w:br/>
      </w:r>
      <w:r>
        <w:t xml:space="preserve">Федеральным законом </w:t>
      </w:r>
      <w:r>
        <w:t xml:space="preserve">от 24.07.2007 № 209-ФЗ «О развитии малого и среднего предпринимательства в Российской Федерации», </w:t>
      </w:r>
      <w:r>
        <w:t xml:space="preserve">законом Мурманской области </w:t>
        <w:br/>
      </w:r>
      <w:r>
        <w:t xml:space="preserve">от 27.05.2008 № 977-01-ЗМО «О содействии развитию и государственной поддержке малого и среднего предпринимательства в Мурманской области», </w:t>
      </w:r>
      <w:r>
        <w:t xml:space="preserve">в соответствии с </w:t>
      </w:r>
      <w:r>
        <w:t xml:space="preserve">Порядком</w:t>
      </w:r>
      <w:r>
        <w:t xml:space="preserve">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утвержденным постановлением администрации </w:t>
      </w:r>
      <w:r>
        <w:t xml:space="preserve">Печенгского</w:t>
      </w:r>
      <w:r>
        <w:t xml:space="preserve"> муниципального округа от </w:t>
      </w:r>
      <w:r>
        <w:t xml:space="preserve">18.09.2025 № 1488</w:t>
      </w:r>
      <w:r>
        <w:t xml:space="preserve">,</w:t>
      </w:r>
      <w:r>
        <w:t xml:space="preserve"> в целях улучшения инвестиционного и предпринимательского климата, развития туризма в </w:t>
      </w:r>
      <w:r>
        <w:t xml:space="preserve">Печенгском</w:t>
      </w:r>
      <w:r>
        <w:t xml:space="preserve"> муниципальном округе</w:t>
      </w:r>
      <w:r>
        <w:t xml:space="preserve">,</w:t>
      </w:r>
      <w:r>
        <w:t xml:space="preserve"> 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Утвердить муниципальную программу </w:t>
      </w:r>
      <w:r>
        <w:t xml:space="preserve">Печенгского</w:t>
      </w:r>
      <w:r>
        <w:t xml:space="preserve"> муниципального округа «Экономический потенциал» на 2026 - 2028 годы 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 Настоящее постановление вступает в силу с 01 января 2026 года.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</w:pPr>
      <w:r>
        <w:t xml:space="preserve">3. 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</w:rPr>
      </w:pPr>
      <w:r>
        <w:t xml:space="preserve">4. Контроль за исполнением настоящего постановления возложить на заместителя Главы </w:t>
      </w:r>
      <w:r>
        <w:t xml:space="preserve">Печенгского</w:t>
      </w:r>
      <w:r>
        <w:t xml:space="preserve"> муниципального округа по экономике и финансам Ахметову М.Ю.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right="-5"/>
        <w:jc w:val="both"/>
        <w:widowControl w:val="off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778"/>
        <w:jc w:val="right"/>
        <w:outlineLvl w:val="1"/>
      </w:pPr>
      <w:r/>
      <w:r/>
    </w:p>
    <w:p>
      <w:pPr>
        <w:pStyle w:val="778"/>
        <w:ind w:left="5528"/>
        <w:jc w:val="both"/>
        <w:outlineLvl w:val="1"/>
        <w:suppressLineNumbers w:val="0"/>
      </w:pPr>
      <w:r>
        <w:t xml:space="preserve">Приложение</w:t>
      </w:r>
      <w:r/>
    </w:p>
    <w:p>
      <w:pPr>
        <w:pStyle w:val="778"/>
        <w:ind w:left="5528"/>
        <w:jc w:val="both"/>
        <w:suppressLineNumbers w:val="0"/>
      </w:pPr>
      <w:r>
        <w:t xml:space="preserve">к </w:t>
      </w:r>
      <w:r>
        <w:t xml:space="preserve">п</w:t>
      </w:r>
      <w:r>
        <w:t xml:space="preserve">остановлени</w:t>
      </w:r>
      <w:r>
        <w:t xml:space="preserve">ю</w:t>
      </w:r>
      <w:r>
        <w:t xml:space="preserve"> администрации</w:t>
      </w:r>
      <w:r/>
    </w:p>
    <w:p>
      <w:pPr>
        <w:pStyle w:val="778"/>
        <w:ind w:left="5528"/>
        <w:jc w:val="both"/>
        <w:suppressLineNumbers w:val="0"/>
      </w:pPr>
      <w:r>
        <w:t xml:space="preserve">Печенгского</w:t>
      </w:r>
      <w:r>
        <w:t xml:space="preserve"> муниципального округа</w:t>
      </w:r>
      <w:r/>
    </w:p>
    <w:p>
      <w:pPr>
        <w:pStyle w:val="778"/>
        <w:ind w:left="5528"/>
        <w:jc w:val="both"/>
        <w:suppressLineNumbers w:val="0"/>
      </w:pPr>
      <w:r>
        <w:t xml:space="preserve">от 12.11.2025</w:t>
      </w:r>
      <w:r>
        <w:t xml:space="preserve"> №</w:t>
      </w:r>
      <w:r>
        <w:t xml:space="preserve"> 1841</w:t>
      </w:r>
      <w:r/>
    </w:p>
    <w:p>
      <w:pPr>
        <w:pStyle w:val="778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53"/>
        <w:gridCol w:w="3969"/>
      </w:tblGrid>
      <w:tr>
        <w:tblPrEx/>
        <w:trPr/>
        <w:tc>
          <w:tcPr>
            <w:tcW w:w="5053" w:type="dxa"/>
            <w:textDirection w:val="lrTb"/>
            <w:noWrap w:val="false"/>
          </w:tcPr>
          <w:p>
            <w:pPr>
              <w:pStyle w:val="778"/>
            </w:pPr>
            <w:r/>
            <w:r/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778"/>
              <w:jc w:val="center"/>
            </w:pPr>
            <w:r/>
            <w:r/>
          </w:p>
        </w:tc>
      </w:tr>
    </w:tbl>
    <w:p>
      <w:pPr>
        <w:pStyle w:val="778"/>
        <w:jc w:val="both"/>
      </w:pPr>
      <w:r/>
      <w:r/>
    </w:p>
    <w:p>
      <w:pPr>
        <w:pStyle w:val="778"/>
        <w:jc w:val="both"/>
      </w:pPr>
      <w:r/>
      <w:r/>
    </w:p>
    <w:p>
      <w:pPr>
        <w:pStyle w:val="778"/>
        <w:jc w:val="center"/>
        <w:rPr>
          <w:b/>
          <w:sz w:val="28"/>
          <w:szCs w:val="28"/>
        </w:rPr>
      </w:pPr>
      <w:r/>
      <w:bookmarkStart w:id="1" w:name="P349"/>
      <w:r/>
      <w:bookmarkEnd w:id="1"/>
      <w:r>
        <w:rPr>
          <w:b/>
          <w:sz w:val="28"/>
          <w:szCs w:val="28"/>
        </w:rPr>
        <w:t xml:space="preserve">МУНИЦИПАЛЬНАЯ ПРОГРАММА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7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Печенгского</w:t>
      </w:r>
      <w:r>
        <w:rPr>
          <w:b/>
          <w:sz w:val="28"/>
          <w:szCs w:val="28"/>
        </w:rPr>
        <w:t xml:space="preserve"> муниципального округа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78"/>
        <w:jc w:val="center"/>
      </w:pPr>
      <w:r/>
      <w:r/>
    </w:p>
    <w:p>
      <w:pPr>
        <w:pStyle w:val="778"/>
        <w:jc w:val="center"/>
      </w:pPr>
      <w:r/>
      <w:r/>
    </w:p>
    <w:p>
      <w:pPr>
        <w:pStyle w:val="77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</w:t>
      </w:r>
      <w:r>
        <w:rPr>
          <w:b/>
          <w:sz w:val="28"/>
          <w:szCs w:val="28"/>
          <w:u w:val="single"/>
        </w:rPr>
        <w:t xml:space="preserve">Экономический потенциал»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77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778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778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778"/>
        <w:rPr>
          <w:szCs w:val="24"/>
        </w:rPr>
      </w:pPr>
      <w:r>
        <w:rPr>
          <w:szCs w:val="24"/>
        </w:rPr>
        <w:t xml:space="preserve">Срок реализации: 2026 – 2028 годы</w:t>
      </w:r>
      <w:r>
        <w:rPr>
          <w:szCs w:val="24"/>
        </w:rPr>
      </w:r>
      <w:r>
        <w:rPr>
          <w:szCs w:val="24"/>
        </w:rPr>
      </w:r>
    </w:p>
    <w:p>
      <w:pPr>
        <w:pStyle w:val="778"/>
        <w:jc w:val="both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outlineLvl w:val="1"/>
      </w:pPr>
      <w:r/>
      <w:r/>
    </w:p>
    <w:p>
      <w:pPr>
        <w:pStyle w:val="778"/>
        <w:jc w:val="both"/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778"/>
        <w:jc w:val="both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78"/>
        <w:jc w:val="both"/>
        <w:rPr>
          <w:highlight w:val="none"/>
        </w:rPr>
        <w:outlineLvl w:val="1"/>
      </w:pPr>
      <w:r>
        <w:t xml:space="preserve">Ответственный исполнитель муниципальной программы – </w:t>
      </w:r>
      <w:r>
        <w:t xml:space="preserve">Администрация </w:t>
      </w:r>
      <w:r>
        <w:t xml:space="preserve">Печенгского</w:t>
      </w:r>
      <w:r>
        <w:t xml:space="preserve"> муниципального округа </w:t>
      </w:r>
      <w:r>
        <w:t xml:space="preserve">(</w:t>
      </w:r>
      <w:r>
        <w:t xml:space="preserve">отдел экономического развития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)</w:t>
      </w:r>
      <w:r>
        <w:rPr>
          <w:highlight w:val="none"/>
        </w:rPr>
      </w:r>
    </w:p>
    <w:p>
      <w:pPr>
        <w:pStyle w:val="778"/>
        <w:jc w:val="right"/>
        <w:outlineLvl w:val="1"/>
      </w:pPr>
      <w:r/>
      <w:r/>
    </w:p>
    <w:p>
      <w:pPr>
        <w:pStyle w:val="778"/>
        <w:jc w:val="right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pStyle w:val="778"/>
        <w:jc w:val="both"/>
      </w:pPr>
      <w:r/>
      <w:r/>
    </w:p>
    <w:p>
      <w:pPr>
        <w:pStyle w:val="778"/>
        <w:jc w:val="center"/>
        <w:rPr>
          <w:b/>
        </w:rPr>
      </w:pPr>
      <w:r/>
      <w:bookmarkStart w:id="2" w:name="P366"/>
      <w:r/>
      <w:bookmarkEnd w:id="2"/>
      <w:r>
        <w:rPr>
          <w:b/>
        </w:rPr>
        <w:t xml:space="preserve">ПАСПОРТ</w:t>
      </w:r>
      <w:r>
        <w:rPr>
          <w:b/>
        </w:rPr>
      </w:r>
      <w:r>
        <w:rPr>
          <w:b/>
        </w:rPr>
      </w:r>
    </w:p>
    <w:p>
      <w:pPr>
        <w:pStyle w:val="778"/>
        <w:jc w:val="center"/>
      </w:pPr>
      <w:r>
        <w:t xml:space="preserve">муниципальной программы </w:t>
      </w:r>
      <w:r>
        <w:t xml:space="preserve">Печенгского</w:t>
      </w:r>
      <w:r>
        <w:t xml:space="preserve"> муниципального округа</w:t>
      </w:r>
      <w:r/>
    </w:p>
    <w:p>
      <w:pPr>
        <w:pStyle w:val="778"/>
        <w:jc w:val="both"/>
      </w:pPr>
      <w:r/>
      <w:r/>
    </w:p>
    <w:p>
      <w:pPr>
        <w:pStyle w:val="77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«Экономический потенциал»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77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Цель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Повышение предпринимательской и инвестиционной активности, в том числе в сфере туризма, в </w:t>
            </w:r>
            <w:r>
              <w:t xml:space="preserve">Печенгском</w:t>
            </w:r>
            <w:r>
              <w:t xml:space="preserve"> муниципальном округе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vMerge w:val="restart"/>
            <w:textDirection w:val="lrTb"/>
            <w:noWrap w:val="false"/>
          </w:tcPr>
          <w:p>
            <w:pPr>
              <w:pStyle w:val="778"/>
            </w:pPr>
            <w:r>
              <w:t xml:space="preserve">Перечень </w:t>
            </w:r>
            <w:r>
              <w:t xml:space="preserve">направлений (</w:t>
            </w:r>
            <w:r>
              <w:t xml:space="preserve">подпрограмм</w:t>
            </w:r>
            <w:r>
              <w:t xml:space="preserve">)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</w:t>
            </w:r>
            <w:r>
              <w:t xml:space="preserve">.</w:t>
            </w:r>
            <w:r>
              <w:t xml:space="preserve"> «</w:t>
            </w:r>
            <w:r>
              <w:t xml:space="preserve">Повышение инвестиционной привлекательности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» </w:t>
            </w:r>
            <w:r/>
          </w:p>
          <w:p>
            <w:pPr>
              <w:pStyle w:val="778"/>
              <w:jc w:val="both"/>
            </w:pPr>
            <w:r>
              <w:t xml:space="preserve">(</w:t>
            </w:r>
            <w:r>
              <w:t xml:space="preserve">О</w:t>
            </w:r>
            <w:r>
              <w:t xml:space="preserve">тветственный исполнитель</w:t>
            </w:r>
            <w:r>
              <w:t xml:space="preserve"> 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</w:t>
            </w:r>
            <w:r>
              <w:t xml:space="preserve">–</w:t>
            </w:r>
            <w:r>
              <w:t xml:space="preserve"> </w:t>
            </w:r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 (С</w:t>
            </w:r>
            <w:r>
              <w:t xml:space="preserve">ектор инвестиционной деятельности администрации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) (далее – Сектор инвестиционной деятельности)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vMerge w:val="continue"/>
            <w:textDirection w:val="lrTb"/>
            <w:noWrap w:val="false"/>
          </w:tcPr>
          <w:p>
            <w:pPr>
              <w:pStyle w:val="778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</w:t>
            </w:r>
            <w:r>
              <w:t xml:space="preserve">.</w:t>
            </w:r>
            <w:r>
              <w:t xml:space="preserve"> «Развитие туризма в </w:t>
            </w:r>
            <w:r>
              <w:t xml:space="preserve">Печенгском</w:t>
            </w:r>
            <w:r>
              <w:t xml:space="preserve"> муниципальном округе» </w:t>
            </w:r>
            <w:r/>
          </w:p>
          <w:p>
            <w:pPr>
              <w:pStyle w:val="778"/>
              <w:jc w:val="both"/>
            </w:pPr>
            <w:r>
              <w:t xml:space="preserve">(</w:t>
            </w:r>
            <w:r>
              <w:t xml:space="preserve">О</w:t>
            </w:r>
            <w:r>
              <w:t xml:space="preserve">тветственный исполнитель </w:t>
            </w:r>
            <w:r>
              <w:t xml:space="preserve">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– </w:t>
            </w:r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 (К</w:t>
            </w:r>
            <w:r>
              <w:t xml:space="preserve">онсультант по приграничному сотрудничеству администрации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) (далее – Консультант по приграничному сотрудничеству</w:t>
            </w:r>
            <w:r>
              <w:t xml:space="preserve">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778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3</w:t>
            </w:r>
            <w:r>
              <w:t xml:space="preserve">.</w:t>
            </w:r>
            <w:r>
              <w:t xml:space="preserve"> «</w:t>
            </w:r>
            <w:r>
              <w:t xml:space="preserve">Взаимодействие с СО НКО</w:t>
            </w:r>
            <w:r>
              <w:t xml:space="preserve">»</w:t>
            </w:r>
            <w:r/>
          </w:p>
          <w:p>
            <w:pPr>
              <w:pStyle w:val="778"/>
              <w:jc w:val="both"/>
            </w:pPr>
            <w:r>
              <w:t xml:space="preserve">(О</w:t>
            </w:r>
            <w:r>
              <w:t xml:space="preserve">тветственный исполнитель </w:t>
            </w:r>
            <w:r>
              <w:t xml:space="preserve">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</w:t>
            </w:r>
            <w:r>
              <w:t xml:space="preserve">–</w:t>
            </w:r>
            <w:r>
              <w:t xml:space="preserve"> </w:t>
            </w:r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 (О</w:t>
            </w:r>
            <w:r>
              <w:t xml:space="preserve">тдел экономического развития администрации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)</w:t>
            </w:r>
            <w:r>
              <w:t xml:space="preserve"> (далее – ОЭР)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2026 – 2028 годы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Финансовое обеспечение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Всего по программе </w:t>
            </w:r>
            <w:r>
              <w:rPr>
                <w:b/>
              </w:rPr>
              <w:t xml:space="preserve">1</w:t>
            </w:r>
            <w:r>
              <w:rPr>
                <w:b/>
                <w:lang w:val="en-US"/>
              </w:rPr>
              <w:t xml:space="preserve"> </w:t>
            </w:r>
            <w:r>
              <w:rPr>
                <w:b/>
              </w:rPr>
              <w:t xml:space="preserve">72</w:t>
            </w: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 8</w:t>
            </w:r>
            <w:r>
              <w:rPr>
                <w:b/>
              </w:rPr>
              <w:t xml:space="preserve">37</w:t>
            </w:r>
            <w:r>
              <w:rPr>
                <w:b/>
              </w:rPr>
              <w:t xml:space="preserve">,00 рублей,</w:t>
            </w:r>
            <w:r>
              <w:t xml:space="preserve"> в том числе:</w:t>
            </w:r>
            <w:r/>
          </w:p>
          <w:p>
            <w:pPr>
              <w:pStyle w:val="778"/>
            </w:pPr>
            <w:r>
              <w:t xml:space="preserve">МБ</w:t>
            </w:r>
            <w:r>
              <w:t xml:space="preserve"> </w:t>
            </w:r>
            <w:r>
              <w:t xml:space="preserve"> 1 611 000,00 рублей, из них:</w:t>
            </w:r>
            <w:r/>
          </w:p>
          <w:p>
            <w:pPr>
              <w:pStyle w:val="778"/>
            </w:pPr>
            <w:r>
              <w:t xml:space="preserve">2026 год: 537 000,00 рублей</w:t>
            </w:r>
            <w:r/>
          </w:p>
          <w:p>
            <w:pPr>
              <w:pStyle w:val="778"/>
            </w:pPr>
            <w:r>
              <w:t xml:space="preserve">2027 год: 537 000,00 рублей</w:t>
            </w:r>
            <w:r/>
          </w:p>
          <w:p>
            <w:pPr>
              <w:pStyle w:val="778"/>
            </w:pPr>
            <w:r>
              <w:t xml:space="preserve">2028 год: 537 000,00 рублей</w:t>
            </w:r>
            <w:r/>
          </w:p>
          <w:p>
            <w:pPr>
              <w:pStyle w:val="778"/>
            </w:pPr>
            <w:r>
              <w:t xml:space="preserve">ОБ </w:t>
            </w:r>
            <w:r>
              <w:t xml:space="preserve"> </w:t>
            </w:r>
            <w:r>
              <w:t xml:space="preserve">110 837</w:t>
            </w:r>
            <w:r>
              <w:t xml:space="preserve">,00 рублей, из них:</w:t>
            </w:r>
            <w:r/>
          </w:p>
          <w:p>
            <w:pPr>
              <w:pStyle w:val="778"/>
              <w:rPr>
                <w:color w:val="ff0000"/>
              </w:rPr>
            </w:pPr>
            <w:r>
              <w:t xml:space="preserve">2026 год: </w:t>
            </w:r>
            <w:r>
              <w:t xml:space="preserve">37 095</w:t>
            </w:r>
            <w:r>
              <w:t xml:space="preserve">,00 рублей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pStyle w:val="778"/>
              <w:rPr>
                <w:color w:val="ff0000"/>
              </w:rPr>
            </w:pPr>
            <w:r>
              <w:t xml:space="preserve">2027 год: </w:t>
            </w:r>
            <w:r>
              <w:t xml:space="preserve">36 817</w:t>
            </w:r>
            <w:r>
              <w:t xml:space="preserve">,00 рублей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pStyle w:val="778"/>
            </w:pPr>
            <w:r>
              <w:t xml:space="preserve">2028 год: </w:t>
            </w:r>
            <w:r>
              <w:t xml:space="preserve">36 925</w:t>
            </w:r>
            <w:r>
              <w:t xml:space="preserve">,00 рублей</w:t>
            </w:r>
            <w:r/>
          </w:p>
          <w:p>
            <w:pPr>
              <w:pStyle w:val="778"/>
            </w:pPr>
            <w:r>
              <w:t xml:space="preserve">ФБ</w:t>
            </w:r>
            <w:r>
              <w:t xml:space="preserve"> </w:t>
            </w:r>
            <w:r>
              <w:t xml:space="preserve"> 0,00 рублей, из них:</w:t>
            </w:r>
            <w:r/>
          </w:p>
          <w:p>
            <w:pPr>
              <w:pStyle w:val="778"/>
            </w:pPr>
            <w:r>
              <w:t xml:space="preserve">2026 год: 0,00 рублей</w:t>
            </w:r>
            <w:r/>
          </w:p>
          <w:p>
            <w:pPr>
              <w:pStyle w:val="778"/>
            </w:pPr>
            <w:r>
              <w:t xml:space="preserve">2027 год: 0,00 рублей</w:t>
            </w:r>
            <w:r/>
          </w:p>
          <w:p>
            <w:pPr>
              <w:pStyle w:val="778"/>
            </w:pPr>
            <w:r>
              <w:t xml:space="preserve">2028 год: 0,00 рублей</w:t>
            </w:r>
            <w:r/>
          </w:p>
          <w:p>
            <w:pPr>
              <w:pStyle w:val="778"/>
            </w:pPr>
            <w:r>
              <w:t xml:space="preserve">ВБС</w:t>
            </w:r>
            <w:r>
              <w:t xml:space="preserve"> </w:t>
            </w:r>
            <w:r>
              <w:t xml:space="preserve"> </w:t>
            </w:r>
            <w:r>
              <w:t xml:space="preserve">0,00</w:t>
            </w:r>
            <w:r>
              <w:t xml:space="preserve"> рублей, из них:</w:t>
            </w:r>
            <w:r/>
          </w:p>
          <w:p>
            <w:pPr>
              <w:pStyle w:val="778"/>
            </w:pPr>
            <w:r>
              <w:t xml:space="preserve">2026 год: 0,00 рублей</w:t>
            </w:r>
            <w:r/>
          </w:p>
          <w:p>
            <w:pPr>
              <w:pStyle w:val="778"/>
            </w:pPr>
            <w:r>
              <w:t xml:space="preserve">2027 год</w:t>
            </w:r>
            <w:r>
              <w:t xml:space="preserve">: 0,00 рублей</w:t>
            </w:r>
            <w:r/>
          </w:p>
          <w:p>
            <w:pPr>
              <w:pStyle w:val="778"/>
            </w:pPr>
            <w:r>
              <w:t xml:space="preserve">2028 год: 0,00 рублей</w:t>
            </w:r>
            <w:r/>
          </w:p>
        </w:tc>
      </w:tr>
      <w:tr>
        <w:tblPrEx/>
        <w:trPr>
          <w:trHeight w:val="3796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  <w:tabs>
                <w:tab w:val="left" w:pos="291" w:leader="none"/>
              </w:tabs>
            </w:pPr>
            <w:r>
              <w:t xml:space="preserve">1.</w:t>
            </w:r>
            <w:r>
              <w:t xml:space="preserve"> Ч</w:t>
            </w:r>
            <w:r>
              <w:t xml:space="preserve">исло субъектов малого и среднего предпринимательства (далее – субъектов МСП)</w:t>
            </w:r>
            <w:r>
              <w:t xml:space="preserve"> </w:t>
            </w:r>
            <w:r>
              <w:t xml:space="preserve">к концу 202</w:t>
            </w:r>
            <w:r>
              <w:t xml:space="preserve">8</w:t>
            </w:r>
            <w:r>
              <w:t xml:space="preserve"> года</w:t>
            </w:r>
            <w:r>
              <w:t xml:space="preserve"> </w:t>
            </w:r>
            <w:r>
              <w:t xml:space="preserve">до </w:t>
            </w:r>
            <w:r>
              <w:t xml:space="preserve">755</w:t>
            </w:r>
            <w:r>
              <w:t xml:space="preserve"> единиц.</w:t>
            </w:r>
            <w:r/>
          </w:p>
          <w:p>
            <w:pPr>
              <w:pStyle w:val="778"/>
              <w:jc w:val="both"/>
              <w:tabs>
                <w:tab w:val="left" w:pos="291" w:leader="none"/>
              </w:tabs>
            </w:pPr>
            <w:r>
              <w:t xml:space="preserve">2. </w:t>
            </w:r>
            <w:r>
              <w:t xml:space="preserve">О</w:t>
            </w:r>
            <w:r>
              <w:t xml:space="preserve">бъем инвестиций в основной капитал (</w:t>
            </w:r>
            <w:r>
              <w:t xml:space="preserve">без субъектов МСП</w:t>
            </w:r>
            <w:r>
              <w:t xml:space="preserve">) в </w:t>
            </w:r>
            <w:r>
              <w:t xml:space="preserve">2026 - </w:t>
            </w:r>
            <w:r>
              <w:t xml:space="preserve">202</w:t>
            </w:r>
            <w:r>
              <w:t xml:space="preserve">8</w:t>
            </w:r>
            <w:r>
              <w:t xml:space="preserve"> год</w:t>
            </w:r>
            <w:r>
              <w:t xml:space="preserve">ах</w:t>
            </w:r>
            <w:r>
              <w:t xml:space="preserve"> </w:t>
            </w:r>
            <w:r>
              <w:t xml:space="preserve">–</w:t>
            </w:r>
            <w:r>
              <w:t xml:space="preserve"> </w:t>
            </w:r>
            <w:r>
              <w:t xml:space="preserve">46 017,6</w:t>
            </w:r>
            <w:r>
              <w:t xml:space="preserve"> </w:t>
            </w:r>
            <w:r>
              <w:t xml:space="preserve">млн.</w:t>
            </w:r>
            <w:r>
              <w:t xml:space="preserve"> рублей.</w:t>
            </w:r>
            <w:r/>
          </w:p>
          <w:p>
            <w:pPr>
              <w:pStyle w:val="778"/>
              <w:jc w:val="both"/>
              <w:tabs>
                <w:tab w:val="left" w:pos="291" w:leader="none"/>
              </w:tabs>
            </w:pPr>
            <w:r>
              <w:t xml:space="preserve">3. Увеличение количества функционирующих </w:t>
            </w:r>
            <w:r>
              <w:t xml:space="preserve">коллективных средств размещения (далее – </w:t>
            </w:r>
            <w:r>
              <w:t xml:space="preserve">КСР</w:t>
            </w:r>
            <w:r>
              <w:t xml:space="preserve">)</w:t>
            </w:r>
            <w:r>
              <w:t xml:space="preserve"> </w:t>
            </w:r>
            <w:r>
              <w:t xml:space="preserve">к 2028</w:t>
            </w:r>
            <w:r>
              <w:t xml:space="preserve"> году до 1</w:t>
            </w:r>
            <w:r>
              <w:t xml:space="preserve">8</w:t>
            </w:r>
            <w:r>
              <w:t xml:space="preserve"> единиц.</w:t>
            </w:r>
            <w:r/>
          </w:p>
          <w:p>
            <w:pPr>
              <w:pStyle w:val="778"/>
              <w:jc w:val="both"/>
              <w:tabs>
                <w:tab w:val="left" w:pos="291" w:leader="none"/>
              </w:tabs>
            </w:pPr>
            <w:r>
              <w:t xml:space="preserve">4. Рост туристического потока (количеств</w:t>
            </w:r>
            <w:r>
              <w:t xml:space="preserve">а</w:t>
            </w:r>
            <w:r>
              <w:t xml:space="preserve"> лиц, размещенных в КСР) в </w:t>
            </w:r>
            <w:r>
              <w:t xml:space="preserve">Печенгском</w:t>
            </w:r>
            <w:r>
              <w:t xml:space="preserve"> муниципальном округе ежегодного на 5% к уровню предыдущего года.</w:t>
            </w:r>
            <w:r/>
          </w:p>
          <w:p>
            <w:pPr>
              <w:pStyle w:val="778"/>
              <w:jc w:val="both"/>
              <w:tabs>
                <w:tab w:val="left" w:pos="291" w:leader="none"/>
              </w:tabs>
            </w:pPr>
            <w:r>
              <w:t xml:space="preserve">5. Увеличение количества </w:t>
            </w:r>
            <w:r>
              <w:t xml:space="preserve">социально ориентированных некоммерческих организаций (далее - </w:t>
            </w:r>
            <w:r>
              <w:t xml:space="preserve">СО НКО</w:t>
            </w:r>
            <w:r>
              <w:t xml:space="preserve">)</w:t>
            </w:r>
            <w:r>
              <w:t xml:space="preserve">, осуществляющих деятельность на территории </w:t>
            </w:r>
            <w:r>
              <w:t xml:space="preserve">Печенгского</w:t>
            </w:r>
            <w:r>
              <w:t xml:space="preserve"> муниципального округа, в 202</w:t>
            </w:r>
            <w:r>
              <w:t xml:space="preserve">8</w:t>
            </w:r>
            <w:r>
              <w:t xml:space="preserve"> году до 2</w:t>
            </w:r>
            <w:r>
              <w:t xml:space="preserve">9</w:t>
            </w:r>
            <w:r>
              <w:t xml:space="preserve"> единиц.</w:t>
            </w:r>
            <w:r/>
          </w:p>
        </w:tc>
      </w:tr>
      <w:tr>
        <w:tblPrEx/>
        <w:trPr>
          <w:trHeight w:val="1196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ОЭР</w:t>
            </w:r>
            <w:r/>
          </w:p>
        </w:tc>
      </w:tr>
      <w:tr>
        <w:tblPrEx/>
        <w:trPr>
          <w:trHeight w:val="122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ОЭР, </w:t>
            </w:r>
            <w:r>
              <w:t xml:space="preserve">Комитет по управлению имуществом администрации </w:t>
            </w:r>
            <w:r>
              <w:t xml:space="preserve">Печенгского</w:t>
            </w:r>
            <w:r>
              <w:t xml:space="preserve"> муниципального округа Мурманской области (далее – КУИ),</w:t>
            </w:r>
            <w:r>
              <w:t xml:space="preserve"> о</w:t>
            </w:r>
            <w:r>
              <w:t xml:space="preserve">тдел образования администрации </w:t>
            </w:r>
            <w:r>
              <w:t xml:space="preserve">Печенгского</w:t>
            </w:r>
            <w:r>
              <w:t xml:space="preserve"> муниципального округа (далее – Отдел образования) 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778"/>
            </w:pPr>
            <w:r>
              <w:t xml:space="preserve">Связь с национальными, региональными проектами/государственными </w:t>
            </w:r>
            <w:r>
              <w:t xml:space="preserve">программами Мурманской области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778"/>
              <w:jc w:val="both"/>
            </w:pPr>
            <w:r>
              <w:t xml:space="preserve">Государственная программа Мурманской области «Экономический потенциал»,</w:t>
            </w:r>
            <w:r>
              <w:t xml:space="preserve"> </w:t>
            </w:r>
            <w:r>
              <w:t xml:space="preserve">Региональная программа патриотического воспитания Мурманской области</w:t>
            </w:r>
            <w:r/>
          </w:p>
        </w:tc>
      </w:tr>
    </w:tbl>
    <w:p>
      <w:pPr>
        <w:pStyle w:val="778"/>
        <w:contextualSpacing/>
        <w:jc w:val="both"/>
        <w:spacing w:before="240"/>
      </w:pPr>
      <w:r/>
      <w:bookmarkStart w:id="3" w:name="P439"/>
      <w:r/>
      <w:bookmarkEnd w:id="3"/>
      <w:r/>
      <w:r/>
    </w:p>
    <w:p>
      <w:pPr>
        <w:pStyle w:val="778"/>
        <w:contextualSpacing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78"/>
        <w:contextualSpacing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78"/>
        <w:contextualSpacing/>
        <w:jc w:val="center"/>
        <w:rPr>
          <w:b/>
        </w:rPr>
      </w:pPr>
      <w:r>
        <w:rPr>
          <w:b/>
        </w:rPr>
        <w:t xml:space="preserve">1. Приоритеты и задачи муниципального управления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pStyle w:val="778"/>
        <w:contextualSpacing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rFonts w:eastAsiaTheme="minorEastAsia"/>
        </w:rPr>
      </w:pPr>
      <w:r>
        <w:rPr>
          <w:rFonts w:eastAsiaTheme="minorEastAsia"/>
        </w:rPr>
        <w:t xml:space="preserve">Приоритеты муниципального управления в сфере реализации муниципальной программы «Экономический потенциал» определены на основе: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9"/>
        <w:jc w:val="both"/>
        <w:rPr>
          <w:rFonts w:eastAsiaTheme="minorEastAsia"/>
        </w:rPr>
      </w:pPr>
      <w:r>
        <w:rPr>
          <w:rFonts w:eastAsiaTheme="minorEastAsia"/>
        </w:rPr>
        <w:t xml:space="preserve">- посланий Президента Российской Федерации Федеральному Собранию Российской Федерации;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9"/>
        <w:jc w:val="both"/>
        <w:rPr>
          <w:rFonts w:eastAsiaTheme="minorEastAsia"/>
        </w:rPr>
      </w:pPr>
      <w:r>
        <w:rPr>
          <w:rFonts w:eastAsiaTheme="minorEastAsia"/>
        </w:rPr>
        <w:t xml:space="preserve">- распоряжения Правительства Российской Федерации от 02.06.2016 </w:t>
      </w:r>
      <w:r>
        <w:rPr>
          <w:rFonts w:eastAsiaTheme="minorEastAsia"/>
        </w:rPr>
        <w:br/>
        <w:t xml:space="preserve">№ 1083-р «Об утверждении Стратегии развития малого и среднего предпринимательства в Российской Федерации на период до 2030 года»;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9"/>
        <w:jc w:val="both"/>
        <w:rPr>
          <w:b/>
        </w:rPr>
      </w:pPr>
      <w:r>
        <w:rPr>
          <w:b/>
        </w:rPr>
        <w:t xml:space="preserve">- </w:t>
      </w:r>
      <w:hyperlink r:id="rId11" w:tooltip="https://www.citymurmansk.ru/img/all/175_ukaz.pdf" w:history="1">
        <w:r>
          <w:rPr>
            <w:rStyle w:val="790"/>
            <w:b w:val="0"/>
          </w:rPr>
          <w:t xml:space="preserve">Указа Президента Российской Федерации от 05.03.2020 № 164 </w:t>
        </w:r>
        <w:r>
          <w:rPr>
            <w:rStyle w:val="790"/>
            <w:b w:val="0"/>
          </w:rPr>
          <w:br/>
          <w:t xml:space="preserve">«Об Основах государственной политики Российской Федерации в Арктике </w:t>
        </w:r>
        <w:r>
          <w:rPr>
            <w:rStyle w:val="790"/>
            <w:b w:val="0"/>
          </w:rPr>
          <w:br/>
          <w:t xml:space="preserve">на период до 2035 года»</w:t>
        </w:r>
      </w:hyperlink>
      <w:r>
        <w:rPr>
          <w:b/>
        </w:rPr>
        <w:t xml:space="preserve">;</w:t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>
        <w:t xml:space="preserve">- Указа Президента Российской Федерации от 07.05.2024 № 309 </w:t>
      </w:r>
      <w:r>
        <w:br/>
        <w:t xml:space="preserve">«О национальных целях развития Российской Федерации на период до 2030 года и на перспективу до 2036 года»;</w:t>
      </w:r>
      <w:r/>
    </w:p>
    <w:p>
      <w:pPr>
        <w:ind w:firstLine="709"/>
        <w:jc w:val="both"/>
      </w:pPr>
      <w:r>
        <w:t xml:space="preserve">- Указа Президента Российской Федерации от 26.10.2020 № 645 </w:t>
      </w:r>
      <w:r>
        <w:br/>
        <w:t xml:space="preserve">«О Стратегии развития Арктической зоны Российской Федерации и обеспечения национальной безопасности на период до 2035 года»;</w:t>
      </w:r>
      <w:r/>
    </w:p>
    <w:p>
      <w:pPr>
        <w:ind w:firstLine="709"/>
        <w:jc w:val="both"/>
      </w:pPr>
      <w:r>
        <w:t xml:space="preserve">- распоряжения Правительства Российской Федерации от 15.04.2021 </w:t>
      </w:r>
      <w:r>
        <w:br/>
        <w:t xml:space="preserve">№ 996-р «Об утве</w:t>
      </w:r>
      <w:r>
        <w:t xml:space="preserve">рждении Единого плана мероприятий по реализации Основ государственной политики Российской Федерации в Арктике на период до 2035 года и Стратегии развития Арктической зоны Российской Федерации и обеспечения национальной безопасности на период до 2035 года»;</w:t>
      </w:r>
      <w:r/>
    </w:p>
    <w:p>
      <w:pPr>
        <w:ind w:firstLine="709"/>
        <w:jc w:val="both"/>
      </w:pPr>
      <w:r>
        <w:t xml:space="preserve">- постановления Правительства Российской Федерации от 30.03.2021 </w:t>
      </w:r>
      <w:r>
        <w:br/>
        <w:t xml:space="preserve">№ 484 «Об утверждении государственной программы Российской Федерации «Социально-экономическое развитие Арктической зоны Российской Федерации»;</w:t>
      </w:r>
      <w:r/>
    </w:p>
    <w:p>
      <w:pPr>
        <w:ind w:firstLine="709"/>
        <w:jc w:val="both"/>
        <w:rPr>
          <w:b/>
        </w:rPr>
      </w:pPr>
      <w:r>
        <w:rPr>
          <w:rStyle w:val="790"/>
          <w:b w:val="0"/>
        </w:rPr>
        <w:t xml:space="preserve">- иных документов.</w:t>
      </w:r>
      <w:r>
        <w:rPr>
          <w:b/>
        </w:rPr>
      </w:r>
      <w:r>
        <w:rPr>
          <w:b/>
        </w:rPr>
      </w:r>
    </w:p>
    <w:p>
      <w:pPr>
        <w:pStyle w:val="778"/>
        <w:contextualSpacing/>
        <w:ind w:firstLine="709"/>
        <w:jc w:val="both"/>
      </w:pPr>
      <w:r>
        <w:t xml:space="preserve">Важнейшим приоритетом развития </w:t>
      </w:r>
      <w:r>
        <w:t xml:space="preserve">Печенгского</w:t>
      </w:r>
      <w:r>
        <w:t xml:space="preserve"> муниципального округа является создание сильной экономики, ориентированной на человека, на его нужды, запросы и развитие. </w:t>
      </w:r>
      <w:r/>
    </w:p>
    <w:p>
      <w:pPr>
        <w:pStyle w:val="778"/>
        <w:contextualSpacing/>
        <w:ind w:firstLine="709"/>
        <w:jc w:val="both"/>
      </w:pPr>
      <w:r>
        <w:t xml:space="preserve">Главная стратегическая цель деятельности администрации </w:t>
      </w:r>
      <w:r>
        <w:t xml:space="preserve">Печенгского</w:t>
      </w:r>
      <w:r>
        <w:t xml:space="preserve"> муниципального округа – повышение качества жизни населения путем обеспечения жителей </w:t>
      </w:r>
      <w:r>
        <w:t xml:space="preserve">Печенгского</w:t>
      </w:r>
      <w:r>
        <w:t xml:space="preserve"> муниципального округа качественной социальной и инженерной инфраструктурой, повышения доступности товаров, услуг и культурно-досуговой инфраструктуры, создания комфортных условий проживания в районе Крайнего Севера.</w:t>
      </w:r>
      <w:r/>
    </w:p>
    <w:p>
      <w:pPr>
        <w:ind w:firstLine="709"/>
        <w:jc w:val="both"/>
      </w:pPr>
      <w:r>
        <w:rPr>
          <w:rFonts w:eastAsiaTheme="minorEastAsia"/>
        </w:rPr>
        <w:t xml:space="preserve"> Муниципальная программа направлена на решение следующих задач социально-</w:t>
      </w:r>
      <w:r>
        <w:t xml:space="preserve">экономического развития </w:t>
      </w:r>
      <w:r>
        <w:t xml:space="preserve">Печенгского</w:t>
      </w:r>
      <w:r>
        <w:t xml:space="preserve"> муниципального округа:</w:t>
      </w:r>
      <w:r/>
    </w:p>
    <w:p>
      <w:pPr>
        <w:ind w:firstLine="709"/>
        <w:jc w:val="both"/>
      </w:pPr>
      <w:r>
        <w:t xml:space="preserve">- создание условий для </w:t>
      </w:r>
      <w:r>
        <w:t xml:space="preserve">формирования благоприятного предпринимательского климата на территории</w:t>
      </w:r>
      <w:r>
        <w:t xml:space="preserve"> </w:t>
      </w:r>
      <w:r>
        <w:t xml:space="preserve">Печенгского</w:t>
      </w:r>
      <w:r>
        <w:t xml:space="preserve"> муниципального округа;</w:t>
      </w:r>
      <w:r/>
    </w:p>
    <w:p>
      <w:pPr>
        <w:ind w:firstLine="709"/>
        <w:jc w:val="both"/>
      </w:pPr>
      <w:r>
        <w:t xml:space="preserve">- повышение туристской привлекательности </w:t>
      </w:r>
      <w:r>
        <w:t xml:space="preserve">Печенгского</w:t>
      </w:r>
      <w:r>
        <w:t xml:space="preserve"> муниципального округа;</w:t>
      </w:r>
      <w:r/>
    </w:p>
    <w:p>
      <w:pPr>
        <w:ind w:firstLine="709"/>
        <w:jc w:val="both"/>
      </w:pPr>
      <w:r>
        <w:t xml:space="preserve">- </w:t>
      </w:r>
      <w:r>
        <w:t xml:space="preserve">оказание содействия</w:t>
      </w:r>
      <w:r>
        <w:t xml:space="preserve"> развитию потенциала СО НКО и его эффективному использованию в решении задач социально-экономического развития </w:t>
      </w:r>
      <w:r>
        <w:t xml:space="preserve">Печенгского</w:t>
      </w:r>
      <w:r>
        <w:t xml:space="preserve"> муниципального округа.</w:t>
      </w:r>
      <w:r/>
    </w:p>
    <w:p>
      <w:pPr>
        <w:ind w:firstLine="709"/>
        <w:jc w:val="both"/>
        <w:rPr>
          <w:color w:val="ff0000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778"/>
        <w:numPr>
          <w:ilvl w:val="0"/>
          <w:numId w:val="16"/>
        </w:numPr>
        <w:ind w:left="360"/>
        <w:jc w:val="center"/>
        <w:rPr>
          <w:b/>
          <w:sz w:val="26"/>
          <w:szCs w:val="26"/>
        </w:rPr>
        <w:suppressLineNumbers w:val="0"/>
      </w:pPr>
      <w:r/>
      <w:bookmarkStart w:id="4" w:name="P446"/>
      <w:r/>
      <w:bookmarkEnd w:id="4"/>
      <w:r>
        <w:rPr>
          <w:b/>
          <w:sz w:val="26"/>
          <w:szCs w:val="26"/>
        </w:rPr>
        <w:t xml:space="preserve">Перечень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показателей муниципальной прогр</w:t>
      </w:r>
      <w:r>
        <w:rPr>
          <w:b/>
          <w:sz w:val="26"/>
          <w:szCs w:val="26"/>
        </w:rPr>
        <w:t xml:space="preserve">аммы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785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992"/>
        <w:gridCol w:w="1276"/>
        <w:gridCol w:w="1134"/>
        <w:gridCol w:w="1134"/>
        <w:gridCol w:w="1134"/>
        <w:gridCol w:w="1134"/>
        <w:gridCol w:w="1134"/>
        <w:gridCol w:w="22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</w:t>
            </w:r>
            <w:r>
              <w:rPr>
                <w:sz w:val="22"/>
                <w:szCs w:val="22"/>
              </w:rPr>
              <w:t xml:space="preserve"> направления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ность</w:t>
            </w:r>
            <w:r>
              <w:rPr>
                <w:sz w:val="22"/>
                <w:szCs w:val="22"/>
              </w:rPr>
              <w:t xml:space="preserve">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0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785"/>
              <w:ind w:firstLine="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</w:t>
            </w:r>
            <w:r>
              <w:rPr>
                <w:b/>
                <w:sz w:val="22"/>
                <w:szCs w:val="22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Экономический потенциал</w:t>
            </w:r>
            <w:r>
              <w:rPr>
                <w:b/>
                <w:sz w:val="22"/>
                <w:szCs w:val="22"/>
              </w:rPr>
              <w:t xml:space="preserve">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785"/>
              <w:ind w:left="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муниципальной программы: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Повышение</w:t>
            </w:r>
            <w:r>
              <w:rPr>
                <w:b/>
                <w:sz w:val="22"/>
                <w:szCs w:val="22"/>
              </w:rPr>
              <w:t xml:space="preserve"> предпринимательской и инвестиционной активности, в том числе в сфере туризма, в </w:t>
            </w:r>
            <w:r>
              <w:rPr>
                <w:b/>
                <w:sz w:val="22"/>
                <w:szCs w:val="22"/>
              </w:rPr>
              <w:t xml:space="preserve">Печенгском</w:t>
            </w:r>
            <w:r>
              <w:rPr>
                <w:b/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субъектов 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747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ind w:left="41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ind w:left="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инвестиций в основной капитал (</w:t>
            </w:r>
            <w:r>
              <w:rPr>
                <w:sz w:val="20"/>
                <w:szCs w:val="20"/>
              </w:rPr>
              <w:t xml:space="preserve">без субъектов МСП</w:t>
            </w:r>
            <w:r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Млн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рублей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9 753,6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12 339,1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15 088,1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16 288,8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14 640,7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ind w:left="41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ОЭР, С</w:t>
            </w:r>
            <w:r>
              <w:rPr>
                <w:sz w:val="20"/>
                <w:szCs w:val="20"/>
              </w:rPr>
              <w:t xml:space="preserve">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функционирующих</w:t>
            </w:r>
            <w:r>
              <w:rPr>
                <w:sz w:val="20"/>
                <w:szCs w:val="20"/>
              </w:rPr>
              <w:t xml:space="preserve"> КСР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Консультант п</w:t>
            </w:r>
            <w:r>
              <w:rPr>
                <w:sz w:val="20"/>
                <w:szCs w:val="20"/>
              </w:rPr>
              <w:t xml:space="preserve">о приграничному сотрудничеству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 туристического потока (количеств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121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</w:t>
            </w:r>
            <w:r>
              <w:rPr>
                <w:sz w:val="20"/>
                <w:szCs w:val="20"/>
              </w:rPr>
              <w:t xml:space="preserve">о приграничному сотрудничеству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ind w:left="41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СО НКО, осуществляющих деятельность на территории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</w:t>
            </w:r>
            <w:r>
              <w:rPr>
                <w:b/>
                <w:sz w:val="22"/>
                <w:szCs w:val="22"/>
              </w:rPr>
              <w:t xml:space="preserve">одпрограмма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b/>
                <w:sz w:val="22"/>
                <w:szCs w:val="22"/>
              </w:rPr>
              <w:t xml:space="preserve"> 1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Повышение инвестиционной привлекательности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</w:t>
            </w:r>
            <w:r>
              <w:rPr>
                <w:b/>
                <w:sz w:val="22"/>
                <w:szCs w:val="22"/>
              </w:rPr>
              <w:t xml:space="preserve">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785"/>
              <w:spacing w:before="0" w:beforeAutospacing="0" w:after="0" w:afterAutospacing="0"/>
            </w:pPr>
            <w:r>
              <w:rPr>
                <w:sz w:val="22"/>
                <w:szCs w:val="22"/>
              </w:rPr>
              <w:t xml:space="preserve">Цель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1:</w:t>
            </w:r>
            <w:r>
              <w:rPr>
                <w:b/>
                <w:sz w:val="22"/>
                <w:szCs w:val="22"/>
              </w:rPr>
              <w:t xml:space="preserve"> Создание условий для </w:t>
            </w:r>
            <w:r>
              <w:rPr>
                <w:b/>
                <w:sz w:val="22"/>
                <w:szCs w:val="22"/>
              </w:rPr>
              <w:t xml:space="preserve">формирования благоприятного предпринимательского климата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1.1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 недвижимости нежилого фонда, находящегося в собственности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подлежащих к сдаче в аренду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133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134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доли объектов, включенных в перечни муниципального имущества и предоставляемого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рамках оказания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объектов, переданных субъектам 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качестве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общедоступной информации, необходимой для развития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публикаций</w:t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</w:t>
            </w: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  <w:t xml:space="preserve">7</w:t>
            </w:r>
            <w:r>
              <w:rPr>
                <w:color w:val="ff0000"/>
                <w:sz w:val="20"/>
                <w:szCs w:val="20"/>
                <w:lang w:val="en-US"/>
              </w:rPr>
            </w:r>
            <w:r>
              <w:rPr>
                <w:color w:val="ff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22</w:t>
            </w:r>
            <w:r>
              <w:rPr>
                <w:sz w:val="20"/>
                <w:szCs w:val="20"/>
                <w:lang w:val="en-US"/>
              </w:rPr>
              <w:t xml:space="preserve">5</w:t>
            </w:r>
            <w:r>
              <w:rPr>
                <w:color w:val="ff0000"/>
                <w:sz w:val="20"/>
                <w:szCs w:val="20"/>
                <w:lang w:val="en-US"/>
              </w:rPr>
            </w:r>
            <w:r>
              <w:rPr>
                <w:color w:val="ff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  <w:t xml:space="preserve">76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  <w:t xml:space="preserve">76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  <w:t xml:space="preserve">76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ектор инвестиционной деятельности;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вопросам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trike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</w:t>
            </w:r>
            <w:r>
              <w:rPr>
                <w:sz w:val="20"/>
                <w:szCs w:val="20"/>
              </w:rPr>
              <w:t xml:space="preserve">рием</w:t>
            </w:r>
            <w:r>
              <w:rPr>
                <w:sz w:val="20"/>
                <w:szCs w:val="20"/>
              </w:rPr>
              <w:t xml:space="preserve">ов</w:t>
            </w:r>
            <w:r>
              <w:rPr>
                <w:sz w:val="20"/>
                <w:szCs w:val="20"/>
              </w:rPr>
              <w:t xml:space="preserve"> инвесторов и предпринимателей инвестиционны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 уполномоченны</w:t>
            </w:r>
            <w:r>
              <w:rPr>
                <w:sz w:val="20"/>
                <w:szCs w:val="20"/>
              </w:rPr>
              <w:t xml:space="preserve">м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</w:t>
            </w:r>
            <w:r>
              <w:rPr>
                <w:strike/>
                <w:color w:val="ff0000"/>
                <w:sz w:val="20"/>
                <w:szCs w:val="20"/>
              </w:rPr>
            </w:r>
            <w:r>
              <w:rPr>
                <w:strike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заседаний Совета по улучшению инвестиционного климата и развитию предпринимательства при Главе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актуализированного </w:t>
            </w:r>
            <w:r>
              <w:rPr>
                <w:sz w:val="20"/>
                <w:szCs w:val="20"/>
              </w:rPr>
              <w:t xml:space="preserve">инвестиционного </w:t>
            </w:r>
            <w:r>
              <w:rPr>
                <w:sz w:val="20"/>
                <w:szCs w:val="20"/>
              </w:rPr>
              <w:t xml:space="preserve">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актуализированного инвестиционного 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согласованного Главой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в сети Интернет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</w:t>
            </w:r>
            <w:r>
              <w:rPr>
                <w:sz w:val="20"/>
                <w:szCs w:val="20"/>
              </w:rPr>
              <w:t xml:space="preserve">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</w:t>
            </w:r>
            <w:r>
              <w:rPr>
                <w:b/>
                <w:sz w:val="22"/>
                <w:szCs w:val="22"/>
              </w:rPr>
              <w:t xml:space="preserve">одпрограмма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b/>
                <w:sz w:val="22"/>
                <w:szCs w:val="22"/>
              </w:rPr>
              <w:t xml:space="preserve"> 2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«Развитие туризма в </w:t>
            </w:r>
            <w:r>
              <w:rPr>
                <w:b/>
                <w:sz w:val="22"/>
                <w:szCs w:val="22"/>
              </w:rPr>
              <w:t xml:space="preserve">Печенгском</w:t>
            </w:r>
            <w:r>
              <w:rPr>
                <w:b/>
                <w:sz w:val="22"/>
                <w:szCs w:val="22"/>
              </w:rPr>
              <w:t xml:space="preserve"> муниципальном округе»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78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2:</w:t>
            </w:r>
            <w:r>
              <w:rPr>
                <w:b/>
                <w:sz w:val="22"/>
                <w:szCs w:val="22"/>
              </w:rPr>
              <w:t xml:space="preserve"> Повышение туристской привлекательности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– «Кольская сверхглубокая»,</w:t>
            </w:r>
            <w:r>
              <w:rPr>
                <w:sz w:val="20"/>
                <w:szCs w:val="20"/>
              </w:rPr>
              <w:t xml:space="preserve"> «Плавильный цех», «Шахта </w:t>
            </w:r>
            <w:r>
              <w:rPr>
                <w:sz w:val="20"/>
                <w:szCs w:val="20"/>
              </w:rPr>
              <w:t xml:space="preserve">Каула-</w:t>
            </w:r>
            <w:r>
              <w:rPr>
                <w:sz w:val="20"/>
                <w:szCs w:val="20"/>
              </w:rPr>
              <w:t xml:space="preserve">Котсельваара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</w:t>
            </w:r>
            <w:r>
              <w:rPr>
                <w:sz w:val="20"/>
                <w:szCs w:val="20"/>
              </w:rPr>
              <w:t xml:space="preserve"> по приграничному сотрудничеству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</w:t>
            </w:r>
            <w:r>
              <w:rPr>
                <w:sz w:val="20"/>
                <w:szCs w:val="20"/>
              </w:rPr>
              <w:t xml:space="preserve">конкурсов</w:t>
            </w:r>
            <w:r>
              <w:rPr>
                <w:sz w:val="20"/>
                <w:szCs w:val="20"/>
              </w:rPr>
              <w:t xml:space="preserve"> цифрового контента (фото, видео)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направленных предложений о включении мероприятий в региональный реестр «51 событие»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Консультант</w:t>
            </w:r>
            <w:r>
              <w:rPr>
                <w:sz w:val="20"/>
                <w:szCs w:val="20"/>
              </w:rPr>
              <w:t xml:space="preserve">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событийных мероприятий, в организации и проведении которых оказано </w:t>
            </w:r>
            <w:r>
              <w:rPr>
                <w:sz w:val="20"/>
                <w:szCs w:val="20"/>
              </w:rPr>
              <w:t xml:space="preserve">содействие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Консультант</w:t>
            </w:r>
            <w:r>
              <w:rPr>
                <w:sz w:val="20"/>
                <w:szCs w:val="20"/>
              </w:rPr>
              <w:t xml:space="preserve"> по приграничному </w:t>
            </w:r>
            <w:r>
              <w:rPr>
                <w:sz w:val="20"/>
                <w:szCs w:val="20"/>
              </w:rPr>
              <w:t xml:space="preserve">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</w:t>
            </w:r>
            <w: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организаций, участвующих в развитии школьного туризма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</w:t>
            </w:r>
            <w:r>
              <w:rPr>
                <w:b/>
                <w:sz w:val="22"/>
                <w:szCs w:val="22"/>
              </w:rPr>
              <w:t xml:space="preserve">одпрограмма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 xml:space="preserve">Взаимодействие с СО НКО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785"/>
              <w:spacing w:before="0" w:beforeAutospacing="0" w:after="0" w:afterAutospacing="0"/>
              <w:rPr>
                <w:b/>
              </w:rPr>
            </w:pPr>
            <w:r>
              <w:rPr>
                <w:sz w:val="22"/>
                <w:szCs w:val="22"/>
              </w:rPr>
              <w:t xml:space="preserve">Цель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Оказание с</w:t>
            </w:r>
            <w:r>
              <w:rPr>
                <w:b/>
                <w:sz w:val="22"/>
                <w:szCs w:val="22"/>
              </w:rPr>
              <w:t xml:space="preserve">одействия</w:t>
            </w:r>
            <w:r>
              <w:rPr>
                <w:b/>
                <w:sz w:val="22"/>
                <w:szCs w:val="22"/>
              </w:rPr>
              <w:t xml:space="preserve"> развитию потенциала СО НКО и его эффективному использованию в решении задач социально-экономического развития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3.1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оличество муниципальных объектов, переданных СО НКО в качестве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3.2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общедоступной информации, необходимой для развития СО НКО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публикаций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</w:tbl>
    <w:p>
      <w:pPr>
        <w:pStyle w:val="785"/>
        <w:jc w:val="both"/>
        <w:spacing w:before="0" w:beforeAutospacing="0" w:after="0" w:afterAutospacing="0" w:line="288" w:lineRule="atLeast"/>
        <w:rPr>
          <w:strike/>
          <w:sz w:val="20"/>
          <w:szCs w:val="20"/>
          <w:vertAlign w:val="superscript"/>
        </w:rPr>
      </w:pPr>
      <w:r/>
      <w:bookmarkStart w:id="5" w:name="p125"/>
      <w:r/>
      <w:bookmarkEnd w:id="5"/>
      <w:r>
        <w:rPr>
          <w:strike/>
          <w:sz w:val="20"/>
          <w:szCs w:val="20"/>
          <w:vertAlign w:val="superscript"/>
        </w:rPr>
      </w:r>
      <w:r>
        <w:rPr>
          <w:strike/>
          <w:sz w:val="20"/>
          <w:szCs w:val="20"/>
          <w:vertAlign w:val="superscript"/>
        </w:rPr>
      </w:r>
    </w:p>
    <w:p>
      <w:pPr>
        <w:pStyle w:val="785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spacing w:line="288" w:lineRule="atLeast"/>
      </w:pPr>
      <w:r/>
      <w:bookmarkStart w:id="6" w:name="p129"/>
      <w:r/>
      <w:bookmarkEnd w:id="6"/>
      <w:r>
        <w:t xml:space="preserve"> </w:t>
      </w:r>
      <w:r/>
    </w:p>
    <w:p>
      <w:pPr>
        <w:pStyle w:val="789"/>
        <w:numPr>
          <w:ilvl w:val="0"/>
          <w:numId w:val="16"/>
        </w:numPr>
        <w:ind w:left="0" w:firstLine="0"/>
        <w:jc w:val="center"/>
        <w:rPr>
          <w:b/>
        </w:rPr>
        <w:suppressLineNumbers w:val="0"/>
      </w:pPr>
      <w:r>
        <w:rPr>
          <w:b/>
        </w:rPr>
        <w:t xml:space="preserve">Перечень </w:t>
      </w:r>
      <w:r>
        <w:rPr>
          <w:b/>
        </w:rPr>
        <w:t xml:space="preserve">структурных элементов </w:t>
      </w:r>
      <w:r>
        <w:rPr>
          <w:b/>
        </w:rPr>
        <w:t xml:space="preserve">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407"/>
        <w:gridCol w:w="1276"/>
        <w:gridCol w:w="1984"/>
        <w:gridCol w:w="779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</w:t>
            </w:r>
            <w:r>
              <w:rPr>
                <w:sz w:val="22"/>
                <w:szCs w:val="22"/>
              </w:rPr>
              <w:t xml:space="preserve">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комплексы процессных и(или) проектных мероприятий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Повышение инвестиционной привлекательности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</w:pPr>
            <w:r>
              <w:t xml:space="preserve">1.1.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азвити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малого и среднего предпринимательства</w:t>
            </w:r>
            <w:r>
              <w:rPr>
                <w:sz w:val="20"/>
                <w:szCs w:val="20"/>
              </w:rPr>
              <w:t xml:space="preserve"> на территории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</w:t>
            </w:r>
            <w:r>
              <w:rPr>
                <w:sz w:val="20"/>
                <w:szCs w:val="20"/>
              </w:rPr>
              <w:t xml:space="preserve">вестиционной деятельности;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0.1.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Число субъектов МСП.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 Количество объектов недвижимости нежилого фонда, находящегося в собственности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подлежащих к сдаче в аренду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 Увеличение доли объектов, включенных в перечни муниципального имущества и пре</w:t>
            </w:r>
            <w:r>
              <w:rPr>
                <w:sz w:val="20"/>
                <w:szCs w:val="20"/>
              </w:rPr>
              <w:t xml:space="preserve">доставляемого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рамках оказания имущественной поддержки.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муниципальных объектов, переданных субъектам 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качестве имущественной поддержки.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 Размещение общедоступной информации, необходимой для развития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 Количество</w:t>
            </w:r>
            <w:r>
              <w:rPr>
                <w:sz w:val="20"/>
                <w:szCs w:val="20"/>
              </w:rPr>
              <w:t xml:space="preserve"> проведенных мероприятий по вопросам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  <w:u w:val="single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«Создание благоприятных условий для привлечения инвестиций в экономику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</w:t>
            </w:r>
            <w:r>
              <w:rPr>
                <w:sz w:val="20"/>
                <w:szCs w:val="20"/>
              </w:rPr>
              <w:t xml:space="preserve">ционной деятельности;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0.2.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Объем инвестиций в основной капитал (без субъектов МСП).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6. Количество п</w:t>
            </w:r>
            <w:r>
              <w:rPr>
                <w:sz w:val="20"/>
                <w:szCs w:val="20"/>
              </w:rPr>
              <w:t xml:space="preserve">рием</w:t>
            </w:r>
            <w:r>
              <w:rPr>
                <w:sz w:val="20"/>
                <w:szCs w:val="20"/>
              </w:rPr>
              <w:t xml:space="preserve">ов</w:t>
            </w:r>
            <w:r>
              <w:rPr>
                <w:sz w:val="20"/>
                <w:szCs w:val="20"/>
              </w:rPr>
              <w:t xml:space="preserve"> инвесторов и предпринимателей инвестиционны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 уполномоченны</w:t>
            </w:r>
            <w:r>
              <w:rPr>
                <w:sz w:val="20"/>
                <w:szCs w:val="20"/>
              </w:rPr>
              <w:t xml:space="preserve">м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  <w:t xml:space="preserve">. Количество заседаний Совета по улучшению инвестиционного климата и развитию предпринимательства.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. Наличие актуализированного инвестиционного 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. Размещение актуализированного инвестиционного 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согласованного Главой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в сети Интернет.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2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Развитие туризма в </w:t>
            </w:r>
            <w:r>
              <w:t xml:space="preserve">Печенгском</w:t>
            </w:r>
            <w:r>
              <w:t xml:space="preserve"> муниципальном округе</w:t>
            </w:r>
            <w:r>
              <w:t xml:space="preserve">»</w:t>
            </w:r>
            <w:r/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3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Создание условий для развития туризма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функционирующих КСР.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04.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Рост туристического потока (количество лиц, размещенных в КС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 Количество разработанной проектной документации по проекту «Туристический кластер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sz w:val="20"/>
                <w:szCs w:val="20"/>
              </w:rPr>
              <w:t xml:space="preserve">Каула-Котсельваара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 Количество проведенных конкурсов</w:t>
            </w:r>
            <w:r>
              <w:rPr>
                <w:sz w:val="20"/>
                <w:szCs w:val="20"/>
              </w:rPr>
              <w:t xml:space="preserve"> цифрового контента (фото, видео)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 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 Количество направленных предложений о включении мероприятий в региональный реестр «51 событие».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 Количество </w:t>
            </w:r>
            <w:r>
              <w:rPr>
                <w:sz w:val="20"/>
                <w:szCs w:val="20"/>
              </w:rPr>
              <w:t xml:space="preserve">событийных </w:t>
            </w:r>
            <w:r>
              <w:rPr>
                <w:sz w:val="20"/>
                <w:szCs w:val="20"/>
              </w:rPr>
              <w:t xml:space="preserve">мероприятий, в организации и проведении которых оказано содействие.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 Количество общеобразовательных организаций, участвующих в развитии школьного туризма.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Направление (</w:t>
            </w:r>
            <w:r>
              <w:t xml:space="preserve">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3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Взаимодействие с СО НКО</w:t>
            </w:r>
            <w:r>
              <w:t xml:space="preserve">»</w:t>
            </w:r>
            <w:r/>
          </w:p>
        </w:tc>
      </w:tr>
      <w:tr>
        <w:tblPrEx/>
        <w:trPr>
          <w:trHeight w:val="15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>
              <w:t xml:space="preserve">4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</w:t>
            </w:r>
            <w:r>
              <w:rPr>
                <w:sz w:val="20"/>
                <w:szCs w:val="20"/>
                <w:u w:val="single"/>
              </w:rPr>
              <w:t xml:space="preserve"> мероприяти</w:t>
            </w:r>
            <w:r>
              <w:rPr>
                <w:sz w:val="20"/>
                <w:szCs w:val="20"/>
                <w:u w:val="single"/>
              </w:rPr>
              <w:t xml:space="preserve">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4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«Создание благоприятных условий </w:t>
            </w:r>
            <w:r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 xml:space="preserve">развития СО НКО»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0.5.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СО НКО, осуществляющих деятельность на территории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 </w:t>
            </w:r>
            <w:r>
              <w:rPr>
                <w:sz w:val="20"/>
                <w:szCs w:val="20"/>
              </w:rPr>
              <w:t xml:space="preserve">Количество муниципальных объектов, переданных СО НКО в качестве имущественной поддержки.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 </w:t>
            </w:r>
            <w:r>
              <w:rPr>
                <w:sz w:val="20"/>
                <w:szCs w:val="20"/>
              </w:rPr>
              <w:t xml:space="preserve">Размещение общедоступной информации, необходимой для развития СО НКО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89"/>
        <w:numPr>
          <w:ilvl w:val="0"/>
          <w:numId w:val="16"/>
        </w:numPr>
        <w:ind w:left="0" w:firstLine="0"/>
        <w:jc w:val="center"/>
        <w:rPr>
          <w:b/>
        </w:rPr>
        <w:suppressLineNumbers w:val="0"/>
      </w:pPr>
      <w:r>
        <w:rPr>
          <w:b/>
        </w:rPr>
        <w:t xml:space="preserve">Перечень </w:t>
      </w:r>
      <w:r>
        <w:rPr>
          <w:b/>
        </w:rPr>
        <w:t xml:space="preserve">мер налогового регулирования (налоговых расходов) в сфере реализации муниципальной программы </w:t>
      </w:r>
      <w:r>
        <w:rPr>
          <w:b/>
        </w:rPr>
        <w:t xml:space="preserve">(при наличии)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418"/>
        <w:gridCol w:w="1417"/>
        <w:gridCol w:w="1418"/>
        <w:gridCol w:w="2693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 выпадающих доходов бюджета </w:t>
            </w:r>
            <w:r>
              <w:t xml:space="preserve">округа</w:t>
            </w:r>
            <w:r>
              <w:t xml:space="preserve"> (руб.)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Основание применения меры налогового регулирования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Цель применения меры, связь с показателями муниципальной программы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План/оценка/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8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</w:t>
            </w:r>
            <w:r/>
          </w:p>
          <w:p>
            <w:pPr>
              <w:spacing w:line="288" w:lineRule="atLeast"/>
              <w:rPr>
                <w:sz w:val="26"/>
                <w:szCs w:val="26"/>
              </w:rPr>
            </w:pPr>
            <w:r>
              <w:t xml:space="preserve">Направление (подпрограмма) 1</w:t>
            </w:r>
            <w:r>
              <w:t xml:space="preserve"> «Повышение инвестиционной привлекательности </w:t>
            </w:r>
            <w:r>
              <w:t xml:space="preserve">Печенгского</w:t>
            </w:r>
            <w:r>
              <w:t xml:space="preserve"> муниципального округа»</w:t>
            </w:r>
            <w:r>
              <w:rPr>
                <w:sz w:val="26"/>
                <w:szCs w:val="26"/>
              </w:rPr>
              <w:t xml:space="preserve">  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spacing w:line="288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785"/>
              <w:contextualSpacing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от налогообложения земельным налогом субъектов инвестиционной деятельности – юридических лиц и индивидуальных предпринимателей, реализующих приоритетные инвестиционные проекты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contextualSpacing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Налоговая льгота предоставляется на срок действия инвестиционного соглашения, заключаемого в целях реализации приоритетного инвестиционного проекта, но не более трех лет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Подпункт 4.8 пункта 4 р</w:t>
            </w:r>
            <w:r>
              <w:rPr>
                <w:sz w:val="20"/>
                <w:szCs w:val="20"/>
              </w:rPr>
              <w:t xml:space="preserve">ешени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Совета депутатов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от </w:t>
            </w:r>
            <w:r>
              <w:rPr>
                <w:sz w:val="20"/>
                <w:szCs w:val="20"/>
              </w:rPr>
              <w:t xml:space="preserve">23.10.2020</w:t>
            </w:r>
            <w:r>
              <w:rPr>
                <w:sz w:val="20"/>
                <w:szCs w:val="20"/>
              </w:rPr>
              <w:t xml:space="preserve"> № </w:t>
            </w:r>
            <w:r>
              <w:rPr>
                <w:sz w:val="20"/>
                <w:szCs w:val="20"/>
              </w:rPr>
              <w:t xml:space="preserve">39</w:t>
            </w:r>
            <w:r>
              <w:rPr>
                <w:sz w:val="20"/>
                <w:szCs w:val="20"/>
              </w:rPr>
              <w:t xml:space="preserve"> </w:t>
              <w:br/>
              <w:t xml:space="preserve">«</w:t>
            </w:r>
            <w:r>
              <w:rPr>
                <w:sz w:val="20"/>
                <w:szCs w:val="20"/>
              </w:rPr>
              <w:t xml:space="preserve">Об установлении земельного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(в ред. от 22.11.2024)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условий для повышения инвестиционной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0.1.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Число </w:t>
            </w:r>
            <w:r>
              <w:rPr>
                <w:sz w:val="20"/>
                <w:szCs w:val="20"/>
              </w:rPr>
              <w:t xml:space="preserve">субъектов МСП;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0.2.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Объем инвестиций в основной капитал (без субъектов МСП).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7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от налогообложения земельным налогом</w:t>
            </w:r>
            <w:r>
              <w:rPr>
                <w:sz w:val="20"/>
                <w:szCs w:val="20"/>
              </w:rPr>
              <w:t xml:space="preserve"> индивидуальны</w:t>
            </w:r>
            <w:r>
              <w:rPr>
                <w:sz w:val="20"/>
                <w:szCs w:val="20"/>
              </w:rPr>
              <w:t xml:space="preserve">х</w:t>
            </w:r>
            <w:r>
              <w:rPr>
                <w:sz w:val="20"/>
                <w:szCs w:val="20"/>
              </w:rPr>
              <w:t xml:space="preserve"> предпринимател</w:t>
            </w:r>
            <w:r>
              <w:rPr>
                <w:sz w:val="20"/>
                <w:szCs w:val="20"/>
              </w:rPr>
              <w:t xml:space="preserve">ей</w:t>
            </w:r>
            <w:r>
              <w:rPr>
                <w:sz w:val="20"/>
                <w:szCs w:val="20"/>
              </w:rPr>
              <w:t xml:space="preserve"> или являющиеся коммерческой организацией юридически</w:t>
            </w:r>
            <w:r>
              <w:rPr>
                <w:sz w:val="20"/>
                <w:szCs w:val="20"/>
              </w:rPr>
              <w:t xml:space="preserve">х</w:t>
            </w:r>
            <w:r>
              <w:rPr>
                <w:sz w:val="20"/>
                <w:szCs w:val="20"/>
              </w:rPr>
              <w:t xml:space="preserve"> лиц, получивши</w:t>
            </w:r>
            <w:r>
              <w:rPr>
                <w:sz w:val="20"/>
                <w:szCs w:val="20"/>
              </w:rPr>
              <w:t xml:space="preserve">х</w:t>
            </w:r>
            <w:r>
              <w:rPr>
                <w:sz w:val="20"/>
                <w:szCs w:val="20"/>
              </w:rPr>
              <w:t xml:space="preserve"> статус резидента Арктической зоны Российской Федерации в соответствии с Федеральным</w:t>
            </w:r>
            <w:r>
              <w:rPr>
                <w:sz w:val="20"/>
                <w:szCs w:val="20"/>
              </w:rPr>
              <w:t xml:space="preserve"> законом</w:t>
            </w:r>
            <w:r>
              <w:rPr>
                <w:sz w:val="20"/>
                <w:szCs w:val="20"/>
              </w:rPr>
              <w:t xml:space="preserve"> </w:t>
              <w:br/>
              <w:t xml:space="preserve">от 13.07.2020 </w:t>
            </w: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  <w:t xml:space="preserve"> 193-ФЗ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О государственной поддержке предпринимательской деятельности в Арктической зоне Российской Федерации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, в отношении земельных участков, расположенных на территории Арктической зоны в границах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округ, на три налоговых </w:t>
            </w:r>
            <w:r>
              <w:rPr>
                <w:sz w:val="20"/>
                <w:szCs w:val="20"/>
              </w:rPr>
              <w:t xml:space="preserve">периода начиная с первого числа месяца, следующего за месяцем включения налогоплательщиков в реестр резидентов Арктической зоны.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Подпункт 4.9 пункта 4 р</w:t>
            </w:r>
            <w:r>
              <w:rPr>
                <w:sz w:val="20"/>
                <w:szCs w:val="20"/>
              </w:rPr>
              <w:t xml:space="preserve">ешени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Совета депутатов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от 23.10.2020 № 39 </w:t>
              <w:br/>
              <w:t xml:space="preserve">«Об установлении земельного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(в ред. от 22.11.2024)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условий для повышения инвестиционной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0.1.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Число </w:t>
            </w:r>
            <w:r>
              <w:rPr>
                <w:sz w:val="20"/>
                <w:szCs w:val="20"/>
              </w:rPr>
              <w:t xml:space="preserve">субъектов МСП;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0.2.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Объем инвестиций в основной капитал (без субъектов МСП).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785"/>
              <w:contextualSpacing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Налоговая льгота по налогу на имущество физических лиц </w:t>
            </w:r>
            <w:r>
              <w:rPr>
                <w:sz w:val="20"/>
                <w:szCs w:val="20"/>
              </w:rPr>
              <w:t xml:space="preserve">индивидуальны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 предпринимател</w:t>
            </w:r>
            <w:r>
              <w:rPr>
                <w:sz w:val="20"/>
                <w:szCs w:val="20"/>
              </w:rPr>
              <w:t xml:space="preserve">ям</w:t>
            </w:r>
            <w:r>
              <w:rPr>
                <w:sz w:val="20"/>
                <w:szCs w:val="20"/>
              </w:rPr>
              <w:t xml:space="preserve">, получивши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 статус резидента Арктической зоны в соответствии с Федеральным</w:t>
            </w:r>
            <w:r>
              <w:rPr>
                <w:sz w:val="20"/>
                <w:szCs w:val="20"/>
              </w:rPr>
              <w:t xml:space="preserve"> законом</w:t>
            </w:r>
            <w:r>
              <w:rPr>
                <w:sz w:val="20"/>
                <w:szCs w:val="20"/>
              </w:rPr>
              <w:t xml:space="preserve"> от 13.07.2020 </w:t>
            </w: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  <w:t xml:space="preserve"> 193-ФЗ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О государственной поддержке предпринимательской деятельности в Арктической зоне Российской Федерации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, в отношении имущества, созданного, приобретенного в собственность в течение срока действия соглашений об осуществлении инвестиционной деятельности в Арктической зоне Российской Федерации: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contextualSpacing/>
              <w:ind w:firstLine="0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/>
            <w:bookmarkStart w:id="7" w:name="p1"/>
            <w:r/>
            <w:bookmarkEnd w:id="7"/>
            <w:r>
              <w:rPr>
                <w:sz w:val="20"/>
                <w:szCs w:val="20"/>
              </w:rPr>
              <w:t xml:space="preserve">- в размере подлежащей уплате налогоплательщиком сумм</w:t>
            </w:r>
            <w:r>
              <w:rPr>
                <w:sz w:val="20"/>
                <w:szCs w:val="20"/>
              </w:rPr>
              <w:t xml:space="preserve">ы налога в отношении объекта налогообложения, находящегося в собственности налогоплательщика, на срок, составляющий пять лет, с 1-го числа месяца, в котором произошло возникновение права собственности на созданное, приобретенное в собственность имущество;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contextualSpacing/>
              <w:ind w:firstLine="0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размере 50 процентов от суммы налога, подлежащей уплате, в течение последующих пяти лет с месяца, следующего за месяцем, в котором прекратила действие налоговая льгота, установленная</w:t>
            </w:r>
            <w:r>
              <w:rPr>
                <w:sz w:val="20"/>
                <w:szCs w:val="20"/>
              </w:rPr>
              <w:t xml:space="preserve"> абзацем вторым</w:t>
            </w:r>
            <w:r>
              <w:rPr>
                <w:sz w:val="20"/>
                <w:szCs w:val="20"/>
              </w:rPr>
              <w:t xml:space="preserve"> подпункта</w:t>
            </w:r>
            <w:r>
              <w:rPr>
                <w:sz w:val="20"/>
                <w:szCs w:val="20"/>
              </w:rPr>
              <w:t xml:space="preserve"> 5.5 р</w:t>
            </w:r>
            <w:r>
              <w:rPr>
                <w:sz w:val="20"/>
                <w:szCs w:val="20"/>
              </w:rPr>
              <w:t xml:space="preserve">ешени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Совета депутатов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</w:t>
              <w:br/>
              <w:t xml:space="preserve">от 23.10.2020 № 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Подпункт 5.5 пункта 5 р</w:t>
            </w:r>
            <w:r>
              <w:rPr>
                <w:sz w:val="20"/>
                <w:szCs w:val="20"/>
              </w:rPr>
              <w:t xml:space="preserve">ешени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Совета депутатов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от 23.10.2020 № 40 </w:t>
              <w:br/>
              <w:t xml:space="preserve">«</w:t>
            </w:r>
            <w:r>
              <w:rPr>
                <w:sz w:val="20"/>
                <w:szCs w:val="20"/>
              </w:rPr>
              <w:t xml:space="preserve">Об установлении налога на имущество физических лиц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</w:t>
            </w:r>
            <w:r>
              <w:rPr>
                <w:sz w:val="20"/>
                <w:szCs w:val="20"/>
              </w:rPr>
              <w:t xml:space="preserve">» (в ред. от 22.11.2024)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условий для повышения инвестиционной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0.1.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Число </w:t>
            </w:r>
            <w:r>
              <w:rPr>
                <w:sz w:val="20"/>
                <w:szCs w:val="20"/>
              </w:rPr>
              <w:t xml:space="preserve">субъектов МСП;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0.2.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Объем инвестиций в основной капитал (без субъектов МСП).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1.4.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pStyle w:val="785"/>
              <w:contextualSpacing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включение в налоговую базу по туристическому налогу стоимости услуг по временному проживанию физических лиц, регистрацией по месту жительства которых является территория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7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Абзац 2 пункта 2 р</w:t>
            </w:r>
            <w:r>
              <w:rPr>
                <w:sz w:val="20"/>
                <w:szCs w:val="20"/>
              </w:rPr>
              <w:t xml:space="preserve">ешени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Совета депутатов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от 22.11.2024 № 505 </w:t>
              <w:br/>
              <w:t xml:space="preserve">«Об установлении туристического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(ред.</w:t>
              <w:br/>
              <w:t xml:space="preserve"> от 21.02.2025 № 530)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туристкой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0.4.</w:t>
            </w:r>
            <w:r>
              <w:rPr>
                <w:sz w:val="20"/>
                <w:szCs w:val="20"/>
              </w:rPr>
              <w:t xml:space="preserve"> Рост туристического потока (количества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1.5.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включение в налоговую базу по туристическому налогу стоимости услуг по временному проживанию физических лиц до достижения возраста 18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contextualSpacing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Абзац 3 пункта 2 решения</w:t>
            </w:r>
            <w:r>
              <w:rPr>
                <w:sz w:val="20"/>
                <w:szCs w:val="20"/>
              </w:rPr>
              <w:t xml:space="preserve"> Совета депутатов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</w:t>
              <w:br/>
              <w:t xml:space="preserve">от 22.11.2024 № 505 «Об установлении туристического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(ред. от 21.02.2025 № 530)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туристкой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0.4.</w:t>
            </w:r>
            <w:r>
              <w:rPr>
                <w:sz w:val="20"/>
                <w:szCs w:val="20"/>
              </w:rPr>
              <w:t xml:space="preserve"> Рост туристического потока (количества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1.6.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pStyle w:val="785"/>
              <w:contextualSpacing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включение в налоговую базу по туристическому налогу стоимости услуг по временному проживанию физических лиц от 18 до 24 лет при условии обучения в организации, осуществляющей образовательную деятельность, по очной форме обучения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Абзац 4 пункта 2 решения</w:t>
            </w:r>
            <w:r>
              <w:rPr>
                <w:sz w:val="20"/>
                <w:szCs w:val="20"/>
              </w:rPr>
              <w:t xml:space="preserve"> Совета депутатов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</w:t>
              <w:br/>
              <w:t xml:space="preserve">от 22.11.2024 № 505 </w:t>
              <w:br/>
              <w:t xml:space="preserve">«Об установлении туристического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(ред. </w:t>
              <w:br/>
              <w:t xml:space="preserve">от 21.02.2025 № 530)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туристкой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0.4.</w:t>
            </w:r>
            <w:r>
              <w:rPr>
                <w:sz w:val="20"/>
                <w:szCs w:val="20"/>
              </w:rPr>
              <w:t xml:space="preserve"> Рост туристического потока (количества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1.7.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spacing w:before="0" w:beforeAutospacing="0"/>
            </w:pPr>
            <w:r>
              <w:rPr>
                <w:sz w:val="20"/>
                <w:szCs w:val="20"/>
              </w:rPr>
              <w:t xml:space="preserve">Не включение в налоговую базу по туристическому налогу стоимости услуг по временному проживанию физических лиц</w:t>
            </w:r>
            <w:r>
              <w:t xml:space="preserve">, </w:t>
            </w:r>
            <w:r>
              <w:rPr>
                <w:sz w:val="20"/>
                <w:szCs w:val="20"/>
              </w:rPr>
              <w:t xml:space="preserve">являющихся членами многодетных семей,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обучения.</w:t>
            </w:r>
            <w:r/>
          </w:p>
          <w:p>
            <w:pPr>
              <w:pStyle w:val="785"/>
              <w:contextualSpacing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Абзац 5 пункта 2 решения</w:t>
            </w:r>
            <w:r>
              <w:rPr>
                <w:sz w:val="20"/>
                <w:szCs w:val="20"/>
              </w:rPr>
              <w:t xml:space="preserve"> Совета депутатов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</w:t>
              <w:br/>
              <w:t xml:space="preserve">от 22.11.2024 № 505 </w:t>
              <w:br/>
              <w:t xml:space="preserve">«Об установлении туристического налога на территории муниципального образования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 Мурманской области» (ред. от 21.02.2025 № 530)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туристкой привлекательности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before="0" w:beforeAutospacing="0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0.4.</w:t>
            </w:r>
            <w:r>
              <w:rPr>
                <w:sz w:val="20"/>
                <w:szCs w:val="20"/>
              </w:rPr>
              <w:t xml:space="preserve"> Рост туристического потока (количества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5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85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jc w:val="right"/>
        <w:spacing w:line="288" w:lineRule="atLeast"/>
        <w:rPr>
          <w:highlight w:val="green"/>
        </w:rPr>
      </w:pPr>
      <w:r>
        <w:rPr>
          <w:highlight w:val="green"/>
        </w:rPr>
      </w:r>
      <w:r>
        <w:rPr>
          <w:highlight w:val="green"/>
        </w:rPr>
      </w:r>
      <w:r>
        <w:rPr>
          <w:highlight w:val="green"/>
        </w:rPr>
      </w:r>
    </w:p>
    <w:p>
      <w:pPr>
        <w:jc w:val="right"/>
        <w:spacing w:line="288" w:lineRule="atLeast"/>
        <w:tabs>
          <w:tab w:val="left" w:pos="7938" w:leader="none"/>
        </w:tabs>
        <w:rPr>
          <w:highlight w:val="green"/>
        </w:rPr>
      </w:pPr>
      <w:r>
        <w:rPr>
          <w:highlight w:val="green"/>
        </w:rPr>
      </w:r>
      <w:r>
        <w:rPr>
          <w:highlight w:val="green"/>
        </w:rPr>
      </w:r>
      <w:r>
        <w:rPr>
          <w:highlight w:val="green"/>
        </w:rPr>
      </w:r>
    </w:p>
    <w:p>
      <w:pPr>
        <w:jc w:val="right"/>
        <w:spacing w:line="288" w:lineRule="atLeast"/>
        <w:tabs>
          <w:tab w:val="left" w:pos="7938" w:leader="none"/>
        </w:tabs>
        <w:rPr>
          <w:highlight w:val="green"/>
        </w:rPr>
      </w:pPr>
      <w:r>
        <w:rPr>
          <w:highlight w:val="green"/>
        </w:rPr>
      </w:r>
      <w:r>
        <w:rPr>
          <w:highlight w:val="green"/>
        </w:rPr>
      </w:r>
      <w:r>
        <w:rPr>
          <w:highlight w:val="green"/>
        </w:rPr>
      </w:r>
    </w:p>
    <w:p>
      <w:pPr>
        <w:jc w:val="both"/>
        <w:spacing w:line="288" w:lineRule="atLeast"/>
      </w:pPr>
      <w:r/>
      <w:r/>
    </w:p>
    <w:p>
      <w:pPr>
        <w:pStyle w:val="789"/>
        <w:numPr>
          <w:ilvl w:val="0"/>
          <w:numId w:val="16"/>
        </w:numPr>
        <w:ind w:left="0" w:firstLine="0"/>
        <w:jc w:val="center"/>
        <w:rPr>
          <w:b/>
        </w:rPr>
        <w:suppressLineNumbers w:val="0"/>
      </w:pPr>
      <w:r>
        <w:rPr>
          <w:b/>
        </w:rPr>
        <w:t xml:space="preserve">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/>
      <w:r/>
    </w:p>
    <w:tbl>
      <w:tblPr>
        <w:tblW w:w="15168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3720"/>
        <w:gridCol w:w="1276"/>
        <w:gridCol w:w="992"/>
        <w:gridCol w:w="1559"/>
        <w:gridCol w:w="1560"/>
        <w:gridCol w:w="1701"/>
        <w:gridCol w:w="1701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ГРБС,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 реализации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Год/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сточник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Муниципальная программа «Экономический потенциал»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2026 - 2028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 721 837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574 095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573 817,00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573 925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1 611 000,00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110 837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37 095,00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36 817,00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36 925,00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0.1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r>
              <w:t xml:space="preserve">Администрация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590 837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197 095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196 817,00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196 925,00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480</w:t>
            </w:r>
            <w:r>
              <w:rPr>
                <w:sz w:val="20"/>
                <w:szCs w:val="20"/>
              </w:rPr>
              <w:t xml:space="preserve">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160 000,00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110 837,00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37 095,00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36 817,00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36 925,00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0.2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r/>
            <w:r/>
          </w:p>
          <w:p>
            <w:r>
              <w:t xml:space="preserve">Отдел образования администрации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 </w:t>
            </w:r>
            <w:r/>
          </w:p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1 131 000,00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1 131 000,00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377 000,00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377 000,00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377 000,00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Направление (п</w:t>
            </w:r>
            <w:r>
              <w:rPr>
                <w:b/>
                <w:sz w:val="22"/>
                <w:szCs w:val="22"/>
                <w:u w:val="single"/>
              </w:rPr>
              <w:t xml:space="preserve">одпрограмма</w:t>
            </w:r>
            <w:r>
              <w:rPr>
                <w:b/>
                <w:sz w:val="22"/>
                <w:szCs w:val="22"/>
                <w:u w:val="single"/>
              </w:rPr>
              <w:t xml:space="preserve">)</w:t>
            </w:r>
            <w:r>
              <w:rPr>
                <w:b/>
                <w:sz w:val="22"/>
                <w:szCs w:val="22"/>
                <w:u w:val="single"/>
              </w:rPr>
              <w:t xml:space="preserve"> 1</w:t>
            </w:r>
            <w:r>
              <w:rPr>
                <w:b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 xml:space="preserve">Повышение инвестиционной привлекательности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  <w:t xml:space="preserve">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410 837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137 095,00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136 817,00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136 925,00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110 837,00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37 095,00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36 817,00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36 925,00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1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азвити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малого и среднего предпринимательства</w:t>
            </w:r>
            <w:r>
              <w:rPr>
                <w:sz w:val="20"/>
                <w:szCs w:val="20"/>
              </w:rPr>
              <w:t xml:space="preserve"> на территории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410 837,00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137 095,00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136 817,00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136 925,00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</w:t>
            </w:r>
            <w:r>
              <w:rPr>
                <w:sz w:val="20"/>
                <w:szCs w:val="20"/>
              </w:rPr>
              <w:t xml:space="preserve">вестиционной деятельности;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100 000,0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110 837,00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37 095,00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36 817,00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36 925,00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Создание благоприятный условий для привлечения инвестиций в экономику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2026 - 2028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</w:t>
            </w:r>
            <w:r>
              <w:rPr>
                <w:sz w:val="20"/>
                <w:szCs w:val="20"/>
              </w:rPr>
              <w:t xml:space="preserve">ционной деятельности; ОЭР;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Направление (п</w:t>
            </w:r>
            <w:r>
              <w:rPr>
                <w:b/>
                <w:sz w:val="22"/>
                <w:szCs w:val="22"/>
                <w:u w:val="single"/>
              </w:rPr>
              <w:t xml:space="preserve">одпрограмма</w:t>
            </w:r>
            <w:r>
              <w:rPr>
                <w:b/>
                <w:sz w:val="22"/>
                <w:szCs w:val="22"/>
                <w:u w:val="single"/>
              </w:rPr>
              <w:t xml:space="preserve">)</w:t>
            </w:r>
            <w:r>
              <w:rPr>
                <w:b/>
                <w:sz w:val="22"/>
                <w:szCs w:val="22"/>
                <w:u w:val="single"/>
              </w:rPr>
              <w:t xml:space="preserve"> 2</w:t>
            </w:r>
            <w:r>
              <w:rPr>
                <w:b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 xml:space="preserve">Развитие туризма в </w:t>
            </w:r>
            <w:r>
              <w:rPr>
                <w:b/>
                <w:sz w:val="22"/>
                <w:szCs w:val="22"/>
              </w:rPr>
              <w:t xml:space="preserve">Печенгском</w:t>
            </w:r>
            <w:r>
              <w:rPr>
                <w:b/>
                <w:sz w:val="22"/>
                <w:szCs w:val="22"/>
              </w:rPr>
              <w:t xml:space="preserve"> муниципальном округе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1 311 000,00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</w:t>
            </w:r>
            <w:r>
              <w:rPr>
                <w:b/>
                <w:sz w:val="20"/>
                <w:szCs w:val="20"/>
              </w:rPr>
              <w:t xml:space="preserve">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1 311 000,00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</w:t>
            </w:r>
            <w:r>
              <w:rPr>
                <w:b/>
                <w:sz w:val="20"/>
                <w:szCs w:val="20"/>
              </w:rPr>
              <w:t xml:space="preserve">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3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«Создание условий для развития туризма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1 311 000,00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437 000,00</w:t>
            </w:r>
            <w:r>
              <w:rPr>
                <w:b/>
                <w:sz w:val="20"/>
                <w:szCs w:val="20"/>
              </w:rPr>
              <w:t xml:space="preserve">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1 311 000,00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437 000,00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437 000,00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437 000,00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Направление (п</w:t>
            </w:r>
            <w:r>
              <w:rPr>
                <w:b/>
                <w:sz w:val="22"/>
                <w:szCs w:val="22"/>
                <w:u w:val="single"/>
              </w:rPr>
              <w:t xml:space="preserve">одпрограмма</w:t>
            </w:r>
            <w:r>
              <w:rPr>
                <w:b/>
                <w:sz w:val="22"/>
                <w:szCs w:val="22"/>
                <w:u w:val="single"/>
              </w:rPr>
              <w:t xml:space="preserve">)</w:t>
            </w:r>
            <w:r>
              <w:rPr>
                <w:b/>
                <w:sz w:val="22"/>
                <w:szCs w:val="22"/>
                <w:u w:val="single"/>
              </w:rPr>
              <w:t xml:space="preserve"> 3</w:t>
            </w:r>
            <w:r>
              <w:rPr>
                <w:b/>
                <w:sz w:val="22"/>
                <w:szCs w:val="22"/>
              </w:rPr>
              <w:t xml:space="preserve">. «Взаимодействие с СО НКО»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2026 - 2028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  </w:t>
            </w:r>
            <w:r>
              <w:t xml:space="preserve">3</w:t>
            </w:r>
            <w:r>
              <w:t xml:space="preserve">.4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4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«Создание благоприятных условий</w:t>
            </w:r>
            <w:r>
              <w:rPr>
                <w:sz w:val="20"/>
                <w:szCs w:val="20"/>
              </w:rPr>
              <w:t xml:space="preserve"> для развития СО НКО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0,00 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2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0,00 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0,00 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pStyle w:val="789"/>
        <w:numPr>
          <w:ilvl w:val="0"/>
          <w:numId w:val="16"/>
        </w:numPr>
        <w:jc w:val="center"/>
        <w:rPr>
          <w:b/>
        </w:rPr>
      </w:pPr>
      <w:r>
        <w:rPr>
          <w:b/>
        </w:rPr>
        <w:t xml:space="preserve">Механизмы управления рисками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254"/>
        <w:gridCol w:w="3118"/>
        <w:gridCol w:w="2977"/>
        <w:gridCol w:w="3402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последствия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по предотвращению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реагирования при наличии признаков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мониторинга рисков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Сокращение предусмотренных объемов</w:t>
            </w:r>
            <w:r>
              <w:rPr>
                <w:sz w:val="20"/>
                <w:szCs w:val="20"/>
              </w:rPr>
              <w:t xml:space="preserve"> финансирования в ходе формирования и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Недостижение</w:t>
            </w:r>
            <w:r>
              <w:rPr>
                <w:sz w:val="20"/>
                <w:szCs w:val="20"/>
              </w:rPr>
              <w:t xml:space="preserve"> запланированных значений показателей </w:t>
            </w:r>
            <w:r>
              <w:rPr>
                <w:sz w:val="20"/>
                <w:szCs w:val="20"/>
              </w:rPr>
              <w:t xml:space="preserve">муниципальной программы, невыполнение мероприятий в срок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уточнение и обоснование потребности в финансовых ресурсах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Уточнение объемов финансовых средств, предусмотренных на реализацию программных мероприятий, к</w:t>
            </w:r>
            <w:r>
              <w:rPr>
                <w:sz w:val="20"/>
                <w:szCs w:val="20"/>
              </w:rPr>
              <w:t xml:space="preserve">орректировка плановых значений показателей муниципальной программы</w:t>
            </w:r>
            <w:r>
              <w:rPr>
                <w:sz w:val="20"/>
                <w:szCs w:val="20"/>
              </w:rPr>
              <w:t xml:space="preserve"> в зависимости от достигнутых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По мере необходимости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Изменения федерального и регионального законодательства в сфере реализации муниципальной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Невозможность реализации мероприятий муниципальной программы, </w:t>
            </w:r>
            <w:r>
              <w:rPr>
                <w:sz w:val="20"/>
                <w:szCs w:val="20"/>
              </w:rPr>
              <w:t xml:space="preserve">недостижение</w:t>
            </w:r>
            <w:r>
              <w:rPr>
                <w:sz w:val="20"/>
                <w:szCs w:val="20"/>
              </w:rPr>
              <w:t xml:space="preserve"> заявленных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Регулярный мониторинг федерального и регионального законодательства с оценкой возможных последствий. </w:t>
            </w:r>
            <w:r>
              <w:rPr>
                <w:sz w:val="20"/>
                <w:szCs w:val="20"/>
              </w:rPr>
              <w:t xml:space="preserve">Актуализация нормативных правовых актов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в сфере реализации муниципальной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Оперативное принятие нормативных правовых актов, регулирующих сферы управления социально-экономическим развитием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округа, с целью приведения нормативно-методической базы муниципальной программы в соответствие с государственной политикой на федеральном и региональном уровнях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Риск недостаточной обеспеченности финансовыми ресурсами мероприятий муниципальной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Невозможность реализации мероприятий муниципальной программы, </w:t>
            </w:r>
            <w:r>
              <w:rPr>
                <w:sz w:val="20"/>
                <w:szCs w:val="20"/>
              </w:rPr>
              <w:t xml:space="preserve">недостижение</w:t>
            </w:r>
            <w:r>
              <w:rPr>
                <w:sz w:val="20"/>
                <w:szCs w:val="20"/>
              </w:rPr>
              <w:t xml:space="preserve"> заявленных р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зультатов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 необходимых объемов финансирования на этапе формирования бюджета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Корректировка показателей запланированных результатов реализации муниципальной программы с учетом финансовой обеспеченности, своевременное перераспределение средств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Возникновение обязательств непр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одолимой силы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Существенное влияние на результаты реализации </w:t>
            </w:r>
            <w:r>
              <w:rPr>
                <w:sz w:val="20"/>
                <w:szCs w:val="20"/>
              </w:rPr>
              <w:t xml:space="preserve">муниципальной </w:t>
            </w:r>
            <w:r>
              <w:rPr>
                <w:sz w:val="20"/>
                <w:szCs w:val="20"/>
              </w:rPr>
              <w:t xml:space="preserve">программы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снижение показателей ее результативности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системы мониторинга и прогнозирования чрезвычайных ситуаций природного и техногенного характера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Минимизация отрицательных последствий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5"/>
        <w:ind w:firstLine="540"/>
        <w:jc w:val="both"/>
        <w:spacing w:before="168" w:beforeAutospacing="0" w:after="0" w:afterAutospacing="0" w:line="288" w:lineRule="atLeast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276" w:right="962" w:bottom="851" w:left="1134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numPr>
          <w:ilvl w:val="0"/>
          <w:numId w:val="16"/>
        </w:numPr>
        <w:ind w:left="0" w:firstLine="0"/>
        <w:jc w:val="center"/>
        <w:spacing w:before="0" w:beforeAutospacing="0" w:after="0" w:afterAutospacing="0" w:line="240" w:lineRule="auto"/>
        <w:rPr>
          <w:b/>
        </w:rPr>
        <w:suppressLineNumbers w:val="0"/>
      </w:pPr>
      <w:r>
        <w:rPr>
          <w:b/>
        </w:rPr>
        <w:t xml:space="preserve">Порядок взаимодействия Ответственного исполнителя, С</w:t>
      </w:r>
      <w:r>
        <w:rPr>
          <w:b/>
        </w:rPr>
        <w:t xml:space="preserve">оисполнителей</w:t>
      </w:r>
      <w:r>
        <w:rPr>
          <w:b/>
        </w:rPr>
        <w:t xml:space="preserve"> </w:t>
      </w:r>
      <w:r>
        <w:rPr>
          <w:b/>
        </w:rPr>
        <w:t xml:space="preserve">и </w:t>
      </w:r>
      <w:r>
        <w:rPr>
          <w:b/>
        </w:rPr>
        <w:t xml:space="preserve">участников м</w:t>
      </w:r>
      <w:r>
        <w:rPr>
          <w:b/>
        </w:rPr>
        <w:t xml:space="preserve">униципальной программы</w:t>
      </w:r>
      <w:r>
        <w:rPr>
          <w:b/>
        </w:rPr>
      </w:r>
      <w:r>
        <w:rPr>
          <w:b/>
        </w:rPr>
      </w:r>
    </w:p>
    <w:p>
      <w:pPr>
        <w:pStyle w:val="78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785"/>
        <w:jc w:val="right"/>
        <w:spacing w:before="0" w:beforeAutospacing="0" w:after="0" w:afterAutospacing="0" w:line="288" w:lineRule="atLeast"/>
      </w:pPr>
      <w:r/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Взаимодействие ответственного исполнителя, соисполнителей</w:t>
      </w:r>
      <w:r>
        <w:t xml:space="preserve"> и участников</w:t>
      </w:r>
      <w:r>
        <w:t xml:space="preserve"> муниципальной программы осуществляется в рабочем порядке.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Порядок взаимодействия предполагает соблюдение единой системы взаимоотношений в рамках реализации муниципальной программы, внесения изменений в муниципальную программу и мониторинга.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Полномочия ответственного исполнителя муниципальной программы, ответственных исполнителей подпрограмм, соисполнителей муниципальной программы установлены порядком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утвержденным постановлением администрации </w:t>
      </w:r>
      <w:r>
        <w:t xml:space="preserve">Печенг</w:t>
      </w:r>
      <w:r>
        <w:t xml:space="preserve">ского</w:t>
      </w:r>
      <w:r>
        <w:t xml:space="preserve"> муниципального округа от 18</w:t>
      </w:r>
      <w:r>
        <w:t xml:space="preserve">.09.2025 № </w:t>
      </w:r>
      <w:r>
        <w:t xml:space="preserve">1488</w:t>
      </w:r>
      <w:r>
        <w:t xml:space="preserve"> (далее – Порядок).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Управление и контроль за ходом реализации муниципальной программы осуществляется ОЭР, как ответственным исполнителем муниципальной программы.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Управление реализацией подпрограмм муниципальной программы осуществляется соответственно ответственным исполнителем подпрограмм.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Текущее управление реализ</w:t>
      </w:r>
      <w:r>
        <w:t xml:space="preserve">ацией комплексами процессных и(или) проектных мероприятий, включенных в муниципальную программу, осуществляется соисполнителями муниципальной программы, ответственными за реализацию комплекса процессных и(или) проектных мероприятий муниципальной программы.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рамках исполнения мер</w:t>
      </w:r>
      <w:r>
        <w:t xml:space="preserve">оприятий муниципальной программы ответственный исполнитель организует и координирует процесс обмена информацией с соисполнителями муниципальной программы в целях обеспечения достижения установленных показателей, зафиксированных для конкретного мероприятия.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Соисполнители муниципальной программы: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- осуществляют реализацию мероприятий муниципальной программы, соисполнителями которых они являются;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ответ</w:t>
      </w:r>
      <w:r>
        <w:t xml:space="preserve">ственному исполнителю муниципальной программы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785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ответственному исполнителю муниципальной программы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785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Участники </w:t>
      </w:r>
      <w:r>
        <w:t xml:space="preserve">муниципальной программы</w:t>
      </w:r>
      <w:r>
        <w:t xml:space="preserve">:</w:t>
      </w:r>
      <w:r/>
    </w:p>
    <w:p>
      <w:pPr>
        <w:pStyle w:val="785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осуществляют реализацию мероприятий </w:t>
      </w:r>
      <w:r>
        <w:t xml:space="preserve">муниципальной программы</w:t>
      </w:r>
      <w:r>
        <w:t xml:space="preserve">, участниками которых они являются;</w:t>
      </w:r>
      <w:r/>
    </w:p>
    <w:p>
      <w:pPr>
        <w:pStyle w:val="785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</w:t>
      </w:r>
      <w:r>
        <w:t xml:space="preserve">о</w:t>
      </w:r>
      <w:r>
        <w:t xml:space="preserve">тветственному исполнителю </w:t>
      </w:r>
      <w:r>
        <w:t xml:space="preserve">муниципальной программы</w:t>
      </w:r>
      <w:r>
        <w:t xml:space="preserve"> (Направления (подпрограммы)) и </w:t>
      </w:r>
      <w:r>
        <w:t xml:space="preserve">с</w:t>
      </w:r>
      <w:r>
        <w:t xml:space="preserve">оисполнителям предложения при разработке проекта </w:t>
      </w:r>
      <w:r>
        <w:t xml:space="preserve">муниципальной программы</w:t>
      </w:r>
      <w:r>
        <w:t xml:space="preserve"> и предложения по внесению в нее изменений в части мероприятий </w:t>
      </w:r>
      <w:r>
        <w:t xml:space="preserve">муниципальной программы</w:t>
      </w:r>
      <w:r>
        <w:t xml:space="preserve">, в реализации которых предполагается их участие;</w:t>
      </w:r>
      <w:r/>
    </w:p>
    <w:p>
      <w:pPr>
        <w:pStyle w:val="785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</w:t>
      </w:r>
      <w:r>
        <w:t xml:space="preserve">о</w:t>
      </w:r>
      <w:r>
        <w:t xml:space="preserve">тветственному исполнителю </w:t>
      </w:r>
      <w:r>
        <w:t xml:space="preserve">муниципальной программы</w:t>
      </w:r>
      <w:r>
        <w:t xml:space="preserve"> (Направления (подпрограммы)) и </w:t>
      </w:r>
      <w:r>
        <w:t xml:space="preserve">с</w:t>
      </w:r>
      <w:r>
        <w:t xml:space="preserve">оисполнителям необходимую информацию для проведения мониторинга и оценки эффективности </w:t>
      </w:r>
      <w:r>
        <w:t xml:space="preserve">муниципальной программы</w:t>
      </w:r>
      <w:r>
        <w:t xml:space="preserve">.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785"/>
        <w:ind w:left="0" w:right="0" w:firstLine="709"/>
        <w:jc w:val="both"/>
        <w:spacing w:before="0" w:beforeAutospacing="0" w:after="0" w:afterAutospacing="0" w:line="240" w:lineRule="auto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</w:t>
      </w:r>
      <w:r>
        <w:t xml:space="preserve">ходе реализации и оценке эффективности муниципальных программ в соответствии с Порядком.</w:t>
      </w:r>
      <w:r>
        <w:rPr>
          <w:highlight w:val="green"/>
        </w:rPr>
      </w:r>
      <w:r/>
    </w:p>
    <w:p>
      <w:pPr>
        <w:pStyle w:val="785"/>
        <w:jc w:val="right"/>
        <w:spacing w:before="0" w:beforeAutospacing="0" w:after="0" w:afterAutospacing="0" w:line="288" w:lineRule="atLeast"/>
        <w:rPr>
          <w:highlight w:val="green"/>
        </w:rPr>
        <w:sectPr>
          <w:footnotePr/>
          <w:endnotePr/>
          <w:type w:val="nextPage"/>
          <w:pgSz w:w="11906" w:h="16838" w:orient="portrait"/>
          <w:pgMar w:top="962" w:right="709" w:bottom="1134" w:left="1276" w:header="709" w:footer="709" w:gutter="0"/>
          <w:cols w:num="1" w:sep="0" w:space="708" w:equalWidth="1"/>
          <w:docGrid w:linePitch="360"/>
        </w:sectPr>
      </w:pPr>
      <w:r>
        <w:rPr>
          <w:highlight w:val="green"/>
        </w:rPr>
      </w:r>
      <w:r>
        <w:rPr>
          <w:highlight w:val="green"/>
        </w:rPr>
      </w:r>
      <w:r>
        <w:rPr>
          <w:highlight w:val="green"/>
        </w:rPr>
      </w:r>
    </w:p>
    <w:p>
      <w:pPr>
        <w:pStyle w:val="785"/>
        <w:jc w:val="both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85"/>
        <w:numPr>
          <w:ilvl w:val="0"/>
          <w:numId w:val="16"/>
        </w:numPr>
        <w:ind w:left="0" w:firstLine="0"/>
        <w:jc w:val="center"/>
        <w:spacing w:before="0" w:beforeAutospacing="0" w:after="0" w:afterAutospacing="0"/>
        <w:rPr>
          <w:b/>
        </w:rPr>
        <w:suppressLineNumbers w:val="0"/>
      </w:pPr>
      <w:r>
        <w:rPr>
          <w:b/>
        </w:rPr>
        <w:t xml:space="preserve">Сведения об источниках и методике расчета значений показателей муниципальной программы </w:t>
      </w:r>
      <w:r>
        <w:rPr>
          <w:b/>
        </w:rPr>
      </w:r>
      <w:r>
        <w:rPr>
          <w:b/>
        </w:rPr>
      </w:r>
    </w:p>
    <w:p>
      <w:pPr>
        <w:pStyle w:val="785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87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3544"/>
        <w:gridCol w:w="1559"/>
        <w:gridCol w:w="1559"/>
        <w:gridCol w:w="1843"/>
        <w:gridCol w:w="1985"/>
        <w:gridCol w:w="1701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измерения, временная характеристика</w:t>
            </w:r>
            <w:r>
              <w:rPr>
                <w:sz w:val="22"/>
                <w:szCs w:val="22"/>
                <w:vertAlign w:val="superscript"/>
              </w:rPr>
              <w:t xml:space="preserve">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Алгоритм расчета (формула)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Базовые показатели (используемые в формуле)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 сбора информации, код формы отчетности</w:t>
            </w:r>
            <w:r>
              <w:rPr>
                <w:sz w:val="22"/>
                <w:szCs w:val="22"/>
                <w:vertAlign w:val="superscript"/>
              </w:rPr>
              <w:t xml:space="preserve">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получения фактических значений показателей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 w:line="288" w:lineRule="atLeast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785"/>
              <w:jc w:val="both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Экономический потенциал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</w:t>
            </w:r>
            <w:r>
              <w:rPr>
                <w:sz w:val="20"/>
                <w:szCs w:val="20"/>
              </w:rPr>
              <w:t xml:space="preserve">субъектов 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Данные из Единого реестра субъектов малого и среднего предпринимательства ФНС России на официальном сайте https://rmsp.nalog.ru/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ежемесячно, на </w:t>
            </w: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  <w:t xml:space="preserve"> числ</w:t>
            </w:r>
            <w:r>
              <w:rPr>
                <w:sz w:val="20"/>
                <w:szCs w:val="20"/>
              </w:rPr>
              <w:t xml:space="preserve">о месяца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инвестиций в основной капитал (без субъектов МСП)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Млн.</w:t>
            </w:r>
            <w:r>
              <w:rPr>
                <w:sz w:val="20"/>
                <w:szCs w:val="20"/>
              </w:rPr>
              <w:t xml:space="preserve"> рублей,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Статистическая работа  № 032042188 «Инвестиции в основной капитал организаций (без субъектов малого предпринимательства) по источникам финансирования и видам экономической деятельности по </w:t>
            </w:r>
            <w:r>
              <w:rPr>
                <w:sz w:val="20"/>
                <w:szCs w:val="20"/>
              </w:rPr>
              <w:t xml:space="preserve">Печенгскому</w:t>
            </w:r>
            <w:r>
              <w:rPr>
                <w:sz w:val="20"/>
                <w:szCs w:val="20"/>
              </w:rPr>
              <w:t xml:space="preserve"> муниципальному округу»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арт года,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ОЭР, Сектор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1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0.3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функционирующих КСР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Единый реестр объектов классификации в сфере туристской индустрии на сайте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https://tourism.fsa.gov.ru/ru/resorts/showcase/hotels?regionIdList=51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3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Статистическая работа № 111941038 «Деятельность коллективных средств размещения по </w:t>
            </w:r>
            <w:r>
              <w:rPr>
                <w:sz w:val="20"/>
                <w:szCs w:val="20"/>
              </w:rPr>
              <w:t xml:space="preserve">Печенгскому</w:t>
            </w:r>
            <w:r>
              <w:rPr>
                <w:sz w:val="20"/>
                <w:szCs w:val="20"/>
              </w:rPr>
              <w:t xml:space="preserve"> муниципальному округу»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ай года, следующего за </w:t>
            </w:r>
            <w:r>
              <w:rPr>
                <w:sz w:val="20"/>
                <w:szCs w:val="20"/>
              </w:rPr>
              <w:t xml:space="preserve">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 туристического потока (количество лиц, размещенных в КСР)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ежегодно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(Информация о количестве туристов, посетивших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муниципальный округ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– оперативные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жемесячно,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5 числа</w:t>
            </w:r>
            <w:r>
              <w:rPr>
                <w:sz w:val="20"/>
                <w:szCs w:val="20"/>
              </w:rPr>
              <w:t xml:space="preserve"> месяца,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7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Статистическая </w:t>
            </w:r>
            <w:r>
              <w:rPr>
                <w:sz w:val="20"/>
                <w:szCs w:val="20"/>
              </w:rPr>
              <w:t xml:space="preserve">работа № 111941038 «Деятельность коллективных средств размещения по </w:t>
            </w:r>
            <w:r>
              <w:rPr>
                <w:sz w:val="20"/>
                <w:szCs w:val="20"/>
              </w:rPr>
              <w:t xml:space="preserve">Печенгскому</w:t>
            </w:r>
            <w:r>
              <w:rPr>
                <w:sz w:val="20"/>
                <w:szCs w:val="20"/>
              </w:rPr>
              <w:t xml:space="preserve"> муниципальному округу»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ай года, следующего за отчетным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3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0.5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СО НКО, осуществляющих деятельность на территории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нарастающим итогом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СО НКО на 31 декабря соответствующего года = 23 (к</w:t>
            </w:r>
            <w:r>
              <w:rPr>
                <w:sz w:val="20"/>
                <w:szCs w:val="20"/>
              </w:rPr>
              <w:t xml:space="preserve">оличество </w:t>
            </w:r>
            <w:r>
              <w:rPr>
                <w:sz w:val="20"/>
                <w:szCs w:val="20"/>
              </w:rPr>
              <w:t xml:space="preserve">СО НКО на 31.12.2023) + 2 (к</w:t>
            </w:r>
            <w:r>
              <w:rPr>
                <w:sz w:val="20"/>
                <w:szCs w:val="20"/>
              </w:rPr>
              <w:t xml:space="preserve">оличество вновь зарегистрированных СО НКО в 2024 году</w:t>
            </w:r>
            <w:r>
              <w:rPr>
                <w:sz w:val="20"/>
                <w:szCs w:val="20"/>
              </w:rPr>
              <w:t xml:space="preserve">) + сумма вновь </w:t>
            </w:r>
            <w:r>
              <w:rPr>
                <w:sz w:val="20"/>
                <w:szCs w:val="20"/>
              </w:rPr>
              <w:t xml:space="preserve"> зарегистрированных СО НКО в </w:t>
            </w:r>
            <w:r>
              <w:rPr>
                <w:sz w:val="20"/>
                <w:szCs w:val="20"/>
              </w:rPr>
              <w:t xml:space="preserve">соответствующих годах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СО НКО на 31.12.2023 = 23 ед.;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вновь зарегистрированных СО НКО в 2024 году = 2 ед.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Статистическая работа № 020241272 «Количество социально ориентированных некоммерческих организаций  по муниципальным образованиям Мурманской области на 31.12.2023»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арт 2024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9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Статистическая работа № 020241273 «Количество вновь зарегистрированных социально ориентированных некоммерческих </w:t>
            </w:r>
            <w:r>
              <w:rPr>
                <w:sz w:val="20"/>
                <w:szCs w:val="20"/>
              </w:rPr>
              <w:t xml:space="preserve">организаций  по муниципальным образованиям Мурманской области»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арт</w:t>
            </w:r>
            <w:r>
              <w:rPr>
                <w:sz w:val="20"/>
                <w:szCs w:val="20"/>
              </w:rPr>
              <w:t xml:space="preserve"> года,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785"/>
              <w:spacing w:before="0" w:beforeAutospacing="0" w:after="0" w:afterAutospacing="0"/>
            </w:pPr>
            <w:r>
              <w:rPr>
                <w:u w:val="single"/>
              </w:rPr>
              <w:t xml:space="preserve">Направление (п</w:t>
            </w:r>
            <w:r>
              <w:rPr>
                <w:u w:val="single"/>
              </w:rPr>
              <w:t xml:space="preserve">одпрограмма</w:t>
            </w:r>
            <w:r>
              <w:rPr>
                <w:u w:val="single"/>
              </w:rPr>
              <w:t xml:space="preserve">)</w:t>
            </w:r>
            <w:r>
              <w:rPr>
                <w:u w:val="single"/>
              </w:rPr>
              <w:t xml:space="preserve"> 1</w:t>
            </w:r>
            <w:r>
              <w:t xml:space="preserve">. «Повышение инвестиционной привлекательности </w:t>
            </w:r>
            <w:r>
              <w:t xml:space="preserve">Печенгского</w:t>
            </w:r>
            <w:r>
              <w:t xml:space="preserve"> муниципального округа» </w:t>
            </w:r>
            <w:r/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     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</w:t>
            </w:r>
            <w:r>
              <w:rPr>
                <w:sz w:val="20"/>
                <w:szCs w:val="20"/>
              </w:rPr>
              <w:t xml:space="preserve"> объектов недвижимости нежилого фонда, находящегося в собственности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подлежащих к сдаче в аренду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(Перечень </w:t>
            </w:r>
            <w:r>
              <w:rPr>
                <w:sz w:val="20"/>
                <w:szCs w:val="20"/>
              </w:rPr>
              <w:t xml:space="preserve">муниципального имущества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свободного от прав третьих лиц (за исключением права хозяй</w:t>
            </w:r>
            <w:r>
              <w:rPr>
                <w:sz w:val="20"/>
                <w:szCs w:val="20"/>
              </w:rPr>
              <w:t xml:space="preserve">ственного ведения, права оперативного управления, а также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</w:t>
            </w:r>
            <w:r>
              <w:rPr>
                <w:sz w:val="20"/>
                <w:szCs w:val="20"/>
              </w:rPr>
              <w:t xml:space="preserve">, утверждаемый постановлением администрации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доли объектов, включенных в перечни муниципального имущества и предоставляемого </w:t>
            </w:r>
            <w:r>
              <w:rPr>
                <w:sz w:val="20"/>
                <w:szCs w:val="20"/>
              </w:rPr>
              <w:t xml:space="preserve">субъектам </w:t>
            </w:r>
            <w:r>
              <w:rPr>
                <w:sz w:val="20"/>
                <w:szCs w:val="20"/>
              </w:rPr>
              <w:t xml:space="preserve">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рамках оказания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объектов, переданных субъектам МСП и </w:t>
            </w:r>
            <w:r>
              <w:rPr>
                <w:sz w:val="20"/>
                <w:szCs w:val="20"/>
              </w:rPr>
              <w:t xml:space="preserve">самозанятым</w:t>
            </w:r>
            <w:r>
              <w:rPr>
                <w:sz w:val="20"/>
                <w:szCs w:val="20"/>
              </w:rPr>
              <w:t xml:space="preserve"> гражданам в качестве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общедоступной информации, необходимой для развития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деятельности;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вопросам </w:t>
            </w:r>
            <w:r>
              <w:rPr>
                <w:sz w:val="20"/>
                <w:szCs w:val="20"/>
              </w:rPr>
              <w:t xml:space="preserve">субъектов </w:t>
            </w:r>
            <w:r>
              <w:rPr>
                <w:sz w:val="20"/>
                <w:szCs w:val="20"/>
              </w:rPr>
              <w:t xml:space="preserve">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</w:t>
            </w:r>
            <w:r>
              <w:rPr>
                <w:sz w:val="20"/>
                <w:szCs w:val="20"/>
              </w:rPr>
              <w:t xml:space="preserve">ор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приемов инвест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ров и предпринимателей инвестиционным уполномоченным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  <w:t xml:space="preserve">                 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заседаний Совета по улучшению инвестиционного климата и развитию предпринимательства при Главе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до 30 числа последнего месяца квартала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highlight w:val="yellow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актуализированного </w:t>
            </w:r>
            <w:r>
              <w:rPr>
                <w:sz w:val="20"/>
                <w:szCs w:val="20"/>
              </w:rPr>
              <w:t xml:space="preserve">инвестиционного </w:t>
            </w:r>
            <w:r>
              <w:rPr>
                <w:sz w:val="20"/>
                <w:szCs w:val="20"/>
              </w:rPr>
              <w:t xml:space="preserve">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  <w:t xml:space="preserve">,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31.12 текущего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</w:t>
            </w:r>
            <w:r>
              <w:rPr>
                <w:sz w:val="20"/>
                <w:szCs w:val="20"/>
              </w:rPr>
              <w:t xml:space="preserve">ор инвестиционной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1.9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актуализированного инвестиционного профиля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согласованного Главой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округа,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в сети Интернет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31.12 текущего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Сектор инвестиционной деятельности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u w:val="single"/>
              </w:rPr>
              <w:t xml:space="preserve">Направление (п</w:t>
            </w:r>
            <w:r>
              <w:rPr>
                <w:u w:val="single"/>
              </w:rPr>
              <w:t xml:space="preserve">одпрограмма</w:t>
            </w:r>
            <w:r>
              <w:rPr>
                <w:u w:val="single"/>
              </w:rPr>
              <w:t xml:space="preserve">)</w:t>
            </w:r>
            <w:r>
              <w:rPr>
                <w:u w:val="single"/>
              </w:rPr>
              <w:t xml:space="preserve"> 2.</w:t>
            </w:r>
            <w:r>
              <w:t xml:space="preserve"> «Развитие туризма в </w:t>
            </w:r>
            <w:r>
              <w:t xml:space="preserve">Печенгском</w:t>
            </w:r>
            <w:r>
              <w:t xml:space="preserve"> муниципальном округе» 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sz w:val="20"/>
                <w:szCs w:val="20"/>
              </w:rPr>
              <w:t xml:space="preserve">Каула-Котсельваара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 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нарастающим итогом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 xml:space="preserve"> 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конкурсов цифрового контента (фото, видео)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  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направленных предложений о включении мероприятий в региональный реестр «51 событие»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событийных мероприятий, в организации и проведении которых оказано содействие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Консультант по приграничному сотрудничеству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2.6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организаций, участвующих в развитии школьного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до 31.12 текущего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b/>
              </w:rPr>
            </w:pPr>
            <w:r/>
            <w:bookmarkStart w:id="8" w:name="p124"/>
            <w:r/>
            <w:bookmarkEnd w:id="8"/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u w:val="single"/>
              </w:rPr>
              <w:t xml:space="preserve">Направление (п</w:t>
            </w:r>
            <w:r>
              <w:rPr>
                <w:u w:val="single"/>
              </w:rPr>
              <w:t xml:space="preserve">одпрограмма</w:t>
            </w:r>
            <w:r>
              <w:rPr>
                <w:u w:val="single"/>
              </w:rPr>
              <w:t xml:space="preserve">)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3</w:t>
            </w:r>
            <w:r>
              <w:rPr>
                <w:u w:val="single"/>
              </w:rPr>
              <w:t xml:space="preserve">.</w:t>
            </w:r>
            <w:r>
              <w:t xml:space="preserve"> «</w:t>
            </w:r>
            <w:r>
              <w:t xml:space="preserve">Взаимодействие с СО НКО</w:t>
            </w:r>
            <w:r>
              <w:t xml:space="preserve">» </w:t>
            </w: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3.1</w:t>
            </w:r>
            <w:r/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объектов, переданных СО НКО в качестве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Реестр СО НКО – получателей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январь года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</w:pPr>
            <w:r>
              <w:t xml:space="preserve">3.2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общедоступной информации для развития СО НКО на официальном сайте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публикаций,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31.12 текущего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785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ОЭР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785"/>
        <w:contextualSpacing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pStyle w:val="785"/>
        <w:contextualSpacing/>
        <w:jc w:val="both"/>
        <w:spacing w:before="0" w:beforeAutospacing="0" w:after="0" w:afterAutospacing="0" w:line="288" w:lineRule="atLeast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4</w:t>
      </w:r>
      <w:r>
        <w:rPr>
          <w:sz w:val="20"/>
          <w:szCs w:val="20"/>
        </w:rPr>
        <w:t xml:space="preserve">Ежегодно, нарастающим итогом, убывающим итогом.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contextualSpacing/>
        <w:jc w:val="both"/>
        <w:spacing w:before="168" w:beforeAutospacing="0" w:after="0" w:afterAutospacing="0" w:line="288" w:lineRule="atLeast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5</w:t>
      </w:r>
      <w:r>
        <w:rPr>
          <w:sz w:val="20"/>
          <w:szCs w:val="20"/>
        </w:rPr>
        <w:t xml:space="preserve">Указываются методы: статистическая отчетность, социологический опрос, прочие (указать).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85"/>
        <w:jc w:val="both"/>
        <w:spacing w:before="0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6838" w:h="11906" w:orient="landscape"/>
          <w:pgMar w:top="1276" w:right="962" w:bottom="709" w:left="1134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ind w:left="5522" w:firstLine="0"/>
        <w:suppressLineNumbers w:val="0"/>
      </w:pPr>
      <w:r/>
      <w:bookmarkStart w:id="9" w:name="p257"/>
      <w:r/>
      <w:bookmarkEnd w:id="9"/>
      <w:r>
        <w:t xml:space="preserve">Приложение</w:t>
      </w:r>
      <w:r/>
    </w:p>
    <w:p>
      <w:pPr>
        <w:ind w:left="5522" w:firstLine="0"/>
        <w:suppressLineNumbers w:val="0"/>
      </w:pPr>
      <w:r>
        <w:t xml:space="preserve">к муниципальной программе</w:t>
      </w:r>
      <w:r/>
    </w:p>
    <w:p>
      <w:pPr>
        <w:ind w:left="5522" w:firstLine="0"/>
        <w:suppressLineNumbers w:val="0"/>
      </w:pPr>
      <w:r>
        <w:t xml:space="preserve">Печенгского</w:t>
      </w:r>
      <w:r>
        <w:t xml:space="preserve"> муниципального</w:t>
      </w:r>
      <w:r/>
    </w:p>
    <w:p>
      <w:pPr>
        <w:ind w:left="5522" w:firstLine="0"/>
        <w:suppressLineNumbers w:val="0"/>
      </w:pPr>
      <w:r>
        <w:t xml:space="preserve">округа «</w:t>
      </w:r>
      <w:r>
        <w:t xml:space="preserve">Экономический</w:t>
      </w:r>
      <w:r/>
    </w:p>
    <w:p>
      <w:pPr>
        <w:ind w:left="5522" w:firstLine="0"/>
        <w:suppressLineNumbers w:val="0"/>
      </w:pPr>
      <w:r>
        <w:t xml:space="preserve">потенциал»</w:t>
      </w:r>
      <w:r/>
    </w:p>
    <w:p>
      <w:r/>
      <w:r/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b/>
        </w:rP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</w:pPr>
      <w:r>
        <w:t xml:space="preserve">муниципального имущества </w:t>
      </w:r>
      <w:r>
        <w:t xml:space="preserve">Печенгского</w:t>
      </w:r>
      <w:r>
        <w:t xml:space="preserve"> муниципального округа,</w:t>
      </w:r>
      <w:r/>
    </w:p>
    <w:p>
      <w:pPr>
        <w:jc w:val="center"/>
        <w:widowControl w:val="off"/>
      </w:pPr>
      <w:r>
        <w:t xml:space="preserve">предназначенного</w:t>
      </w:r>
      <w:r>
        <w:t xml:space="preserve"> для передачи во владение и (или) пользование СМСП</w:t>
      </w:r>
      <w:r/>
    </w:p>
    <w:p>
      <w:pPr>
        <w:jc w:val="right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tbl>
      <w:tblPr>
        <w:tblW w:w="976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1403"/>
        <w:gridCol w:w="1843"/>
        <w:gridCol w:w="1417"/>
        <w:gridCol w:w="1134"/>
        <w:gridCol w:w="992"/>
        <w:gridCol w:w="836"/>
        <w:gridCol w:w="708"/>
        <w:gridCol w:w="851"/>
      </w:tblGrid>
      <w:tr>
        <w:tblPrEx/>
        <w:trPr>
          <w:trHeight w:val="11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8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в реестре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(местоположение) объекта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и номер помещения, расположенного в здании или сооружении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объекта недвижимости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Основная характеристика объекта недвижимости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обладатель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</w:t>
            </w:r>
            <w:r>
              <w:rPr>
                <w:color w:val="000000"/>
                <w:sz w:val="20"/>
                <w:szCs w:val="20"/>
              </w:rPr>
              <w:t xml:space="preserve">I</w:t>
            </w:r>
            <w:r>
              <w:rPr>
                <w:color w:val="000000"/>
                <w:sz w:val="20"/>
                <w:szCs w:val="20"/>
              </w:rPr>
              <w:t xml:space="preserve">а</w:t>
            </w:r>
            <w:r>
              <w:rPr>
                <w:color w:val="000000"/>
                <w:sz w:val="20"/>
                <w:szCs w:val="20"/>
              </w:rPr>
              <w:t xml:space="preserve">/1, 2, 2а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часть 1-го этажа № II/ч. 1, ч. 2, 2а, 13,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40,05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72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часть 1-го этажа </w:t>
              <w:br/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III</w:t>
            </w:r>
            <w:r>
              <w:rPr>
                <w:color w:val="000000"/>
                <w:sz w:val="20"/>
                <w:szCs w:val="20"/>
              </w:rPr>
              <w:t xml:space="preserve">а</w:t>
            </w:r>
            <w:r>
              <w:rPr>
                <w:color w:val="000000"/>
                <w:sz w:val="20"/>
                <w:szCs w:val="20"/>
              </w:rPr>
              <w:t xml:space="preserve">/1,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0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этаж № II/ч. 1, ч.2, 3 - 12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3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первый этаж № </w:t>
            </w:r>
            <w:r>
              <w:rPr>
                <w:color w:val="000000"/>
                <w:sz w:val="20"/>
                <w:szCs w:val="20"/>
              </w:rPr>
              <w:t xml:space="preserve">III</w:t>
            </w:r>
            <w:r>
              <w:rPr>
                <w:color w:val="000000"/>
                <w:sz w:val="20"/>
                <w:szCs w:val="20"/>
              </w:rPr>
              <w:t xml:space="preserve">а</w:t>
            </w:r>
            <w:r>
              <w:rPr>
                <w:color w:val="000000"/>
                <w:sz w:val="20"/>
                <w:szCs w:val="20"/>
              </w:rPr>
              <w:t xml:space="preserve">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4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01.000010851НЗ0021010600621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первый этаж, № I/1, 1а-5, </w:t>
              <w:br/>
              <w:t xml:space="preserve">8 - 10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цоколь № II/8,15, ч.1(0,9), 2(2,92), 6(0,62), 7(0,62)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46,46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цоколь, № I/ч.1, ч</w:t>
            </w: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color w:val="000000"/>
                <w:sz w:val="20"/>
                <w:szCs w:val="20"/>
              </w:rPr>
              <w:t xml:space="preserve">, ч.7, ч.8, ч.9, 3 - 6, 10, 12,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</w:t>
              <w:br/>
              <w:t xml:space="preserve">№ II/ч.1, ч.2, ч.6, ч.7, ч.10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4,14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II/4,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II/14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(19) 1 - 20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II/1 - 3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  <w:br/>
              <w:t xml:space="preserve">№ II/8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01.000010851000020010106272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четвертый, </w:t>
              <w:br/>
              <w:t xml:space="preserve"> № 3а/1 - 34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II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IV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(21) 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</w:t>
            </w:r>
            <w:r>
              <w:rPr>
                <w:color w:val="000000"/>
                <w:sz w:val="20"/>
                <w:szCs w:val="20"/>
              </w:rPr>
              <w:t xml:space="preserve">Гвардейский, 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II/1 - 8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01.000010851100851000003052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69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01.0001108510000001496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цоколь, </w:t>
              <w:br/>
              <w:t xml:space="preserve">№ V/1-11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III/19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III/1 - 10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28а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II/1 - 9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113,30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01.000010851110851000002980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33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VII/1 - 5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01.000010851110851000002971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37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39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4а/1 - 10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20,00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6,90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24,20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2,30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10,30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13,50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01.000010851110851000002998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Победы, д.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II/13 - 15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01.000010851НЗ0010010110162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Октябрьская,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01.000010851110851000002986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Спортивная, д.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(24) 1 - 7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01.000010851НЗ002010600203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улица Советская, д. 22а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здание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п. </w:t>
            </w:r>
            <w:r>
              <w:rPr>
                <w:color w:val="000000"/>
                <w:sz w:val="20"/>
                <w:szCs w:val="20"/>
              </w:rPr>
              <w:t xml:space="preserve">Раякоски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0512085.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н.п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Лиинахамари</w:t>
            </w:r>
            <w:r>
              <w:rPr>
                <w:color w:val="000000"/>
                <w:sz w:val="20"/>
                <w:szCs w:val="20"/>
              </w:rPr>
              <w:t xml:space="preserve">, улица Северная,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IV/1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Юбилейная,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III/1 - 35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I/8, 8а (57,9),</w:t>
              <w:br/>
              <w:t xml:space="preserve"> ч. I/1, 2, 4 (10,4)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9, 9а</w:t>
            </w:r>
            <w:r>
              <w:rPr>
                <w:color w:val="000000"/>
                <w:sz w:val="20"/>
                <w:szCs w:val="20"/>
              </w:rPr>
              <w:t xml:space="preserve">, </w:t>
              <w:br/>
              <w:t xml:space="preserve">ч</w:t>
            </w:r>
            <w:r>
              <w:rPr>
                <w:color w:val="000000"/>
                <w:sz w:val="20"/>
                <w:szCs w:val="20"/>
              </w:rPr>
              <w:t xml:space="preserve">. 1, 2, 4 (I)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ч. V/1 (3)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 (2,6), ч. V/1 (1)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V/27, 27а, </w:t>
            </w:r>
            <w:r>
              <w:rPr>
                <w:color w:val="000000"/>
                <w:sz w:val="20"/>
                <w:szCs w:val="20"/>
              </w:rPr>
              <w:t xml:space="preserve">ч.V</w:t>
            </w:r>
            <w:r>
              <w:rPr>
                <w:color w:val="000000"/>
                <w:sz w:val="20"/>
                <w:szCs w:val="20"/>
              </w:rPr>
              <w:t xml:space="preserve">/26 (3,7)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V/28, 29 и ч. 26, 30, 31, 32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V/26а, 40, 41, 42, 44, 45, 46 (122,7), ч. 1(1,8), 2 (2), 26 (2), 30 (0,7), 31 (0,6), 43 (37,2)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8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V/47 (8,6), ч. V/1 (0,5), V/2 (1,5), V/43 (14,4)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V/4 (8,3), ч. V/2 (1,6)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VI/24, 24а, 25 (51,1), ч. VI/2 (5,5)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VI/26 (12,3), ч. VI/2 (1,8)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VI/12 (9,7), ч. VI/11 (1,5), ч.VI/2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VI/18, 22, 27 (66,5), ч. VI/2 (2,5)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69,00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VI/8 (29,1), ч. VI/11 (4,3)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VI/ч. 2Б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Космонавтов, д.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Крупской,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II/37 - 41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здание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108,10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33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II/89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II/45, 86, 88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второй № V/4-23, II/11-18, 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98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II/99, 100, этаж третий VIII/13,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99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I/1, 2, 4 - 12, 14 - 16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II/48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Мира,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IV/1 - 3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Мира,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II/12 - 15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104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Мира,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54/1 - 6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пер. Советский,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I/1 - 2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пер. Советский,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Терешковой, д.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IV/1 - 2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Терешковой, д.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IV/3 - 8 (56,8), ч.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8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район пропускного пункта КПП АО "Кольская ГМК"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сооружение - автостоянка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3 855,0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Ленинградская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4 250,0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color w:val="000000"/>
                <w:sz w:val="20"/>
                <w:szCs w:val="20"/>
              </w:rPr>
              <w:t xml:space="preserve">, д.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197,50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112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II/50 - 52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113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II/67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color w:val="000000"/>
                <w:sz w:val="20"/>
                <w:szCs w:val="20"/>
              </w:rPr>
              <w:t xml:space="preserve">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II/90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349,10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цоколь№ III/8,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144,60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2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 № III/3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цоколь№ III/11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10 206,00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7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33 554,00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6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I/19, 20, 32, 37 - 42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22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color w:val="000000"/>
                <w:sz w:val="20"/>
                <w:szCs w:val="20"/>
              </w:rPr>
              <w:t xml:space="preserve">г.п</w:t>
            </w:r>
            <w:r>
              <w:rPr>
                <w:color w:val="000000"/>
                <w:sz w:val="20"/>
                <w:szCs w:val="20"/>
              </w:rPr>
              <w:t xml:space="preserve">. Никель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района,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color w:val="000000"/>
                <w:sz w:val="20"/>
                <w:szCs w:val="20"/>
              </w:rPr>
              <w:t xml:space="preserve">ул</w:t>
            </w:r>
            <w:r>
              <w:rPr>
                <w:color w:val="000000"/>
                <w:sz w:val="20"/>
                <w:szCs w:val="20"/>
              </w:rPr>
              <w:t xml:space="preserve">. Б</w:t>
            </w:r>
            <w:r>
              <w:rPr>
                <w:color w:val="000000"/>
                <w:sz w:val="20"/>
                <w:szCs w:val="20"/>
              </w:rPr>
              <w:t xml:space="preserve">редова</w:t>
            </w:r>
            <w:r>
              <w:rPr>
                <w:color w:val="000000"/>
                <w:sz w:val="20"/>
                <w:szCs w:val="20"/>
              </w:rPr>
              <w:t xml:space="preserve">, д.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I/33 - 36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23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</w:t>
            </w:r>
            <w:r>
              <w:rPr>
                <w:color w:val="000000"/>
                <w:sz w:val="20"/>
                <w:szCs w:val="20"/>
              </w:rPr>
              <w:t xml:space="preserve">п.г.т</w:t>
            </w:r>
            <w:r>
              <w:rPr>
                <w:color w:val="000000"/>
                <w:sz w:val="20"/>
                <w:szCs w:val="20"/>
              </w:rPr>
              <w:t xml:space="preserve">. Никель, проспект Гвардейский, д. 23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I/1 - 16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</w:t>
            </w:r>
            <w:r>
              <w:rPr>
                <w:sz w:val="20"/>
                <w:szCs w:val="20"/>
              </w:rPr>
              <w:t xml:space="preserve">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color w:val="000000"/>
                <w:sz w:val="20"/>
                <w:szCs w:val="20"/>
              </w:rPr>
              <w:t xml:space="preserve"> район, г. Заполярный, ул. Ленина, д. 37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96,70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</w:t>
            </w:r>
            <w:r>
              <w:rPr>
                <w:color w:val="000000"/>
                <w:sz w:val="20"/>
                <w:szCs w:val="20"/>
              </w:rPr>
              <w:t xml:space="preserve">.м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КУИ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r/>
      <w:r/>
    </w:p>
    <w:p>
      <w:pPr>
        <w:ind w:firstLine="5954"/>
      </w:pPr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mbria">
    <w:panose1 w:val="02040503050406030204"/>
  </w:font>
  <w:font w:name="TimesNewRomanPSMT">
    <w:panose1 w:val="02020603050405020304"/>
  </w:font>
  <w:font w:name="Candara">
    <w:panose1 w:val="020E0502030303020204"/>
  </w:font>
  <w:font w:name="SimSun">
    <w:panose1 w:val="02010600030101010101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38"/>
  </w:num>
  <w:num w:numId="3">
    <w:abstractNumId w:val="12"/>
  </w:num>
  <w:num w:numId="4">
    <w:abstractNumId w:val="6"/>
  </w:num>
  <w:num w:numId="5">
    <w:abstractNumId w:val="27"/>
  </w:num>
  <w:num w:numId="6">
    <w:abstractNumId w:val="5"/>
  </w:num>
  <w:num w:numId="7">
    <w:abstractNumId w:val="37"/>
  </w:num>
  <w:num w:numId="8">
    <w:abstractNumId w:val="16"/>
  </w:num>
  <w:num w:numId="9">
    <w:abstractNumId w:val="19"/>
  </w:num>
  <w:num w:numId="10">
    <w:abstractNumId w:val="9"/>
  </w:num>
  <w:num w:numId="11">
    <w:abstractNumId w:val="13"/>
  </w:num>
  <w:num w:numId="12">
    <w:abstractNumId w:val="11"/>
  </w:num>
  <w:num w:numId="13">
    <w:abstractNumId w:val="32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33"/>
  </w:num>
  <w:num w:numId="18">
    <w:abstractNumId w:val="4"/>
  </w:num>
  <w:num w:numId="19">
    <w:abstractNumId w:val="22"/>
  </w:num>
  <w:num w:numId="20">
    <w:abstractNumId w:val="30"/>
  </w:num>
  <w:num w:numId="21">
    <w:abstractNumId w:val="7"/>
  </w:num>
  <w:num w:numId="22">
    <w:abstractNumId w:val="1"/>
  </w:num>
  <w:num w:numId="23">
    <w:abstractNumId w:val="23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9"/>
  </w:num>
  <w:num w:numId="27">
    <w:abstractNumId w:val="18"/>
  </w:num>
  <w:num w:numId="28">
    <w:abstractNumId w:val="28"/>
  </w:num>
  <w:num w:numId="29">
    <w:abstractNumId w:val="25"/>
  </w:num>
  <w:num w:numId="30">
    <w:abstractNumId w:val="17"/>
  </w:num>
  <w:num w:numId="31">
    <w:abstractNumId w:val="10"/>
  </w:num>
  <w:num w:numId="32">
    <w:abstractNumId w:val="14"/>
  </w:num>
  <w:num w:numId="33">
    <w:abstractNumId w:val="36"/>
  </w:num>
  <w:num w:numId="34">
    <w:abstractNumId w:val="8"/>
  </w:num>
  <w:num w:numId="35">
    <w:abstractNumId w:val="24"/>
  </w:num>
  <w:num w:numId="36">
    <w:abstractNumId w:val="0"/>
  </w:num>
  <w:num w:numId="37">
    <w:abstractNumId w:val="21"/>
  </w:num>
  <w:num w:numId="38">
    <w:abstractNumId w:val="2"/>
  </w:num>
  <w:num w:numId="39">
    <w:abstractNumId w:val="35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775"/>
    <w:link w:val="766"/>
    <w:uiPriority w:val="9"/>
    <w:rPr>
      <w:rFonts w:ascii="Arial" w:hAnsi="Arial" w:eastAsia="Arial" w:cs="Arial"/>
      <w:sz w:val="40"/>
      <w:szCs w:val="40"/>
    </w:rPr>
  </w:style>
  <w:style w:type="character" w:styleId="734">
    <w:name w:val="Heading 2 Char"/>
    <w:basedOn w:val="775"/>
    <w:link w:val="767"/>
    <w:uiPriority w:val="9"/>
    <w:rPr>
      <w:rFonts w:ascii="Arial" w:hAnsi="Arial" w:eastAsia="Arial" w:cs="Arial"/>
      <w:sz w:val="34"/>
    </w:rPr>
  </w:style>
  <w:style w:type="character" w:styleId="735">
    <w:name w:val="Heading 3 Char"/>
    <w:basedOn w:val="775"/>
    <w:link w:val="768"/>
    <w:uiPriority w:val="9"/>
    <w:rPr>
      <w:rFonts w:ascii="Arial" w:hAnsi="Arial" w:eastAsia="Arial" w:cs="Arial"/>
      <w:sz w:val="30"/>
      <w:szCs w:val="30"/>
    </w:rPr>
  </w:style>
  <w:style w:type="character" w:styleId="736">
    <w:name w:val="Heading 4 Char"/>
    <w:basedOn w:val="775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37">
    <w:name w:val="Heading 5 Char"/>
    <w:basedOn w:val="775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38">
    <w:name w:val="Heading 6 Char"/>
    <w:basedOn w:val="775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39">
    <w:name w:val="Heading 7 Char"/>
    <w:basedOn w:val="775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0">
    <w:name w:val="Heading 8 Char"/>
    <w:basedOn w:val="77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41">
    <w:name w:val="Heading 9 Char"/>
    <w:basedOn w:val="775"/>
    <w:link w:val="774"/>
    <w:uiPriority w:val="9"/>
    <w:rPr>
      <w:rFonts w:ascii="Arial" w:hAnsi="Arial" w:eastAsia="Arial" w:cs="Arial"/>
      <w:i/>
      <w:iCs/>
      <w:sz w:val="21"/>
      <w:szCs w:val="21"/>
    </w:rPr>
  </w:style>
  <w:style w:type="character" w:styleId="742">
    <w:name w:val="Subtitle Char"/>
    <w:basedOn w:val="775"/>
    <w:link w:val="802"/>
    <w:uiPriority w:val="11"/>
    <w:rPr>
      <w:sz w:val="24"/>
      <w:szCs w:val="24"/>
    </w:rPr>
  </w:style>
  <w:style w:type="character" w:styleId="743">
    <w:name w:val="Quote Char"/>
    <w:link w:val="804"/>
    <w:uiPriority w:val="29"/>
    <w:rPr>
      <w:i/>
    </w:rPr>
  </w:style>
  <w:style w:type="character" w:styleId="744">
    <w:name w:val="Intense Quote Char"/>
    <w:link w:val="806"/>
    <w:uiPriority w:val="30"/>
    <w:rPr>
      <w:i/>
    </w:rPr>
  </w:style>
  <w:style w:type="table" w:styleId="745">
    <w:name w:val="Plain Table 1"/>
    <w:basedOn w:val="7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7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7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5 Dark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6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6">
    <w:name w:val="Grid Table 7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7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4">
    <w:name w:val="Endnote Text Char"/>
    <w:link w:val="938"/>
    <w:uiPriority w:val="99"/>
    <w:rPr>
      <w:sz w:val="20"/>
    </w:rPr>
  </w:style>
  <w:style w:type="paragraph" w:styleId="76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6">
    <w:name w:val="Heading 1"/>
    <w:basedOn w:val="765"/>
    <w:next w:val="765"/>
    <w:link w:val="792"/>
    <w:uiPriority w:val="9"/>
    <w:qFormat/>
    <w:pPr>
      <w:keepLines/>
      <w:keepNext/>
      <w:spacing w:before="480" w:after="200" w:line="276" w:lineRule="auto"/>
      <w:outlineLvl w:val="0"/>
    </w:pPr>
    <w:rPr>
      <w:rFonts w:ascii="Arial" w:hAnsi="Arial" w:eastAsia="Arial" w:cs="Arial"/>
      <w:sz w:val="40"/>
      <w:szCs w:val="40"/>
      <w:lang w:eastAsia="en-US"/>
    </w:rPr>
  </w:style>
  <w:style w:type="paragraph" w:styleId="767">
    <w:name w:val="Heading 2"/>
    <w:basedOn w:val="765"/>
    <w:next w:val="765"/>
    <w:link w:val="793"/>
    <w:uiPriority w:val="9"/>
    <w:unhideWhenUsed/>
    <w:qFormat/>
    <w:pPr>
      <w:keepLines/>
      <w:keepNext/>
      <w:spacing w:before="360" w:after="200" w:line="276" w:lineRule="auto"/>
      <w:outlineLvl w:val="1"/>
    </w:pPr>
    <w:rPr>
      <w:rFonts w:ascii="Arial" w:hAnsi="Arial" w:eastAsia="Arial" w:cs="Arial"/>
      <w:sz w:val="34"/>
      <w:szCs w:val="22"/>
      <w:lang w:eastAsia="en-US"/>
    </w:rPr>
  </w:style>
  <w:style w:type="paragraph" w:styleId="768">
    <w:name w:val="Heading 3"/>
    <w:basedOn w:val="765"/>
    <w:next w:val="765"/>
    <w:link w:val="794"/>
    <w:uiPriority w:val="9"/>
    <w:unhideWhenUsed/>
    <w:qFormat/>
    <w:pPr>
      <w:keepLines/>
      <w:keepNext/>
      <w:spacing w:before="320" w:after="200" w:line="276" w:lineRule="auto"/>
      <w:outlineLvl w:val="2"/>
    </w:pPr>
    <w:rPr>
      <w:rFonts w:ascii="Arial" w:hAnsi="Arial" w:eastAsia="Arial" w:cs="Arial"/>
      <w:sz w:val="30"/>
      <w:szCs w:val="30"/>
      <w:lang w:eastAsia="en-US"/>
    </w:rPr>
  </w:style>
  <w:style w:type="paragraph" w:styleId="769">
    <w:name w:val="Heading 4"/>
    <w:basedOn w:val="765"/>
    <w:next w:val="765"/>
    <w:link w:val="795"/>
    <w:uiPriority w:val="9"/>
    <w:unhideWhenUsed/>
    <w:qFormat/>
    <w:pPr>
      <w:keepLines/>
      <w:keepNext/>
      <w:spacing w:before="320" w:after="200" w:line="276" w:lineRule="auto"/>
      <w:outlineLvl w:val="3"/>
    </w:pPr>
    <w:rPr>
      <w:rFonts w:ascii="Arial" w:hAnsi="Arial" w:eastAsia="Arial" w:cs="Arial"/>
      <w:b/>
      <w:bCs/>
      <w:sz w:val="26"/>
      <w:szCs w:val="26"/>
      <w:lang w:eastAsia="en-US"/>
    </w:rPr>
  </w:style>
  <w:style w:type="paragraph" w:styleId="770">
    <w:name w:val="Heading 5"/>
    <w:basedOn w:val="765"/>
    <w:next w:val="765"/>
    <w:link w:val="796"/>
    <w:uiPriority w:val="9"/>
    <w:unhideWhenUsed/>
    <w:qFormat/>
    <w:pPr>
      <w:keepLines/>
      <w:keepNext/>
      <w:spacing w:before="320" w:after="200" w:line="276" w:lineRule="auto"/>
      <w:outlineLvl w:val="4"/>
    </w:pPr>
    <w:rPr>
      <w:rFonts w:ascii="Arial" w:hAnsi="Arial" w:eastAsia="Arial" w:cs="Arial"/>
      <w:b/>
      <w:bCs/>
      <w:lang w:eastAsia="en-US"/>
    </w:rPr>
  </w:style>
  <w:style w:type="paragraph" w:styleId="771">
    <w:name w:val="Heading 6"/>
    <w:basedOn w:val="765"/>
    <w:next w:val="765"/>
    <w:link w:val="797"/>
    <w:uiPriority w:val="9"/>
    <w:unhideWhenUsed/>
    <w:qFormat/>
    <w:pPr>
      <w:keepLines/>
      <w:keepNext/>
      <w:spacing w:before="320" w:after="200" w:line="276" w:lineRule="auto"/>
      <w:outlineLvl w:val="5"/>
    </w:pPr>
    <w:rPr>
      <w:rFonts w:ascii="Arial" w:hAnsi="Arial" w:eastAsia="Arial" w:cs="Arial"/>
      <w:b/>
      <w:bCs/>
      <w:sz w:val="22"/>
      <w:szCs w:val="22"/>
      <w:lang w:eastAsia="en-US"/>
    </w:rPr>
  </w:style>
  <w:style w:type="paragraph" w:styleId="772">
    <w:name w:val="Heading 7"/>
    <w:basedOn w:val="765"/>
    <w:next w:val="765"/>
    <w:link w:val="798"/>
    <w:uiPriority w:val="9"/>
    <w:unhideWhenUsed/>
    <w:qFormat/>
    <w:pPr>
      <w:keepLines/>
      <w:keepNext/>
      <w:spacing w:before="320" w:after="200" w:line="276" w:lineRule="auto"/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/>
    </w:rPr>
  </w:style>
  <w:style w:type="paragraph" w:styleId="773">
    <w:name w:val="Heading 8"/>
    <w:basedOn w:val="765"/>
    <w:next w:val="765"/>
    <w:link w:val="799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74">
    <w:name w:val="Heading 9"/>
    <w:basedOn w:val="765"/>
    <w:next w:val="765"/>
    <w:link w:val="800"/>
    <w:uiPriority w:val="9"/>
    <w:unhideWhenUsed/>
    <w:qFormat/>
    <w:pPr>
      <w:keepLines/>
      <w:keepNext/>
      <w:spacing w:before="320" w:after="200" w:line="276" w:lineRule="auto"/>
      <w:outlineLvl w:val="8"/>
    </w:pPr>
    <w:rPr>
      <w:rFonts w:ascii="Arial" w:hAnsi="Arial" w:eastAsia="Arial" w:cs="Arial"/>
      <w:i/>
      <w:iCs/>
      <w:sz w:val="21"/>
      <w:szCs w:val="21"/>
      <w:lang w:eastAsia="en-US"/>
    </w:r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paragraph" w:styleId="778" w:customStyle="1">
    <w:name w:val="ConsPlusNormal"/>
    <w:link w:val="791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779">
    <w:name w:val="Body Text"/>
    <w:basedOn w:val="765"/>
    <w:link w:val="780"/>
    <w:pPr>
      <w:spacing w:after="120"/>
      <w:widowControl w:val="off"/>
    </w:pPr>
    <w:rPr>
      <w:sz w:val="20"/>
      <w:szCs w:val="20"/>
    </w:rPr>
  </w:style>
  <w:style w:type="character" w:styleId="780" w:customStyle="1">
    <w:name w:val="Основной текст Знак"/>
    <w:basedOn w:val="775"/>
    <w:link w:val="77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81">
    <w:name w:val="Header"/>
    <w:basedOn w:val="765"/>
    <w:link w:val="782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782" w:customStyle="1">
    <w:name w:val="Верхний колонтитул Знак"/>
    <w:basedOn w:val="775"/>
    <w:link w:val="78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783">
    <w:name w:val="Hyperlink"/>
    <w:basedOn w:val="775"/>
    <w:uiPriority w:val="99"/>
    <w:unhideWhenUsed/>
    <w:rPr>
      <w:color w:val="0000ff" w:themeColor="hyperlink"/>
      <w:u w:val="single"/>
    </w:rPr>
  </w:style>
  <w:style w:type="paragraph" w:styleId="78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785">
    <w:name w:val="Normal (Web)"/>
    <w:basedOn w:val="765"/>
    <w:unhideWhenUsed/>
    <w:pPr>
      <w:spacing w:before="100" w:beforeAutospacing="1" w:after="100" w:afterAutospacing="1"/>
    </w:pPr>
  </w:style>
  <w:style w:type="paragraph" w:styleId="786">
    <w:name w:val="Balloon Text"/>
    <w:basedOn w:val="765"/>
    <w:link w:val="787"/>
    <w:semiHidden/>
    <w:unhideWhenUsed/>
    <w:rPr>
      <w:rFonts w:ascii="Tahoma" w:hAnsi="Tahoma" w:cs="Tahoma"/>
      <w:sz w:val="16"/>
      <w:szCs w:val="16"/>
    </w:rPr>
  </w:style>
  <w:style w:type="character" w:styleId="787" w:customStyle="1">
    <w:name w:val="Текст выноски Знак"/>
    <w:basedOn w:val="775"/>
    <w:link w:val="786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788">
    <w:name w:val="Placeholder Text"/>
    <w:basedOn w:val="775"/>
    <w:uiPriority w:val="99"/>
    <w:semiHidden/>
    <w:rPr>
      <w:color w:val="808080"/>
    </w:rPr>
  </w:style>
  <w:style w:type="paragraph" w:styleId="789">
    <w:name w:val="List Paragraph"/>
    <w:basedOn w:val="765"/>
    <w:uiPriority w:val="34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790">
    <w:name w:val="Strong"/>
    <w:basedOn w:val="775"/>
    <w:qFormat/>
    <w:rPr>
      <w:b/>
      <w:bCs/>
    </w:rPr>
  </w:style>
  <w:style w:type="character" w:styleId="791" w:customStyle="1">
    <w:name w:val="ConsPlusNormal Знак"/>
    <w:link w:val="778"/>
    <w:rPr>
      <w:rFonts w:ascii="Times New Roman" w:hAnsi="Times New Roman" w:cs="Times New Roman" w:eastAsiaTheme="minorEastAsia"/>
      <w:sz w:val="24"/>
      <w:lang w:eastAsia="ru-RU"/>
    </w:rPr>
  </w:style>
  <w:style w:type="character" w:styleId="792" w:customStyle="1">
    <w:name w:val="Заголовок 1 Знак"/>
    <w:basedOn w:val="775"/>
    <w:link w:val="766"/>
    <w:uiPriority w:val="9"/>
    <w:rPr>
      <w:rFonts w:ascii="Arial" w:hAnsi="Arial" w:eastAsia="Arial" w:cs="Arial"/>
      <w:sz w:val="40"/>
      <w:szCs w:val="40"/>
    </w:rPr>
  </w:style>
  <w:style w:type="character" w:styleId="793" w:customStyle="1">
    <w:name w:val="Заголовок 2 Знак"/>
    <w:basedOn w:val="775"/>
    <w:link w:val="767"/>
    <w:uiPriority w:val="9"/>
    <w:rPr>
      <w:rFonts w:ascii="Arial" w:hAnsi="Arial" w:eastAsia="Arial" w:cs="Arial"/>
      <w:sz w:val="34"/>
    </w:rPr>
  </w:style>
  <w:style w:type="character" w:styleId="794" w:customStyle="1">
    <w:name w:val="Заголовок 3 Знак"/>
    <w:basedOn w:val="775"/>
    <w:link w:val="768"/>
    <w:uiPriority w:val="9"/>
    <w:rPr>
      <w:rFonts w:ascii="Arial" w:hAnsi="Arial" w:eastAsia="Arial" w:cs="Arial"/>
      <w:sz w:val="30"/>
      <w:szCs w:val="30"/>
    </w:rPr>
  </w:style>
  <w:style w:type="character" w:styleId="795" w:customStyle="1">
    <w:name w:val="Заголовок 4 Знак"/>
    <w:basedOn w:val="775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96" w:customStyle="1">
    <w:name w:val="Заголовок 5 Знак"/>
    <w:basedOn w:val="775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97" w:customStyle="1">
    <w:name w:val="Заголовок 6 Знак"/>
    <w:basedOn w:val="775"/>
    <w:link w:val="771"/>
    <w:uiPriority w:val="9"/>
    <w:rPr>
      <w:rFonts w:ascii="Arial" w:hAnsi="Arial" w:eastAsia="Arial" w:cs="Arial"/>
      <w:b/>
      <w:bCs/>
    </w:rPr>
  </w:style>
  <w:style w:type="character" w:styleId="798" w:customStyle="1">
    <w:name w:val="Заголовок 7 Знак"/>
    <w:basedOn w:val="775"/>
    <w:link w:val="772"/>
    <w:uiPriority w:val="9"/>
    <w:rPr>
      <w:rFonts w:ascii="Arial" w:hAnsi="Arial" w:eastAsia="Arial" w:cs="Arial"/>
      <w:b/>
      <w:bCs/>
      <w:i/>
      <w:iCs/>
    </w:rPr>
  </w:style>
  <w:style w:type="character" w:styleId="799" w:customStyle="1">
    <w:name w:val="Заголовок 8 Знак"/>
    <w:basedOn w:val="775"/>
    <w:link w:val="773"/>
    <w:uiPriority w:val="9"/>
    <w:rPr>
      <w:rFonts w:ascii="Arial" w:hAnsi="Arial" w:eastAsia="Arial" w:cs="Arial"/>
      <w:i/>
      <w:iCs/>
    </w:rPr>
  </w:style>
  <w:style w:type="character" w:styleId="800" w:customStyle="1">
    <w:name w:val="Заголовок 9 Знак"/>
    <w:basedOn w:val="775"/>
    <w:link w:val="774"/>
    <w:uiPriority w:val="9"/>
    <w:rPr>
      <w:rFonts w:ascii="Arial" w:hAnsi="Arial" w:eastAsia="Arial" w:cs="Arial"/>
      <w:i/>
      <w:iCs/>
      <w:sz w:val="21"/>
      <w:szCs w:val="21"/>
    </w:rPr>
  </w:style>
  <w:style w:type="character" w:styleId="801" w:customStyle="1">
    <w:name w:val="Title Char"/>
    <w:basedOn w:val="775"/>
    <w:uiPriority w:val="10"/>
    <w:rPr>
      <w:sz w:val="48"/>
      <w:szCs w:val="48"/>
    </w:rPr>
  </w:style>
  <w:style w:type="paragraph" w:styleId="802">
    <w:name w:val="Subtitle"/>
    <w:basedOn w:val="765"/>
    <w:next w:val="765"/>
    <w:link w:val="803"/>
    <w:uiPriority w:val="11"/>
    <w:qFormat/>
    <w:pPr>
      <w:spacing w:before="200" w:after="200" w:line="276" w:lineRule="auto"/>
    </w:pPr>
    <w:rPr>
      <w:rFonts w:ascii="Calibri" w:hAnsi="Calibri" w:eastAsia="Calibri" w:cs="Calibri"/>
      <w:lang w:eastAsia="en-US"/>
    </w:rPr>
  </w:style>
  <w:style w:type="character" w:styleId="803" w:customStyle="1">
    <w:name w:val="Подзаголовок Знак"/>
    <w:basedOn w:val="775"/>
    <w:link w:val="802"/>
    <w:uiPriority w:val="11"/>
    <w:rPr>
      <w:rFonts w:ascii="Calibri" w:hAnsi="Calibri" w:eastAsia="Calibri" w:cs="Calibri"/>
      <w:sz w:val="24"/>
      <w:szCs w:val="24"/>
    </w:rPr>
  </w:style>
  <w:style w:type="paragraph" w:styleId="804">
    <w:name w:val="Quote"/>
    <w:basedOn w:val="765"/>
    <w:next w:val="765"/>
    <w:link w:val="805"/>
    <w:uiPriority w:val="29"/>
    <w:qFormat/>
    <w:pPr>
      <w:ind w:left="720" w:right="720"/>
      <w:spacing w:after="200" w:line="276" w:lineRule="auto"/>
    </w:pPr>
    <w:rPr>
      <w:rFonts w:ascii="Calibri" w:hAnsi="Calibri" w:eastAsia="Calibri" w:cs="Calibri"/>
      <w:i/>
      <w:sz w:val="22"/>
      <w:szCs w:val="22"/>
      <w:lang w:eastAsia="en-US"/>
    </w:rPr>
  </w:style>
  <w:style w:type="character" w:styleId="805" w:customStyle="1">
    <w:name w:val="Цитата 2 Знак"/>
    <w:basedOn w:val="775"/>
    <w:link w:val="804"/>
    <w:uiPriority w:val="29"/>
    <w:rPr>
      <w:rFonts w:ascii="Calibri" w:hAnsi="Calibri" w:eastAsia="Calibri" w:cs="Calibri"/>
      <w:i/>
    </w:rPr>
  </w:style>
  <w:style w:type="paragraph" w:styleId="806">
    <w:name w:val="Intense Quote"/>
    <w:basedOn w:val="765"/>
    <w:next w:val="765"/>
    <w:link w:val="807"/>
    <w:uiPriority w:val="30"/>
    <w:qFormat/>
    <w:pPr>
      <w:ind w:left="720" w:right="720"/>
      <w:spacing w:after="200" w:line="276" w:lineRule="auto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Calibri" w:hAnsi="Calibri" w:eastAsia="Calibri" w:cs="Calibri"/>
      <w:i/>
      <w:sz w:val="22"/>
      <w:szCs w:val="22"/>
      <w:lang w:eastAsia="en-US"/>
    </w:rPr>
  </w:style>
  <w:style w:type="character" w:styleId="807" w:customStyle="1">
    <w:name w:val="Выделенная цитата Знак"/>
    <w:basedOn w:val="775"/>
    <w:link w:val="806"/>
    <w:uiPriority w:val="30"/>
    <w:rPr>
      <w:rFonts w:ascii="Calibri" w:hAnsi="Calibri" w:eastAsia="Calibri" w:cs="Calibri"/>
      <w:i/>
      <w:shd w:val="clear" w:color="auto" w:fill="f2f2f2"/>
    </w:rPr>
  </w:style>
  <w:style w:type="character" w:styleId="808" w:customStyle="1">
    <w:name w:val="Header Char"/>
    <w:basedOn w:val="775"/>
    <w:uiPriority w:val="99"/>
  </w:style>
  <w:style w:type="character" w:styleId="809" w:customStyle="1">
    <w:name w:val="Footer Char"/>
    <w:basedOn w:val="775"/>
    <w:uiPriority w:val="99"/>
  </w:style>
  <w:style w:type="paragraph" w:styleId="810">
    <w:name w:val="Caption"/>
    <w:basedOn w:val="765"/>
    <w:next w:val="765"/>
    <w:uiPriority w:val="35"/>
    <w:semiHidden/>
    <w:unhideWhenUsed/>
    <w:qFormat/>
    <w:pPr>
      <w:spacing w:after="200" w:line="276" w:lineRule="auto"/>
    </w:pPr>
    <w:rPr>
      <w:rFonts w:ascii="Calibri" w:hAnsi="Calibri" w:eastAsia="Calibri" w:cs="Calibri"/>
      <w:b/>
      <w:bCs/>
      <w:color w:val="4f81bd" w:themeColor="accent1"/>
      <w:sz w:val="18"/>
      <w:szCs w:val="18"/>
      <w:lang w:eastAsia="en-US"/>
    </w:rPr>
  </w:style>
  <w:style w:type="character" w:styleId="811" w:customStyle="1">
    <w:name w:val="Caption Char"/>
    <w:uiPriority w:val="99"/>
  </w:style>
  <w:style w:type="table" w:styleId="812" w:customStyle="1">
    <w:name w:val="Table Grid Light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 w:customStyle="1">
    <w:name w:val="Таблица простая 11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Таблица простая 21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3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 w:customStyle="1">
    <w:name w:val="Таблица простая 4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Таблица простая 5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1 светл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Таблица-сетка 2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Таблица-сетка 3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Таблица-сетка 41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 w:customStyle="1">
    <w:name w:val="Grid Table 4 - Accent 1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1" w:customStyle="1">
    <w:name w:val="Grid Table 4 - Accent 2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Grid Table 4 - Accent 3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3" w:customStyle="1">
    <w:name w:val="Grid Table 4 - Accent 4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Grid Table 4 - Accent 5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5" w:customStyle="1">
    <w:name w:val="Grid Table 4 - Accent 6"/>
    <w:basedOn w:val="7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6" w:customStyle="1">
    <w:name w:val="Таблица-сетка 5 тем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3" w:customStyle="1">
    <w:name w:val="Таблица-сетка 6 цвет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4" w:customStyle="1">
    <w:name w:val="Grid Table 6 Colorful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5" w:customStyle="1">
    <w:name w:val="Grid Table 6 Colorful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6" w:customStyle="1">
    <w:name w:val="Grid Table 6 Colorful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7" w:customStyle="1">
    <w:name w:val="Grid Table 6 Colorful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8" w:customStyle="1">
    <w:name w:val="Grid Table 6 Colorful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Grid Table 6 Colorful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Таблица-сетка 7 цвет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Список-таблица 1 светл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Список-таблица 2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1" w:customStyle="1">
    <w:name w:val="Список-таблица 3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Список-таблица 4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Список-таблица 5 тем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Список-таблица 6 цвет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3" w:customStyle="1">
    <w:name w:val="List Table 6 Colorful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4" w:customStyle="1">
    <w:name w:val="List Table 6 Colorful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5" w:customStyle="1">
    <w:name w:val="List Table 6 Colorful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6" w:customStyle="1">
    <w:name w:val="List Table 6 Colorful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7" w:customStyle="1">
    <w:name w:val="List Table 6 Colorful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8" w:customStyle="1">
    <w:name w:val="List Table 6 Colorful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9" w:customStyle="1">
    <w:name w:val="Список-таблица 7 цветная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ned - Accent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Lined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Lined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Lined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Lined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Lined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Lined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 &amp; Lined - Accent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4" w:customStyle="1">
    <w:name w:val="Bordered &amp; Lined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5" w:customStyle="1">
    <w:name w:val="Bordered &amp; Lined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6" w:customStyle="1">
    <w:name w:val="Bordered &amp; Lined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7" w:customStyle="1">
    <w:name w:val="Bordered &amp; Lined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8" w:customStyle="1">
    <w:name w:val="Bordered &amp; Lined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9" w:customStyle="1">
    <w:name w:val="Bordered &amp; Lined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0" w:customStyle="1">
    <w:name w:val="Bordered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1" w:customStyle="1">
    <w:name w:val="Bordered - Accent 1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2" w:customStyle="1">
    <w:name w:val="Bordered - Accent 2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3" w:customStyle="1">
    <w:name w:val="Bordered - Accent 3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4" w:customStyle="1">
    <w:name w:val="Bordered - Accent 4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5" w:customStyle="1">
    <w:name w:val="Bordered - Accent 5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6" w:customStyle="1">
    <w:name w:val="Bordered - Accent 6"/>
    <w:basedOn w:val="776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7" w:customStyle="1">
    <w:name w:val="Footnote Text Char"/>
    <w:uiPriority w:val="99"/>
    <w:rPr>
      <w:sz w:val="18"/>
    </w:rPr>
  </w:style>
  <w:style w:type="paragraph" w:styleId="938">
    <w:name w:val="endnote text"/>
    <w:basedOn w:val="765"/>
    <w:link w:val="939"/>
    <w:uiPriority w:val="99"/>
    <w:semiHidden/>
    <w:unhideWhenUsed/>
    <w:rPr>
      <w:rFonts w:ascii="Calibri" w:hAnsi="Calibri" w:eastAsia="Calibri" w:cs="Calibri"/>
      <w:sz w:val="20"/>
      <w:szCs w:val="22"/>
      <w:lang w:eastAsia="en-US"/>
    </w:rPr>
  </w:style>
  <w:style w:type="character" w:styleId="939" w:customStyle="1">
    <w:name w:val="Текст концевой сноски Знак"/>
    <w:basedOn w:val="775"/>
    <w:link w:val="938"/>
    <w:uiPriority w:val="99"/>
    <w:semiHidden/>
    <w:rPr>
      <w:rFonts w:ascii="Calibri" w:hAnsi="Calibri" w:eastAsia="Calibri" w:cs="Calibri"/>
      <w:sz w:val="20"/>
    </w:rPr>
  </w:style>
  <w:style w:type="character" w:styleId="940">
    <w:name w:val="endnote reference"/>
    <w:basedOn w:val="775"/>
    <w:uiPriority w:val="99"/>
    <w:semiHidden/>
    <w:unhideWhenUsed/>
    <w:rPr>
      <w:vertAlign w:val="superscript"/>
    </w:rPr>
  </w:style>
  <w:style w:type="paragraph" w:styleId="941">
    <w:name w:val="toc 1"/>
    <w:basedOn w:val="765"/>
    <w:next w:val="765"/>
    <w:uiPriority w:val="39"/>
    <w:unhideWhenUsed/>
    <w:pPr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2">
    <w:name w:val="toc 2"/>
    <w:basedOn w:val="765"/>
    <w:next w:val="765"/>
    <w:uiPriority w:val="39"/>
    <w:unhideWhenUsed/>
    <w:pPr>
      <w:ind w:left="283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3">
    <w:name w:val="toc 3"/>
    <w:basedOn w:val="765"/>
    <w:next w:val="765"/>
    <w:uiPriority w:val="39"/>
    <w:unhideWhenUsed/>
    <w:pPr>
      <w:ind w:left="567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4">
    <w:name w:val="toc 4"/>
    <w:basedOn w:val="765"/>
    <w:next w:val="765"/>
    <w:uiPriority w:val="39"/>
    <w:unhideWhenUsed/>
    <w:pPr>
      <w:ind w:left="850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5">
    <w:name w:val="toc 5"/>
    <w:basedOn w:val="765"/>
    <w:next w:val="765"/>
    <w:uiPriority w:val="39"/>
    <w:unhideWhenUsed/>
    <w:pPr>
      <w:ind w:left="1134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6">
    <w:name w:val="toc 6"/>
    <w:basedOn w:val="765"/>
    <w:next w:val="765"/>
    <w:uiPriority w:val="39"/>
    <w:unhideWhenUsed/>
    <w:pPr>
      <w:ind w:left="1417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7">
    <w:name w:val="toc 7"/>
    <w:basedOn w:val="765"/>
    <w:next w:val="765"/>
    <w:uiPriority w:val="39"/>
    <w:unhideWhenUsed/>
    <w:pPr>
      <w:ind w:left="1701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8">
    <w:name w:val="toc 8"/>
    <w:basedOn w:val="765"/>
    <w:next w:val="765"/>
    <w:uiPriority w:val="39"/>
    <w:unhideWhenUsed/>
    <w:pPr>
      <w:ind w:left="1984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9">
    <w:name w:val="toc 9"/>
    <w:basedOn w:val="765"/>
    <w:next w:val="765"/>
    <w:uiPriority w:val="39"/>
    <w:unhideWhenUsed/>
    <w:pPr>
      <w:ind w:left="2268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0">
    <w:name w:val="TOC Heading"/>
    <w:uiPriority w:val="39"/>
    <w:unhideWhenUsed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</w:style>
  <w:style w:type="paragraph" w:styleId="951">
    <w:name w:val="table of figures"/>
    <w:basedOn w:val="765"/>
    <w:next w:val="765"/>
    <w:uiPriority w:val="99"/>
    <w:unhideWhenUsed/>
    <w:pPr>
      <w:spacing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2" w:customStyle="1">
    <w:name w:val="Абзац списка1"/>
    <w:basedOn w:val="765"/>
    <w:link w:val="963"/>
    <w:pPr>
      <w:ind w:left="720" w:firstLine="709"/>
      <w:jc w:val="both"/>
      <w:spacing w:line="276" w:lineRule="auto"/>
    </w:pPr>
    <w:rPr>
      <w:sz w:val="28"/>
      <w:szCs w:val="28"/>
    </w:rPr>
  </w:style>
  <w:style w:type="paragraph" w:styleId="953" w:customStyle="1">
    <w:name w:val="Standard"/>
    <w:rPr>
      <w:rFonts w:ascii="Calibri" w:hAnsi="Calibri" w:eastAsia="SimSun" w:cs="Calibri"/>
    </w:rPr>
  </w:style>
  <w:style w:type="character" w:styleId="954" w:customStyle="1">
    <w:name w:val="Основной текст_"/>
    <w:link w:val="955"/>
    <w:rPr>
      <w:spacing w:val="-2"/>
      <w:shd w:val="clear" w:color="auto" w:fill="ffffff"/>
    </w:rPr>
  </w:style>
  <w:style w:type="paragraph" w:styleId="955" w:customStyle="1">
    <w:name w:val="Основной текст1"/>
    <w:basedOn w:val="765"/>
    <w:link w:val="954"/>
    <w:pPr>
      <w:ind w:hanging="760"/>
      <w:spacing w:after="360" w:line="317" w:lineRule="exact"/>
      <w:shd w:val="clear" w:color="auto" w:fill="ffffff"/>
      <w:widowControl w:val="off"/>
    </w:pPr>
    <w:rPr>
      <w:rFonts w:asciiTheme="minorHAnsi" w:hAnsiTheme="minorHAnsi" w:eastAsiaTheme="minorHAnsi" w:cstheme="minorBidi"/>
      <w:spacing w:val="-2"/>
      <w:sz w:val="22"/>
      <w:szCs w:val="22"/>
      <w:lang w:eastAsia="en-US"/>
    </w:rPr>
  </w:style>
  <w:style w:type="character" w:styleId="956" w:customStyle="1">
    <w:name w:val="Колонтитул_"/>
    <w:link w:val="957"/>
    <w:rPr>
      <w:spacing w:val="2"/>
      <w:sz w:val="13"/>
      <w:szCs w:val="13"/>
      <w:shd w:val="clear" w:color="auto" w:fill="ffffff"/>
      <w:lang w:val="en-US"/>
    </w:rPr>
  </w:style>
  <w:style w:type="paragraph" w:styleId="957" w:customStyle="1">
    <w:name w:val="Колонтитул"/>
    <w:basedOn w:val="765"/>
    <w:link w:val="956"/>
    <w:pPr>
      <w:spacing w:line="240" w:lineRule="atLeast"/>
      <w:shd w:val="clear" w:color="auto" w:fill="ffffff"/>
      <w:widowControl w:val="off"/>
    </w:pPr>
    <w:rPr>
      <w:rFonts w:asciiTheme="minorHAnsi" w:hAnsiTheme="minorHAnsi" w:eastAsiaTheme="minorHAnsi" w:cstheme="minorBidi"/>
      <w:spacing w:val="2"/>
      <w:sz w:val="13"/>
      <w:szCs w:val="13"/>
      <w:lang w:val="en-US" w:eastAsia="en-US"/>
    </w:rPr>
  </w:style>
  <w:style w:type="character" w:styleId="958">
    <w:name w:val="annotation reference"/>
    <w:semiHidden/>
    <w:rPr>
      <w:sz w:val="16"/>
      <w:szCs w:val="16"/>
    </w:rPr>
  </w:style>
  <w:style w:type="paragraph" w:styleId="959">
    <w:name w:val="annotation text"/>
    <w:basedOn w:val="765"/>
    <w:link w:val="960"/>
    <w:semiHidden/>
    <w:pPr>
      <w:spacing w:after="200" w:line="276" w:lineRule="auto"/>
    </w:pPr>
    <w:rPr>
      <w:rFonts w:ascii="Calibri" w:hAnsi="Calibri" w:eastAsia="Calibri" w:cs="Calibri"/>
      <w:sz w:val="20"/>
      <w:szCs w:val="20"/>
      <w:lang w:eastAsia="en-US"/>
    </w:rPr>
  </w:style>
  <w:style w:type="character" w:styleId="960" w:customStyle="1">
    <w:name w:val="Текст примечания Знак"/>
    <w:basedOn w:val="775"/>
    <w:link w:val="959"/>
    <w:semiHidden/>
    <w:rPr>
      <w:rFonts w:ascii="Calibri" w:hAnsi="Calibri" w:eastAsia="Calibri" w:cs="Calibri"/>
      <w:sz w:val="20"/>
      <w:szCs w:val="20"/>
    </w:rPr>
  </w:style>
  <w:style w:type="character" w:styleId="961" w:customStyle="1">
    <w:name w:val="butback1"/>
    <w:rPr>
      <w:color w:val="auto"/>
    </w:rPr>
  </w:style>
  <w:style w:type="character" w:styleId="962" w:customStyle="1">
    <w:name w:val="submenu-table"/>
    <w:basedOn w:val="775"/>
  </w:style>
  <w:style w:type="character" w:styleId="963" w:customStyle="1">
    <w:name w:val="List Paragraph Char"/>
    <w:link w:val="952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964">
    <w:name w:val="Body Text Indent"/>
    <w:basedOn w:val="765"/>
    <w:link w:val="965"/>
    <w:pPr>
      <w:ind w:left="283"/>
      <w:spacing w:after="120"/>
    </w:pPr>
  </w:style>
  <w:style w:type="character" w:styleId="965" w:customStyle="1">
    <w:name w:val="Основной текст с отступом Знак"/>
    <w:basedOn w:val="775"/>
    <w:link w:val="96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6">
    <w:name w:val="footnote text"/>
    <w:basedOn w:val="765"/>
    <w:link w:val="967"/>
    <w:semiHidden/>
    <w:pPr>
      <w:spacing w:after="200" w:line="276" w:lineRule="auto"/>
    </w:pPr>
    <w:rPr>
      <w:rFonts w:ascii="Calibri" w:hAnsi="Calibri" w:eastAsia="Calibri" w:cs="Calibri"/>
      <w:sz w:val="20"/>
      <w:szCs w:val="20"/>
      <w:lang w:eastAsia="en-US"/>
    </w:rPr>
  </w:style>
  <w:style w:type="character" w:styleId="967" w:customStyle="1">
    <w:name w:val="Текст сноски Знак"/>
    <w:basedOn w:val="775"/>
    <w:link w:val="966"/>
    <w:semiHidden/>
    <w:rPr>
      <w:rFonts w:ascii="Calibri" w:hAnsi="Calibri" w:eastAsia="Calibri" w:cs="Calibri"/>
      <w:sz w:val="20"/>
      <w:szCs w:val="20"/>
    </w:rPr>
  </w:style>
  <w:style w:type="character" w:styleId="968">
    <w:name w:val="footnote reference"/>
    <w:semiHidden/>
    <w:rPr>
      <w:vertAlign w:val="superscript"/>
    </w:rPr>
  </w:style>
  <w:style w:type="paragraph" w:styleId="969">
    <w:name w:val="annotation subject"/>
    <w:basedOn w:val="959"/>
    <w:next w:val="959"/>
    <w:link w:val="970"/>
    <w:semiHidden/>
    <w:rPr>
      <w:b/>
      <w:bCs/>
    </w:rPr>
  </w:style>
  <w:style w:type="character" w:styleId="970" w:customStyle="1">
    <w:name w:val="Тема примечания Знак"/>
    <w:basedOn w:val="960"/>
    <w:link w:val="969"/>
    <w:semiHidden/>
    <w:rPr>
      <w:rFonts w:ascii="Calibri" w:hAnsi="Calibri" w:eastAsia="Calibri" w:cs="Calibri"/>
      <w:b/>
      <w:bCs/>
      <w:sz w:val="20"/>
      <w:szCs w:val="20"/>
    </w:rPr>
  </w:style>
  <w:style w:type="paragraph" w:styleId="971">
    <w:name w:val="Footer"/>
    <w:basedOn w:val="765"/>
    <w:link w:val="972"/>
    <w:pPr>
      <w:spacing w:after="200" w:line="276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  <w:sz w:val="22"/>
      <w:szCs w:val="22"/>
      <w:lang w:eastAsia="en-US"/>
    </w:rPr>
  </w:style>
  <w:style w:type="character" w:styleId="972" w:customStyle="1">
    <w:name w:val="Нижний колонтитул Знак"/>
    <w:basedOn w:val="775"/>
    <w:link w:val="971"/>
    <w:rPr>
      <w:rFonts w:ascii="Calibri" w:hAnsi="Calibri" w:eastAsia="Calibri" w:cs="Calibri"/>
    </w:rPr>
  </w:style>
  <w:style w:type="paragraph" w:styleId="973" w:customStyle="1">
    <w:name w:val="Обычный.Текст с отступ.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4" w:customStyle="1">
    <w:name w:val="Дата1"/>
    <w:basedOn w:val="775"/>
  </w:style>
  <w:style w:type="character" w:styleId="975" w:customStyle="1">
    <w:name w:val="Font Style13"/>
    <w:rPr>
      <w:rFonts w:ascii="Candara" w:hAnsi="Candara" w:cs="Candara"/>
      <w:sz w:val="24"/>
      <w:szCs w:val="24"/>
    </w:rPr>
  </w:style>
  <w:style w:type="paragraph" w:styleId="976" w:customStyle="1">
    <w:name w:val="western"/>
    <w:basedOn w:val="765"/>
    <w:pPr>
      <w:spacing w:before="100" w:beforeAutospacing="1" w:after="115" w:line="276" w:lineRule="auto"/>
    </w:pPr>
    <w:rPr>
      <w:rFonts w:ascii="Calibri" w:hAnsi="Calibri" w:cs="Calibri"/>
      <w:color w:val="000000"/>
      <w:sz w:val="22"/>
      <w:szCs w:val="22"/>
    </w:rPr>
  </w:style>
  <w:style w:type="paragraph" w:styleId="977" w:customStyle="1">
    <w:name w:val="Без интервала1"/>
    <w:link w:val="978"/>
    <w:pPr>
      <w:spacing w:after="0" w:line="240" w:lineRule="auto"/>
    </w:pPr>
    <w:rPr>
      <w:rFonts w:ascii="Calibri" w:hAnsi="Calibri" w:eastAsia="Times New Roman" w:cs="Calibri"/>
    </w:rPr>
  </w:style>
  <w:style w:type="character" w:styleId="978" w:customStyle="1">
    <w:name w:val="No Spacing Char"/>
    <w:link w:val="977"/>
    <w:rPr>
      <w:rFonts w:ascii="Calibri" w:hAnsi="Calibri" w:eastAsia="Times New Roman" w:cs="Calibri"/>
    </w:rPr>
  </w:style>
  <w:style w:type="paragraph" w:styleId="979">
    <w:name w:val="Title"/>
    <w:basedOn w:val="765"/>
    <w:next w:val="765"/>
    <w:link w:val="980"/>
    <w:qFormat/>
    <w:pPr>
      <w:spacing w:after="300"/>
      <w:pBdr>
        <w:bottom w:val="single" w:color="4F81BD" w:sz="8" w:space="4"/>
      </w:pBdr>
    </w:pPr>
    <w:rPr>
      <w:rFonts w:ascii="Cambria" w:hAnsi="Cambria" w:cs="Cambria"/>
      <w:color w:val="17365d"/>
      <w:spacing w:val="5"/>
      <w:sz w:val="52"/>
      <w:szCs w:val="52"/>
    </w:rPr>
  </w:style>
  <w:style w:type="character" w:styleId="980" w:customStyle="1">
    <w:name w:val="Название Знак"/>
    <w:basedOn w:val="775"/>
    <w:link w:val="97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table" w:styleId="981">
    <w:name w:val="Table Grid"/>
    <w:basedOn w:val="776"/>
    <w:pPr>
      <w:spacing w:after="0" w:line="240" w:lineRule="auto"/>
    </w:pPr>
    <w:rPr>
      <w:rFonts w:ascii="Calibri" w:hAnsi="Calibri" w:eastAsia="Calibri" w:cs="Calibri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82" w:customStyle="1">
    <w:name w:val="Основной текст с отступом Знак3"/>
    <w:rPr>
      <w:sz w:val="24"/>
      <w:lang w:eastAsia="ar-SA" w:bidi="ar-SA"/>
    </w:rPr>
  </w:style>
  <w:style w:type="paragraph" w:styleId="983">
    <w:name w:val="Body Text Indent 2"/>
    <w:basedOn w:val="765"/>
    <w:link w:val="984"/>
    <w:pPr>
      <w:ind w:left="283"/>
      <w:spacing w:after="120" w:line="480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84" w:customStyle="1">
    <w:name w:val="Основной текст с отступом 2 Знак"/>
    <w:basedOn w:val="775"/>
    <w:link w:val="983"/>
    <w:rPr>
      <w:rFonts w:ascii="Calibri" w:hAnsi="Calibri" w:eastAsia="Calibri" w:cs="Calibri"/>
    </w:rPr>
  </w:style>
  <w:style w:type="paragraph" w:styleId="985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986" w:customStyle="1">
    <w:name w:val="МОН Знак"/>
    <w:link w:val="987"/>
    <w:rPr>
      <w:sz w:val="24"/>
      <w:szCs w:val="24"/>
    </w:rPr>
  </w:style>
  <w:style w:type="paragraph" w:styleId="987" w:customStyle="1">
    <w:name w:val="МОН"/>
    <w:basedOn w:val="765"/>
    <w:link w:val="986"/>
    <w:pPr>
      <w:ind w:firstLine="709"/>
      <w:jc w:val="both"/>
      <w:spacing w:line="360" w:lineRule="auto"/>
    </w:pPr>
    <w:rPr>
      <w:rFonts w:asciiTheme="minorHAnsi" w:hAnsiTheme="minorHAnsi" w:eastAsiaTheme="minorHAnsi" w:cstheme="minorBidi"/>
      <w:lang w:eastAsia="en-US"/>
    </w:rPr>
  </w:style>
  <w:style w:type="paragraph" w:styleId="988" w:customStyle="1">
    <w:name w:val="Знак Знак Знак Знак Знак Знак Знак Знак Знак Знак Знак Знак Знак Знак"/>
    <w:basedOn w:val="765"/>
    <w:pPr>
      <w:jc w:val="both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989">
    <w:name w:val="FollowedHyperlink"/>
    <w:basedOn w:val="775"/>
    <w:uiPriority w:val="99"/>
    <w:unhideWhenUsed/>
    <w:rPr>
      <w:color w:val="800080"/>
      <w:u w:val="single"/>
    </w:rPr>
  </w:style>
  <w:style w:type="paragraph" w:styleId="990" w:customStyle="1">
    <w:name w:val="xl63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1" w:customStyle="1">
    <w:name w:val="xl64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2" w:customStyle="1">
    <w:name w:val="xl65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3" w:customStyle="1">
    <w:name w:val="xl66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4" w:customStyle="1">
    <w:name w:val="xl67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5" w:customStyle="1">
    <w:name w:val="xl68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6" w:customStyle="1">
    <w:name w:val="xl69"/>
    <w:basedOn w:val="765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7" w:customStyle="1">
    <w:name w:val="xl70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8" w:customStyle="1">
    <w:name w:val="xl71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9" w:customStyle="1">
    <w:name w:val="xl72"/>
    <w:basedOn w:val="7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0" w:customStyle="1">
    <w:name w:val="xl73"/>
    <w:basedOn w:val="765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sz w:val="20"/>
      <w:szCs w:val="20"/>
    </w:rPr>
  </w:style>
  <w:style w:type="paragraph" w:styleId="1001" w:customStyle="1">
    <w:name w:val="xl74"/>
    <w:basedOn w:val="765"/>
    <w:pPr>
      <w:jc w:val="center"/>
      <w:spacing w:before="100" w:beforeAutospacing="1" w:after="100" w:afterAutospacing="1"/>
      <w:pBdr>
        <w:top w:val="single" w:color="000000" w:sz="4" w:space="0"/>
      </w:pBdr>
    </w:pPr>
    <w:rPr>
      <w:sz w:val="20"/>
      <w:szCs w:val="20"/>
    </w:rPr>
  </w:style>
  <w:style w:type="numbering" w:styleId="1002" w:customStyle="1">
    <w:name w:val="Нет списка1"/>
    <w:next w:val="777"/>
    <w:uiPriority w:val="99"/>
    <w:semiHidden/>
    <w:unhideWhenUsed/>
  </w:style>
  <w:style w:type="table" w:styleId="1003" w:customStyle="1">
    <w:name w:val="Сетка таблицы1"/>
    <w:basedOn w:val="776"/>
    <w:next w:val="981"/>
    <w:pPr>
      <w:spacing w:after="0" w:line="240" w:lineRule="auto"/>
    </w:pPr>
    <w:rPr>
      <w:rFonts w:ascii="Calibri" w:hAnsi="Calibri" w:eastAsia="Calibri" w:cs="Calibri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www.citymurmansk.ru/img/all/175_ukaz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8591E-30C1-4EF7-BD28-68C12D0D6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8</cp:revision>
  <dcterms:created xsi:type="dcterms:W3CDTF">2025-11-12T11:45:00Z</dcterms:created>
  <dcterms:modified xsi:type="dcterms:W3CDTF">2025-11-19T09:53:14Z</dcterms:modified>
</cp:coreProperties>
</file>