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12.11.2025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№ 1842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Об утверждении муниципальной программы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Культура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- 202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8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статьей 179 Бюджетного кодекса Российской Федерации, </w:t>
      </w:r>
      <w:r>
        <w:rPr>
          <w:rFonts w:ascii="Times New Roman" w:hAnsi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sz w:val="24"/>
          <w:szCs w:val="24"/>
        </w:rPr>
        <w:t xml:space="preserve">Порядком разработки, </w:t>
      </w:r>
      <w:r>
        <w:rPr>
          <w:rFonts w:ascii="Times New Roman" w:hAnsi="Times New Roman"/>
          <w:sz w:val="24"/>
          <w:szCs w:val="24"/>
        </w:rPr>
        <w:t xml:space="preserve">реализации и оценки эффективности муниципальных программ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, утвержденн</w:t>
      </w:r>
      <w:r>
        <w:rPr>
          <w:rFonts w:ascii="Times New Roman" w:hAnsi="Times New Roman"/>
          <w:sz w:val="24"/>
          <w:szCs w:val="24"/>
        </w:rPr>
        <w:t xml:space="preserve">ым</w:t>
      </w:r>
      <w:r>
        <w:rPr>
          <w:rFonts w:ascii="Times New Roman" w:hAnsi="Times New Roman"/>
          <w:sz w:val="24"/>
          <w:szCs w:val="24"/>
        </w:rPr>
        <w:t xml:space="preserve"> постановлением администрации Печенгского муниципального округа от 1</w:t>
      </w: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.0</w:t>
      </w:r>
      <w:r>
        <w:rPr>
          <w:rFonts w:ascii="Times New Roman" w:hAnsi="Times New Roman"/>
          <w:sz w:val="24"/>
          <w:szCs w:val="24"/>
        </w:rPr>
        <w:t xml:space="preserve">9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</w:t>
        <w:br/>
        <w:t xml:space="preserve">№ </w:t>
      </w:r>
      <w:r>
        <w:rPr>
          <w:rFonts w:ascii="Times New Roman" w:hAnsi="Times New Roman"/>
          <w:sz w:val="24"/>
          <w:szCs w:val="24"/>
        </w:rPr>
        <w:t xml:space="preserve">1488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в целях обеспечения творческого и культурного развития личности, участия населения в культурной жизни и развития дополнительного образования в сфере культуры и искусства в Печенгском муниципальном округе,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/>
          <w:sz w:val="24"/>
          <w:szCs w:val="18"/>
          <w:lang w:eastAsia="ru-RU"/>
        </w:rPr>
      </w:pP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lang w:eastAsia="ru-RU"/>
        </w:rPr>
      </w:pP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Утвердить муниципальную программу Печенгского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Культура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на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 согласно приложению к настоящему постановлению.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с 01 января 202</w:t>
      </w:r>
      <w:r>
        <w:rPr>
          <w:rFonts w:ascii="Times New Roman" w:hAnsi="Times New Roman" w:eastAsia="Times New Roman"/>
          <w:sz w:val="24"/>
          <w:szCs w:val="24"/>
        </w:rPr>
        <w:t xml:space="preserve">6</w:t>
      </w:r>
      <w:r>
        <w:rPr>
          <w:rFonts w:ascii="Times New Roman" w:hAnsi="Times New Roman" w:eastAsia="Times New Roman"/>
          <w:sz w:val="24"/>
          <w:szCs w:val="24"/>
        </w:rPr>
        <w:t xml:space="preserve"> года.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  <w:t xml:space="preserve">Настоящее постановление опубликовать</w:t>
      </w:r>
      <w:r>
        <w:rPr>
          <w:rFonts w:ascii="Times New Roman" w:hAnsi="Times New Roman" w:eastAsia="Times New Roman"/>
          <w:sz w:val="24"/>
          <w:szCs w:val="24"/>
        </w:rPr>
        <w:t xml:space="preserve"> в официальном издании газета «Печенга» и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Печенгского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Кон</w:t>
      </w:r>
      <w:r>
        <w:rPr>
          <w:rFonts w:ascii="Times New Roman" w:hAnsi="Times New Roman"/>
          <w:sz w:val="24"/>
          <w:szCs w:val="24"/>
        </w:rPr>
        <w:t xml:space="preserve">троль за исполнением настоящего постановления </w:t>
      </w:r>
      <w:r>
        <w:rPr>
          <w:rFonts w:ascii="Times New Roman" w:hAnsi="Times New Roman"/>
          <w:sz w:val="24"/>
          <w:szCs w:val="24"/>
        </w:rPr>
        <w:t xml:space="preserve">оставляю за собой.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Хорошилова Е.А., 513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63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 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/>
          <w:i/>
          <w:color w:val="0000ff"/>
          <w:sz w:val="20"/>
          <w:szCs w:val="20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12.11.2025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1842</w:t>
      </w:r>
      <w:r>
        <w:rPr>
          <w:rFonts w:ascii="Times New Roman" w:hAnsi="Times New Roman"/>
          <w:i/>
          <w:color w:val="0000ff"/>
          <w:sz w:val="20"/>
          <w:szCs w:val="20"/>
        </w:rPr>
      </w:r>
      <w:r>
        <w:rPr>
          <w:rFonts w:ascii="Times New Roman" w:hAnsi="Times New Roman"/>
          <w:i/>
          <w:color w:val="0000ff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  <w:highlight w:val="yellow"/>
        </w:rPr>
        <w:outlineLvl w:val="1"/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  <w:highlight w:val="yellow"/>
        </w:rPr>
        <w:outlineLvl w:val="1"/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МУНИЦИПАЛЬНАЯ ПРОГРАММА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8"/>
          <w:szCs w:val="28"/>
        </w:rPr>
        <w:outlineLvl w:val="1"/>
      </w:pPr>
      <w:r>
        <w:rPr>
          <w:rFonts w:ascii="Times New Roman" w:hAnsi="Times New Roman"/>
          <w:b/>
          <w:sz w:val="28"/>
          <w:szCs w:val="28"/>
        </w:rPr>
        <w:t xml:space="preserve">«</w:t>
      </w:r>
      <w:r>
        <w:rPr>
          <w:rFonts w:ascii="Times New Roman" w:hAnsi="Times New Roman"/>
          <w:b/>
          <w:sz w:val="28"/>
          <w:szCs w:val="28"/>
        </w:rPr>
        <w:t xml:space="preserve">КУЛЬТУРА</w:t>
      </w:r>
      <w:r>
        <w:rPr>
          <w:rFonts w:ascii="Times New Roman" w:hAnsi="Times New Roman"/>
          <w:b/>
          <w:sz w:val="28"/>
          <w:szCs w:val="28"/>
        </w:rPr>
        <w:t xml:space="preserve">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Срок реализации: 2026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- 2028 годы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Ответственный исполнитель муниципальной программы – 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Отдел культуры, спорта и молодежной политики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администрации Печенгского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м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униципального округа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8"/>
          <w:szCs w:val="28"/>
        </w:rPr>
        <w:outlineLvl w:val="1"/>
      </w:pP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  <w:outlineLvl w:val="2"/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  <w:outlineLvl w:val="2"/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/>
      <w:bookmarkStart w:id="0" w:name="P366"/>
      <w:r/>
      <w:bookmarkEnd w:id="0"/>
      <w:r>
        <w:rPr>
          <w:rFonts w:ascii="Times New Roman" w:hAnsi="Times New Roman" w:eastAsia="Times New Roman"/>
          <w:b/>
          <w:sz w:val="24"/>
          <w:lang w:eastAsia="ru-RU"/>
        </w:rPr>
        <w:t xml:space="preserve">ПАСПОРТ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6"/>
          <w:szCs w:val="26"/>
          <w:u w:val="single"/>
          <w:lang w:eastAsia="ru-RU"/>
        </w:rPr>
      </w:pPr>
      <w:r>
        <w:rPr>
          <w:rFonts w:ascii="Times New Roman" w:hAnsi="Times New Roman" w:eastAsia="Times New Roman"/>
          <w:b/>
          <w:sz w:val="26"/>
          <w:szCs w:val="26"/>
          <w:u w:val="single"/>
          <w:lang w:eastAsia="ru-RU"/>
        </w:rPr>
        <w:t xml:space="preserve">«</w:t>
      </w:r>
      <w:r>
        <w:rPr>
          <w:rFonts w:ascii="Times New Roman" w:hAnsi="Times New Roman" w:eastAsia="Times New Roman"/>
          <w:b/>
          <w:sz w:val="26"/>
          <w:szCs w:val="26"/>
          <w:u w:val="single"/>
          <w:lang w:eastAsia="ru-RU"/>
        </w:rPr>
        <w:t xml:space="preserve">Культура</w:t>
      </w:r>
      <w:r>
        <w:rPr>
          <w:rFonts w:ascii="Times New Roman" w:hAnsi="Times New Roman" w:eastAsia="Times New Roman"/>
          <w:b/>
          <w:sz w:val="26"/>
          <w:szCs w:val="26"/>
          <w:u w:val="single"/>
          <w:lang w:eastAsia="ru-RU"/>
        </w:rPr>
        <w:t xml:space="preserve">»</w:t>
      </w:r>
      <w:r>
        <w:rPr>
          <w:rFonts w:ascii="Times New Roman" w:hAnsi="Times New Roman" w:eastAsia="Times New Roman"/>
          <w:b/>
          <w:sz w:val="26"/>
          <w:szCs w:val="26"/>
          <w:u w:val="single"/>
          <w:lang w:eastAsia="ru-RU"/>
        </w:rPr>
      </w:r>
      <w:r>
        <w:rPr>
          <w:rFonts w:ascii="Times New Roman" w:hAnsi="Times New Roman" w:eastAsia="Times New Roman"/>
          <w:b/>
          <w:sz w:val="26"/>
          <w:szCs w:val="26"/>
          <w:u w:val="singl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tbl>
      <w:tblPr>
        <w:tblW w:w="9721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411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pStyle w:val="896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/>
            <w:bookmarkStart w:id="1" w:name="_Hlk127177178"/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и удовлетворение культурных запросов и духовных потребностей населения путем создания условий для комплексного развития культурного потенциала</w:t>
            </w:r>
            <w:bookmarkEnd w:id="1"/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82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Перечень направлений (подпрограмм)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851 363 195,72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рублей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832 375 182,00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86 997 528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2 050 727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3 326 927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3 413 844,00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3 413 844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274 169,72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274 169,72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5 300 000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5 5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рублей.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22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pStyle w:val="939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Ожидаемые результаты реализаци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и муниципальной программы к </w:t>
            </w:r>
            <w:r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  <w:lang w:eastAsia="ru-RU"/>
              </w:rPr>
              <w:t xml:space="preserve"> году: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39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 показатель независимой оценки качества условий оказания услуг в сфере культуры – на уровне не ниже 82,35 баллов;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39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численность обучающихся образовательных организаций в сфере культуры (среднегодовая) – 642 человека в 2028 году;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39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увеличение численности обучающихся образовательных организаций в сфере культуры, принявших участие в творческих мероприятиях (в том числе, в мероприятиях и конкурсах регионального, всероссийского, международного уровней) до 820 человек;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39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увеличение численности участников клубных формирований – до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1130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человек в 2028 году;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39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рост числа посещений культурно-массовых мероприятий, проводимых  муниципальными культурно-досуговыми учреждениями до 143430 посещений;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39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 увеличение доли экспонируемых музейных предметов за отчетный период от общего количества предметов музейного фонда до 25,0 процентов;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39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сохранение динамики увеличения числа посещений библиотек (в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стационарных условиях) на уровне 0,02 %;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39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сохранение отношения средней заработной платы работ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по Мурманской области на уровне 2024 года – 95%)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39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сохранение доли учреждений культуры и учреждений дополнительного образования в сфере культуры и искусства, в отношении которых осуществлены мероприятия по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укреплени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ю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материально - технической базы и проведени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ю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текущих ремонтов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, на уровне 100 %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от общего числа таких учреждений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39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наличие разработанной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проектно-сметной документации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на р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еконструкци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ю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здания МБУК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Центр культуры Печенгского муниципального округа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, расположенного по адресу: пгт. Никель, </w:t>
              <w:br/>
              <w:t xml:space="preserve">ул. Октябрьская, д. 1 (ДК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Восход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- 1 ед.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 2026 году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культуры, спорта и молодежной политики администрации Печенгского муниципального округа (далее – Отдел КСиМП)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сполнители</w:t>
            </w:r>
            <w:r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КСиМП,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одведомственные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Отделу КСиМП учреждения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Связь с национальными, региональными проектами/государственными программами Мурманской области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Государственная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Мурманской области «Культура»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pStyle w:val="896"/>
        <w:numPr>
          <w:ilvl w:val="0"/>
          <w:numId w:val="14"/>
        </w:numPr>
        <w:ind w:left="0" w:firstLine="0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Приоритеты и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задачи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муниципального управления в сфере реализации муниципальной программы «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Культура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»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0"/>
          <w:szCs w:val="20"/>
          <w:highlight w:val="yellow"/>
        </w:rPr>
      </w:pPr>
      <w:r>
        <w:rPr>
          <w:rFonts w:ascii="Times New Roman" w:hAnsi="Times New Roman"/>
          <w:sz w:val="20"/>
          <w:szCs w:val="20"/>
          <w:highlight w:val="yellow"/>
        </w:rPr>
      </w:r>
      <w:r>
        <w:rPr>
          <w:rFonts w:ascii="Times New Roman" w:hAnsi="Times New Roman"/>
          <w:sz w:val="20"/>
          <w:szCs w:val="20"/>
          <w:highlight w:val="yellow"/>
        </w:rPr>
      </w:r>
      <w:r>
        <w:rPr>
          <w:rFonts w:ascii="Times New Roman" w:hAnsi="Times New Roman"/>
          <w:sz w:val="20"/>
          <w:szCs w:val="20"/>
          <w:highlight w:val="yellow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Приоритеты муниципальной политики в сфере реализации </w:t>
      </w:r>
      <w:r>
        <w:rPr>
          <w:rFonts w:ascii="Times New Roman" w:hAnsi="Times New Roman"/>
          <w:sz w:val="24"/>
          <w:szCs w:val="24"/>
        </w:rPr>
        <w:t xml:space="preserve">муниципальной п</w:t>
      </w:r>
      <w:r>
        <w:rPr>
          <w:rFonts w:ascii="Times New Roman" w:hAnsi="Times New Roman"/>
          <w:sz w:val="24"/>
          <w:szCs w:val="24"/>
        </w:rPr>
        <w:t xml:space="preserve">рограммы</w:t>
      </w:r>
      <w:r>
        <w:rPr>
          <w:rFonts w:ascii="Times New Roman" w:hAnsi="Times New Roman"/>
          <w:sz w:val="24"/>
          <w:szCs w:val="24"/>
        </w:rPr>
        <w:t xml:space="preserve"> Печенгского муниципального округа </w:t>
      </w:r>
      <w:r>
        <w:rPr>
          <w:rFonts w:ascii="Times New Roman" w:hAnsi="Times New Roman"/>
          <w:sz w:val="24"/>
          <w:szCs w:val="24"/>
        </w:rPr>
        <w:t xml:space="preserve">«Культура»</w:t>
      </w:r>
      <w:r>
        <w:rPr>
          <w:rFonts w:ascii="Times New Roman" w:hAnsi="Times New Roman"/>
          <w:sz w:val="24"/>
          <w:szCs w:val="24"/>
        </w:rPr>
        <w:t xml:space="preserve"> на 2026-2028 годы (далее – Программа)</w:t>
      </w:r>
      <w:r>
        <w:rPr>
          <w:rFonts w:ascii="Times New Roman" w:hAnsi="Times New Roman"/>
          <w:sz w:val="24"/>
          <w:szCs w:val="24"/>
        </w:rPr>
        <w:t xml:space="preserve"> определены За</w:t>
      </w:r>
      <w:bookmarkStart w:id="2" w:name="_GoBack"/>
      <w:r/>
      <w:bookmarkEnd w:id="2"/>
      <w:r>
        <w:rPr>
          <w:rFonts w:ascii="Times New Roman" w:hAnsi="Times New Roman"/>
          <w:sz w:val="24"/>
          <w:szCs w:val="24"/>
        </w:rPr>
        <w:t xml:space="preserve">коном Российской Федерации «Основы законодательства Российской Федерации о культуре», Стратегией государственной культурной политики на период до 2030 года, в ежегодных посланиях Президента Российской Федерации Федеральному Собранию Российской Федерации, </w:t>
      </w:r>
      <w:r>
        <w:rPr>
          <w:rFonts w:ascii="Times New Roman" w:hAnsi="Times New Roman"/>
          <w:sz w:val="24"/>
          <w:szCs w:val="24"/>
        </w:rPr>
        <w:t xml:space="preserve">с учетом </w:t>
      </w:r>
      <w:r>
        <w:rPr>
          <w:rFonts w:ascii="Times New Roman" w:hAnsi="Times New Roman"/>
          <w:sz w:val="24"/>
          <w:szCs w:val="24"/>
        </w:rPr>
        <w:t xml:space="preserve">поручений</w:t>
      </w:r>
      <w:r>
        <w:rPr>
          <w:rFonts w:ascii="Times New Roman" w:hAnsi="Times New Roman"/>
          <w:sz w:val="24"/>
          <w:szCs w:val="24"/>
        </w:rPr>
        <w:t xml:space="preserve"> Губернатора </w:t>
      </w:r>
      <w:r>
        <w:rPr>
          <w:rFonts w:ascii="Times New Roman" w:hAnsi="Times New Roman"/>
          <w:sz w:val="24"/>
          <w:szCs w:val="24"/>
        </w:rPr>
        <w:t xml:space="preserve">Мурманской области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на основании </w:t>
      </w:r>
      <w:r>
        <w:rPr>
          <w:rFonts w:ascii="Times New Roman" w:hAnsi="Times New Roman"/>
          <w:sz w:val="24"/>
          <w:szCs w:val="24"/>
        </w:rPr>
        <w:t xml:space="preserve">прогноза</w:t>
      </w:r>
      <w:r>
        <w:rPr>
          <w:rFonts w:ascii="Times New Roman" w:hAnsi="Times New Roman"/>
          <w:sz w:val="24"/>
          <w:szCs w:val="24"/>
        </w:rPr>
        <w:t xml:space="preserve"> социально-экономического развития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указанными документами сформированы следующие </w:t>
      </w:r>
      <w:r>
        <w:rPr>
          <w:rFonts w:ascii="Times New Roman" w:hAnsi="Times New Roman"/>
          <w:sz w:val="24"/>
          <w:szCs w:val="24"/>
        </w:rPr>
        <w:t xml:space="preserve">задачи</w:t>
      </w:r>
      <w:r>
        <w:rPr>
          <w:rFonts w:ascii="Times New Roman" w:hAnsi="Times New Roman"/>
          <w:sz w:val="24"/>
          <w:szCs w:val="24"/>
        </w:rPr>
        <w:t xml:space="preserve"> муниципальной политик</w:t>
      </w:r>
      <w:r>
        <w:rPr>
          <w:rFonts w:ascii="Times New Roman" w:hAnsi="Times New Roman"/>
          <w:sz w:val="24"/>
          <w:szCs w:val="24"/>
        </w:rPr>
        <w:t xml:space="preserve">и в сфере реализации Программы: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качественный уровень развития учреждений культурно-досугового типа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в</w:t>
      </w:r>
      <w:r>
        <w:rPr>
          <w:rFonts w:ascii="Times New Roman" w:hAnsi="Times New Roman"/>
          <w:sz w:val="24"/>
          <w:szCs w:val="24"/>
        </w:rPr>
        <w:t xml:space="preserve">недрение инновационных форм библиотечно-информационного обслуживания;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создание благоприятных условий для устойчивого развития дополнительного образования в сфере культуры.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Приоритеты государственной политики в сфере реализации Программы определены исходя из положений стратегических документов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: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Указ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а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Президента Российской Федерации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от 7 мая 2024 года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№ 309 </w:t>
        <w:br/>
        <w:t xml:space="preserve">«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О национальных целях развития Российской Федерации на период до 2030 год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а и на перспективу до 2036 года»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;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  <w:t xml:space="preserve">Стратегии государственной культурной политики на период до 2030 года, утвержденной распоряжением Правительства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 Российской Ф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едерации от 11.09.2024 </w:t>
        <w:br/>
        <w:t xml:space="preserve">№ 2501-р;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  <w:t xml:space="preserve">иными нормативными правовыми документами федерального и регионального законодательства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органов исполнительной власти, касающихся управления в сфере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культуры.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Печенгском муниципальном округе Программа реализуется отделом КСиМП, при участии подведомственных </w:t>
      </w:r>
      <w:r>
        <w:rPr>
          <w:rFonts w:ascii="Times New Roman" w:hAnsi="Times New Roman"/>
          <w:sz w:val="24"/>
          <w:szCs w:val="24"/>
        </w:rPr>
        <w:t xml:space="preserve">ему </w:t>
      </w:r>
      <w:r>
        <w:rPr>
          <w:rFonts w:ascii="Times New Roman" w:hAnsi="Times New Roman"/>
          <w:sz w:val="24"/>
          <w:szCs w:val="24"/>
        </w:rPr>
        <w:t xml:space="preserve">учреждений.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Целью Программы является - </w:t>
      </w:r>
      <w:r>
        <w:rPr>
          <w:rFonts w:ascii="Times New Roman" w:hAnsi="Times New Roman"/>
          <w:sz w:val="24"/>
          <w:szCs w:val="24"/>
        </w:rPr>
        <w:t xml:space="preserve">ф</w:t>
      </w:r>
      <w:r>
        <w:rPr>
          <w:rFonts w:ascii="Times New Roman" w:hAnsi="Times New Roman"/>
          <w:sz w:val="24"/>
          <w:szCs w:val="24"/>
        </w:rPr>
        <w:t xml:space="preserve">ормирование и удовлетворение культурных запросов и духовных потребностей населения путем создания условий для комплексного развития </w:t>
      </w:r>
      <w:r>
        <w:rPr>
          <w:rFonts w:ascii="Times New Roman" w:hAnsi="Times New Roman"/>
          <w:sz w:val="24"/>
          <w:szCs w:val="24"/>
        </w:rPr>
        <w:t xml:space="preserve">культурного потенциала.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ее достижения предполагается реализация следующих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укрепление гражданской идентичности;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сохранение исторического и культурного наследия и его использование для воспитания и образования;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передача от поколения к поколению традиционных для российской цивилизации ценностей и норм, традиций, обычаев и образцов поведения;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создание условий для реализации каждым человеком его творческого потенциала;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обеспечение доступа граждан к знаниям, информации, культурным ценностям и благам.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реализации мероприятий Программы в трехлетнем периоде предполагается осуществлять работу по следующим направлениям: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обеспечение деятельности </w:t>
      </w:r>
      <w:r>
        <w:rPr>
          <w:rFonts w:ascii="Times New Roman" w:hAnsi="Times New Roman"/>
          <w:sz w:val="24"/>
          <w:szCs w:val="24"/>
        </w:rPr>
        <w:t xml:space="preserve">учреждений </w:t>
      </w:r>
      <w:r>
        <w:rPr>
          <w:rFonts w:ascii="Times New Roman" w:hAnsi="Times New Roman"/>
          <w:sz w:val="24"/>
          <w:szCs w:val="24"/>
        </w:rPr>
        <w:t xml:space="preserve">культуры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осуществление го</w:t>
      </w:r>
      <w:r>
        <w:rPr>
          <w:rFonts w:ascii="Times New Roman" w:hAnsi="Times New Roman"/>
          <w:sz w:val="24"/>
          <w:szCs w:val="24"/>
        </w:rPr>
        <w:t xml:space="preserve">сударственн</w:t>
      </w:r>
      <w:r>
        <w:rPr>
          <w:rFonts w:ascii="Times New Roman" w:hAnsi="Times New Roman"/>
          <w:sz w:val="24"/>
          <w:szCs w:val="24"/>
        </w:rPr>
        <w:t xml:space="preserve">ой </w:t>
      </w:r>
      <w:r>
        <w:rPr>
          <w:rFonts w:ascii="Times New Roman" w:hAnsi="Times New Roman"/>
          <w:sz w:val="24"/>
          <w:szCs w:val="24"/>
        </w:rPr>
        <w:t xml:space="preserve">поддержк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лучших муниципальных учреждений культуры, находящихся на территориях сельских </w:t>
      </w:r>
      <w:r>
        <w:rPr>
          <w:rFonts w:ascii="Times New Roman" w:hAnsi="Times New Roman"/>
          <w:sz w:val="24"/>
          <w:szCs w:val="24"/>
        </w:rPr>
        <w:t xml:space="preserve">населенных пунктов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поддержка непрерывного образования и повышения квалификации творческих и управленческих кадров в сфере культуры для обеспечения организаций культуры высокопрофессиональными кадрами;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п</w:t>
      </w:r>
      <w:r>
        <w:rPr>
          <w:rFonts w:ascii="Times New Roman" w:hAnsi="Times New Roman"/>
          <w:sz w:val="24"/>
          <w:szCs w:val="24"/>
        </w:rPr>
        <w:t xml:space="preserve">овышение вовлеченности граждан в деятельность в сфере культуры (создание условий для реализации творческого потенциала, воспитания на основе традиционных российских </w:t>
      </w:r>
      <w:r>
        <w:rPr>
          <w:rFonts w:ascii="Times New Roman" w:hAnsi="Times New Roman"/>
          <w:sz w:val="24"/>
          <w:szCs w:val="24"/>
        </w:rPr>
        <w:t xml:space="preserve">духовно-нравственных ценностей);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сохранение национального культурного наследия, содействие реализации талантливых и перспективных проектов в области культуры и искусства, воспитание, просвещение и поддержку молодого поколения;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увеличение </w:t>
      </w:r>
      <w:r>
        <w:rPr>
          <w:rFonts w:ascii="Times New Roman" w:hAnsi="Times New Roman"/>
          <w:sz w:val="24"/>
          <w:szCs w:val="24"/>
        </w:rPr>
        <w:t xml:space="preserve">уровня удовлетворенности граждан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 </w:t>
      </w:r>
      <w:r>
        <w:rPr>
          <w:rFonts w:ascii="Times New Roman" w:hAnsi="Times New Roman"/>
          <w:sz w:val="24"/>
          <w:szCs w:val="24"/>
        </w:rPr>
        <w:t xml:space="preserve">доступностью и качеством услуг </w:t>
      </w:r>
      <w:r>
        <w:rPr>
          <w:rFonts w:ascii="Times New Roman" w:hAnsi="Times New Roman"/>
          <w:sz w:val="24"/>
          <w:szCs w:val="24"/>
        </w:rPr>
        <w:t xml:space="preserve">учреждений </w:t>
      </w:r>
      <w:r>
        <w:rPr>
          <w:rFonts w:ascii="Times New Roman" w:hAnsi="Times New Roman"/>
          <w:sz w:val="24"/>
          <w:szCs w:val="24"/>
        </w:rPr>
        <w:t xml:space="preserve">культуры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создание и модернизация учреждений культурно-досугового типа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обеспечение развития и укреплен</w:t>
      </w:r>
      <w:r>
        <w:rPr>
          <w:rFonts w:ascii="Times New Roman" w:hAnsi="Times New Roman"/>
          <w:sz w:val="24"/>
          <w:szCs w:val="24"/>
        </w:rPr>
        <w:t xml:space="preserve">ия материально-технической базы, </w:t>
      </w:r>
      <w:r>
        <w:rPr>
          <w:rFonts w:ascii="Times New Roman" w:hAnsi="Times New Roman"/>
          <w:sz w:val="24"/>
          <w:szCs w:val="24"/>
        </w:rPr>
        <w:t xml:space="preserve">оснащение музыкальными инструментами, оборудованием и учебными материалами образовательных организаций в сфере культуры;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реализация проектов по сохранению объектов культурного наследия;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создание культурно-образовательных и музейных комплексов.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/>
      <w:bookmarkStart w:id="3" w:name="P446"/>
      <w:r/>
      <w:bookmarkEnd w:id="3"/>
      <w:r>
        <w:rPr>
          <w:rFonts w:ascii="Times New Roman" w:hAnsi="Times New Roman" w:eastAsia="Times New Roman"/>
          <w:b/>
          <w:sz w:val="24"/>
          <w:lang w:eastAsia="ru-RU"/>
        </w:rPr>
        <w:t xml:space="preserve">2. </w:t>
      </w:r>
      <w:r>
        <w:rPr>
          <w:rFonts w:ascii="Times New Roman" w:hAnsi="Times New Roman" w:eastAsia="Times New Roman"/>
          <w:b/>
          <w:sz w:val="24"/>
          <w:lang w:eastAsia="ru-RU"/>
        </w:rPr>
        <w:t xml:space="preserve">Перечень</w:t>
      </w:r>
      <w:r>
        <w:rPr>
          <w:rFonts w:ascii="Times New Roman" w:hAnsi="Times New Roman" w:eastAsia="Times New Roman"/>
          <w:b/>
          <w:sz w:val="24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4"/>
          <w:lang w:eastAsia="ru-RU"/>
        </w:rPr>
        <w:t xml:space="preserve">показателей муниципальной программы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tbl>
      <w:tblPr>
        <w:tblW w:w="14884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5103"/>
        <w:gridCol w:w="993"/>
        <w:gridCol w:w="992"/>
        <w:gridCol w:w="1134"/>
        <w:gridCol w:w="992"/>
        <w:gridCol w:w="992"/>
        <w:gridCol w:w="993"/>
        <w:gridCol w:w="992"/>
        <w:gridCol w:w="1984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Муниципальная программа, направления(подпрограммы), цели, показатели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Ед. изм.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  <w:t xml:space="preserve">Направлен</w:t>
            </w: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  <w:t xml:space="preserve">ность показателя</w:t>
            </w:r>
            <w:r>
              <w:rPr>
                <w:rFonts w:ascii="Times New Roman" w:hAnsi="Times New Roman" w:eastAsia="Times New Roman"/>
                <w:sz w:val="19"/>
                <w:szCs w:val="19"/>
                <w:vertAlign w:val="superscript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Значение 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Соисполнитель,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ответственный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за достижение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2024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2025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факт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оценка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5" w:type="dxa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Муниципальная программа 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u w:val="single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u w:val="single"/>
                <w:lang w:eastAsia="ru-RU"/>
              </w:rPr>
              <w:t xml:space="preserve">Культура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u w:val="single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Цель муниципальной программы: 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Формирование и удовлетворение культурных запросов и духовных потребностей населения путем создания условий для комплексного 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развития культурного потенциала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Результаты независимой оценки качества условий оказания услуг в сфере культуры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баллы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82,35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82,35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82,35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82,35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82,35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Численность обучающихся образовательных организаций в сфере культуры (среднегодовая)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633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597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612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627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642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Отделу КСиМП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Численность обучающихся образовательных организаций в сфере культуры, принявших участие в творческих мероприятиях (в том числе, в мероприятиях и конкурсах регионального, всероссийского, международного уровней)</w:t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785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800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810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815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820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Отделу КСиМП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Численность участников клубных формирований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1233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1069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1080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1130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Отделу КСиМП учреждения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Число посещений культурно-массовых мероприятий, проводимых муниципальными культурно-досуговыми учреждениями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диниц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143421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143425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143427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143429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143430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Отделу КСиМП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экспонируемых музейных предметов за отчетный период от общего количества предметов музейного фонда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11,6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 «Историко - краеведческий музей Печенгского муниципального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Динамика увеличения числа посещений библиотек (в стационарных условиях)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МБКПУ «Печенгское межпоселенческое библиотечное объединение»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/>
            <w:bookmarkStart w:id="4" w:name="p125"/>
            <w:r/>
            <w:bookmarkEnd w:id="4"/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Отношение сре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по Мурманской области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(сохранение з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аработной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аты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на уровне 2024 года – 95%)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pStyle w:val="944"/>
              <w:ind w:left="0"/>
              <w:jc w:val="both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Укрепление материально - технической базы и проведение текущих ремонтов в учреждениях культуры и учреждениях дополнительного образования в сфере культуры и искусства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от общего числа таких учреждений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процент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Подведомственные Отделу КСиМП учреждения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аличие разработанной проектно-сметной документации на реконструкци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ю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здания МБУК «Центр культуры Печенгского муниципального округа», расположенного по адресу: пгт. Никель, ул. Октябрьская, д. 1 (ДК «Восход»)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единиц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trike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18"/>
                <w:szCs w:val="18"/>
                <w:lang w:eastAsia="ru-RU"/>
              </w:rPr>
              <w:t xml:space="preserve">МБУК «Центр культуры Печенгского муниципального округа» (далее – МБУК «ЦКПМО»)</w:t>
            </w:r>
            <w:r>
              <w:rPr>
                <w:rFonts w:ascii="Times New Roman" w:hAnsi="Times New Roman" w:eastAsia="Times New Roman"/>
                <w:strike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18"/>
                <w:szCs w:val="18"/>
                <w:lang w:eastAsia="ru-RU"/>
              </w:rPr>
            </w:r>
          </w:p>
        </w:tc>
      </w:tr>
    </w:tbl>
    <w:p>
      <w:pPr>
        <w:pStyle w:val="906"/>
        <w:jc w:val="both"/>
        <w:spacing w:before="0" w:beforeAutospacing="0" w:after="0" w:afterAutospacing="0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</w:r>
      <w:r>
        <w:rPr>
          <w:sz w:val="20"/>
          <w:szCs w:val="20"/>
          <w:vertAlign w:val="superscript"/>
        </w:rPr>
      </w:r>
      <w:r>
        <w:rPr>
          <w:sz w:val="20"/>
          <w:szCs w:val="20"/>
          <w:vertAlign w:val="superscript"/>
        </w:rPr>
      </w:r>
    </w:p>
    <w:p>
      <w:pPr>
        <w:pStyle w:val="906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1 </w:t>
      </w:r>
      <w:r>
        <w:rPr>
          <w:sz w:val="20"/>
          <w:szCs w:val="20"/>
        </w:rPr>
        <w:t xml:space="preserve">Направленность показателя обозначается: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6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1 - направленность на рост;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6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(-1) - направленность на снижение;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6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0 - направленность на достижение конкретного значения.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Перечень структурных элементов муниципальной программы</w:t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4746" w:type="dxa"/>
        <w:tblInd w:w="-1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  <w:gridCol w:w="4452"/>
        <w:gridCol w:w="1276"/>
        <w:gridCol w:w="1842"/>
        <w:gridCol w:w="666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5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Направления (подпрограммы), комплексы процессных и(или) проектных мероприятий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Срок выполнения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66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Связь с показателями муниципальной программы (наименования показателей) 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52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Комплекс процессных мероприятий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«Развитие культурного потенциала жителей Печенгского муниципального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Отделу КСиМП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Результаты независимой оценки качества условий оказания услуг в сфере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0.2. 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обучающихся образовательных организаций в сфере культуры (среднегодовая)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0.3. 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обучающихся образовательных организаций в сфере культуры, принявших уч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астие в творческих мероприятиях,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 том числе, в мероприятиях и конкурсах регионального, всероссийского, международного уровней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участников клубных формирований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Число посещений культурно-массовых мероприятий, проводимых муниципальными культурно-досуговыми учреждениями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экспонируемых музейных предметов за отчетный период от общего количества предметов музейного фонда;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Динамика увеличения числа посещений библиотек (в стационарных условиях)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Отношение сре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дней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по Мурманской области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;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 Укрепление материально-технической базы и проведение текущих ремонтов в учреждениях культуры и учреждениях дополнительного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образования в сфере культуры 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искусства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от общего числа таких учреждений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/>
            <w:bookmarkStart w:id="5" w:name="p152"/>
            <w:r/>
            <w:bookmarkEnd w:id="5"/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52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Комплекс проектных мероприятий 2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«Модернизация имущественного комплекса муниципальных учреждений»</w:t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МБУК «ЦКПМО»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0.10.</w:t>
            </w:r>
            <w:r>
              <w:rPr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аличие разработанной проектно-сметной документации на реконструкци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ю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здания МБУК «Центр культуры Печенгского муниципального округа», расположенного по адресу: пгт. Никель, </w:t>
              <w:br/>
              <w:t xml:space="preserve">ул. Октябрьская, д. 1 (ДК «Восход»)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Перечень мер налогового регулирования (налоговых расходов) в сфере реализации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муниципальной программы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14601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544"/>
        <w:gridCol w:w="1418"/>
        <w:gridCol w:w="1417"/>
        <w:gridCol w:w="1418"/>
        <w:gridCol w:w="2551"/>
        <w:gridCol w:w="3544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Наименование меры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Объем выпадающих доходов бюджета округа (руб.)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Основание применения меры налогового регулирования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Цель применения меры, связь с показателями муниципальной программы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План/оценка/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факт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План/оценка/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факт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План/оценка/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факт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906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Освобождение </w:t>
            </w:r>
            <w:r>
              <w:rPr>
                <w:sz w:val="20"/>
                <w:szCs w:val="20"/>
              </w:rPr>
              <w:t xml:space="preserve">от налогообложения земельным налогом </w:t>
            </w:r>
            <w:r>
              <w:rPr>
                <w:sz w:val="20"/>
                <w:szCs w:val="20"/>
              </w:rPr>
              <w:t xml:space="preserve">учреждени</w:t>
            </w:r>
            <w:r>
              <w:rPr>
                <w:sz w:val="20"/>
                <w:szCs w:val="20"/>
              </w:rPr>
              <w:t xml:space="preserve">я</w:t>
            </w:r>
            <w:r>
              <w:rPr>
                <w:sz w:val="20"/>
                <w:szCs w:val="20"/>
              </w:rPr>
              <w:t xml:space="preserve"> культуры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финансируемы</w:t>
            </w:r>
            <w:r>
              <w:rPr>
                <w:sz w:val="20"/>
                <w:szCs w:val="20"/>
              </w:rPr>
              <w:t xml:space="preserve">е из бюджета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муниципального образования Печенгский муниципальный округ, в отношении земельных участков, предоставленных для непосредственного выполнения возложенных на эти учреждения функций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214 177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214 177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214 177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textDirection w:val="lrTb"/>
            <w:noWrap w:val="false"/>
          </w:tcPr>
          <w:p>
            <w:pPr>
              <w:ind w:right="142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Подпункт 4.1 пункта 4 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ешени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Совета депутатов Печенгского муниципального округа от 23.10.2020 № 39 «Об установлении земельного налога на территории муниципального образования Печенгский муниципальный округ Мурманской области»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(в ред. от 22.11.2024)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Во избежание встречных потоков денежных средств, уменьшения расходов плательщиков, воспользовавшихся льготами, финансовое обеспечение которых осуществляется в полном объеме или частично за счет средств бюджета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0.9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Укрепление материально - технической базы и проведение текущих ремонтов в учреждениях культуры и учреждениях дополнительного образования в сфере культуры и искусства от общего числа таких учреждений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spacing w:after="0" w:line="288" w:lineRule="atLeast"/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Сведения об объемах финансирования муниципальной программы</w:t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4601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3863"/>
        <w:gridCol w:w="1134"/>
        <w:gridCol w:w="1134"/>
        <w:gridCol w:w="1559"/>
        <w:gridCol w:w="1559"/>
        <w:gridCol w:w="1418"/>
        <w:gridCol w:w="1559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Муниципальная программа, ГРБС, направления (подпрограммы)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Период реализации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2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Объемы и источники финансирования (рублей)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Соисполнители</w:t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Год/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источник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Муниципальная программа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u w:val="single"/>
                <w:lang w:eastAsia="ru-RU"/>
              </w:rPr>
              <w:t xml:space="preserve">«Культура»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851 363 195,72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295 485 541,72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277 050 727,00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278 826 927,00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КСиМП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одведомственные Отделу КСиМП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832 375 182,00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286 997 528,00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272 050 727,00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273 326 927,00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3 413 844,00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3 413 844,00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274 169,72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274 169,72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15 300 000,00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4 800 000,00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5 000 000,00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5 500 000,00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2026-202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851 363 195,72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295 485 541,72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277 050 727,00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278 826 927,00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832 375 182,00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286 997 528,00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272 050 727,00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273 326 927,00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3 413 844,00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3 413 844,00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274 169,72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274 169,72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15 300 000,00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4 800 000,00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5 000 000,00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5 500 000,00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«Развитие культурного потенциала жителей Печенгского муниципального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851 363 195,72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295 485 541,72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277 050 727,00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278 826 927,00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Отделу КСиМП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832 375 182,00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286 997 528,00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272 050 727,00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273 326 927,00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3 413 844,00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3 413 844,00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274 169,72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274 169,72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15 300 000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4 800 00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5 000 00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5 500 00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проектных мероприятий 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«Модернизация имущественного комплекса муниципальных учреждений»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МБУК «ЦКПМО»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</w:tbl>
    <w:p>
      <w:pPr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Механизмы управления рисками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4963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1723"/>
        <w:gridCol w:w="3117"/>
        <w:gridCol w:w="3163"/>
        <w:gridCol w:w="4131"/>
        <w:gridCol w:w="165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Наименование риска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Ожидаемые последствия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Меры по предотвращению наступления риска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Меры реагирования при наличии признаков наступления риска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Периодичность мониторинга рисков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Правовой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8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Недостаточное нормативное правовое обеспечение реализации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программы, непринятие или несвоевременное принятие необходимых нормативных актов в связи с изменением федерального законодательства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14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Мониторинг изменений федерального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 регионального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законодательств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55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Внесение изменений или принятие необходимых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муниципальных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нормативных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правовых актов в соответствии с изменениями федерального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и регионального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законодательства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1" w:type="pct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Постоянно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Финансово-экономические риски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8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Нарушение сроков выполнения мероприятий и недостижение запланированных результатов, вызванные невыполнением в полном объеме исполнителями мероприятий (результатов), реализация которых предусмотрена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рограммой (муниципальными учреждениями, органами местного самоуправления, подрядчиками по муниципальным контрактам, получателями целевых субсидий и грантов), принятых по программе финансовых обязательств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14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Мониторинг реализации мероприятий (результатов) и своевременности исполнения обязательств, принятых на себя соответствующими получателями бюджетных средств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55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Внесение изменений или расторжение соглашений о предоставлении целевых бюджетных средств, применение штрафных санкций.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Внесение изменений в части уточнения целевых значений показателей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1" w:type="pct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Ежеквартально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7" w:type="pc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Административный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8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Нарушение сроков и недостижение запланированных мероприятий (результатов), вызванные неэффективной системой управления или введением различных ограничительных мер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)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14" w:type="pct"/>
            <w:textDirection w:val="lrTb"/>
            <w:noWrap w:val="false"/>
          </w:tcPr>
          <w:p>
            <w:pPr>
              <w:pStyle w:val="906"/>
              <w:ind w:right="0"/>
              <w:jc w:val="both"/>
              <w:spacing w:before="0" w:beforeAutospacing="0" w:after="0" w:afterAutospacing="0" w:line="240" w:lineRule="auto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Перераспределение объемов финансирования в зависимости от динамики и темпов достижения поставленных целей и внешних факторов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6"/>
              <w:ind w:right="0"/>
              <w:jc w:val="both"/>
              <w:spacing w:before="0" w:beforeAutospacing="0" w:after="0" w:afterAutospacing="0" w:line="240" w:lineRule="auto"/>
              <w:rPr>
                <w:sz w:val="20"/>
                <w:szCs w:val="20"/>
                <w:highlight w:val="yellow"/>
              </w:rPr>
              <w:suppressLineNumbers w:val="0"/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55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Корректировка показателей, а также мероприятий (результатов)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рограммы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1" w:type="pct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Ежеквартально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</w:tbl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  <w:sectPr>
          <w:footnotePr/>
          <w:endnotePr/>
          <w:type w:val="nextPage"/>
          <w:pgSz w:w="16838" w:h="11905" w:orient="landscape"/>
          <w:pgMar w:top="993" w:right="851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7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 xml:space="preserve">Порядок взаимодействия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Ответственного исполнителя, Соисполнителей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и участников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рограммы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spacing w:after="0" w:line="240" w:lineRule="auto"/>
      </w:pPr>
      <w:r/>
      <w:bookmarkStart w:id="6" w:name="Par3713"/>
      <w:r/>
      <w:bookmarkEnd w:id="6"/>
      <w:r/>
      <w:r/>
    </w:p>
    <w:p>
      <w:pPr>
        <w:ind w:left="0" w:righ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Мониторинг и контроль реализации муниципальной программы осуществляется </w:t>
      </w:r>
      <w:r>
        <w:rPr>
          <w:rFonts w:ascii="Times New Roman" w:hAnsi="Times New Roman"/>
          <w:sz w:val="24"/>
          <w:szCs w:val="24"/>
        </w:rPr>
        <w:t xml:space="preserve">ответственным </w:t>
      </w:r>
      <w:r>
        <w:rPr>
          <w:rFonts w:ascii="Times New Roman" w:hAnsi="Times New Roman"/>
          <w:sz w:val="24"/>
          <w:szCs w:val="24"/>
        </w:rPr>
        <w:t xml:space="preserve">исполнителем программы </w:t>
      </w: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 xml:space="preserve">Отдел КСиМП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 xml:space="preserve"> обеспечивает совместно с Соисполнителями разработку проекта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программы</w:t>
      </w:r>
      <w:r>
        <w:rPr>
          <w:rFonts w:ascii="Times New Roman" w:hAnsi="Times New Roman" w:eastAsia="Times New Roman"/>
          <w:sz w:val="24"/>
          <w:lang w:eastAsia="ru-RU"/>
        </w:rPr>
        <w:t xml:space="preserve">, проектов постановлений Администрации об утверждении муниципальной программы и (или) о внесении изменений в муниципальную программу и их согласование в соответствии с требованиями Порядка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разработки,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18.09.2025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1488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(далее – Порядок);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 xml:space="preserve"> организует и координирует реализацию муниципальной программы, несет ответственность за достижение показателей муниципальной программы и конечных результатов ее реализации в части его касающейся;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 xml:space="preserve"> осуществляет мониторинг реализации муниципальной программы и подготовку отчетов о ходе реализации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 в соответствии с требованиями Порядка</w:t>
      </w:r>
      <w:r>
        <w:rPr>
          <w:rFonts w:ascii="Times New Roman" w:hAnsi="Times New Roman" w:eastAsia="Times New Roman"/>
          <w:sz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Соисполнител</w:t>
      </w:r>
      <w:r>
        <w:rPr>
          <w:rFonts w:ascii="Times New Roman" w:hAnsi="Times New Roman" w:eastAsia="Times New Roman"/>
          <w:sz w:val="24"/>
          <w:lang w:eastAsia="ru-RU"/>
        </w:rPr>
        <w:t xml:space="preserve">и</w:t>
      </w:r>
      <w:r>
        <w:rPr>
          <w:rFonts w:ascii="Times New Roman" w:hAnsi="Times New Roman" w:eastAsia="Times New Roman"/>
          <w:sz w:val="24"/>
          <w:lang w:eastAsia="ru-RU"/>
        </w:rPr>
        <w:t xml:space="preserve"> муниципальной программы: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 xml:space="preserve"> обеспечивают разработку и реализацию комплексов процессных мероприятий муниципальной программы, в отношении которых являются соисполнителями;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 xml:space="preserve"> нес</w:t>
      </w:r>
      <w:r>
        <w:rPr>
          <w:rFonts w:ascii="Times New Roman" w:hAnsi="Times New Roman" w:eastAsia="Times New Roman"/>
          <w:sz w:val="24"/>
          <w:lang w:eastAsia="ru-RU"/>
        </w:rPr>
        <w:t xml:space="preserve">ут</w:t>
      </w:r>
      <w:r>
        <w:rPr>
          <w:rFonts w:ascii="Times New Roman" w:hAnsi="Times New Roman" w:eastAsia="Times New Roman"/>
          <w:sz w:val="24"/>
          <w:lang w:eastAsia="ru-RU"/>
        </w:rPr>
        <w:t xml:space="preserve"> ответственность за достижение плановых значений показателей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 в части, </w:t>
      </w:r>
      <w:r>
        <w:rPr>
          <w:rFonts w:ascii="Times New Roman" w:hAnsi="Times New Roman" w:eastAsia="Times New Roman"/>
          <w:sz w:val="24"/>
          <w:lang w:eastAsia="ru-RU"/>
        </w:rPr>
        <w:t xml:space="preserve">их </w:t>
      </w:r>
      <w:r>
        <w:rPr>
          <w:rFonts w:ascii="Times New Roman" w:hAnsi="Times New Roman" w:eastAsia="Times New Roman"/>
          <w:sz w:val="24"/>
          <w:lang w:eastAsia="ru-RU"/>
        </w:rPr>
        <w:t xml:space="preserve">касающейся;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 xml:space="preserve"> формирует предложения по разработке проекта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рограммы, внесению изменений в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муниципальную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рограмму;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 xml:space="preserve"> в пределах своей компетенции участву</w:t>
      </w:r>
      <w:r>
        <w:rPr>
          <w:rFonts w:ascii="Times New Roman" w:hAnsi="Times New Roman" w:eastAsia="Times New Roman"/>
          <w:sz w:val="24"/>
          <w:lang w:eastAsia="ru-RU"/>
        </w:rPr>
        <w:t xml:space="preserve">ют</w:t>
      </w:r>
      <w:r>
        <w:rPr>
          <w:rFonts w:ascii="Times New Roman" w:hAnsi="Times New Roman" w:eastAsia="Times New Roman"/>
          <w:sz w:val="24"/>
          <w:lang w:eastAsia="ru-RU"/>
        </w:rPr>
        <w:t xml:space="preserve"> в разработке плана реализации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рограммы, направля</w:t>
      </w:r>
      <w:r>
        <w:rPr>
          <w:rFonts w:ascii="Times New Roman" w:hAnsi="Times New Roman" w:eastAsia="Times New Roman"/>
          <w:sz w:val="24"/>
          <w:lang w:eastAsia="ru-RU"/>
        </w:rPr>
        <w:t xml:space="preserve">ю</w:t>
      </w:r>
      <w:r>
        <w:rPr>
          <w:rFonts w:ascii="Times New Roman" w:hAnsi="Times New Roman" w:eastAsia="Times New Roman"/>
          <w:sz w:val="24"/>
          <w:lang w:eastAsia="ru-RU"/>
        </w:rPr>
        <w:t xml:space="preserve">т </w:t>
      </w:r>
      <w:r>
        <w:rPr>
          <w:rFonts w:ascii="Times New Roman" w:hAnsi="Times New Roman" w:eastAsia="Times New Roman"/>
          <w:sz w:val="24"/>
          <w:lang w:eastAsia="ru-RU"/>
        </w:rPr>
        <w:t xml:space="preserve">ф</w:t>
      </w:r>
      <w:r>
        <w:rPr>
          <w:rFonts w:ascii="Times New Roman" w:hAnsi="Times New Roman" w:eastAsia="Times New Roman"/>
          <w:sz w:val="24"/>
          <w:lang w:eastAsia="ru-RU"/>
        </w:rPr>
        <w:t xml:space="preserve">инансовому управлению</w:t>
      </w:r>
      <w:r>
        <w:rPr>
          <w:rFonts w:ascii="Times New Roman" w:hAnsi="Times New Roman" w:eastAsia="Times New Roman"/>
          <w:sz w:val="24"/>
          <w:lang w:eastAsia="ru-RU"/>
        </w:rPr>
        <w:t xml:space="preserve"> администрации Печенгского муниципального округа</w:t>
      </w:r>
      <w:r>
        <w:rPr>
          <w:rFonts w:ascii="Times New Roman" w:hAnsi="Times New Roman" w:eastAsia="Times New Roman"/>
          <w:sz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lang w:eastAsia="ru-RU"/>
        </w:rPr>
        <w:t xml:space="preserve">соответствующие предложения;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 xml:space="preserve"> представля</w:t>
      </w:r>
      <w:r>
        <w:rPr>
          <w:rFonts w:ascii="Times New Roman" w:hAnsi="Times New Roman" w:eastAsia="Times New Roman"/>
          <w:sz w:val="24"/>
          <w:lang w:eastAsia="ru-RU"/>
        </w:rPr>
        <w:t xml:space="preserve">ют</w:t>
      </w:r>
      <w:r>
        <w:rPr>
          <w:rFonts w:ascii="Times New Roman" w:hAnsi="Times New Roman" w:eastAsia="Times New Roman"/>
          <w:sz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lang w:eastAsia="ru-RU"/>
        </w:rPr>
        <w:t xml:space="preserve">в </w:t>
      </w:r>
      <w:r>
        <w:rPr>
          <w:rFonts w:ascii="Times New Roman" w:hAnsi="Times New Roman" w:eastAsia="Times New Roman"/>
          <w:sz w:val="24"/>
          <w:lang w:eastAsia="ru-RU"/>
        </w:rPr>
        <w:t xml:space="preserve">отдел КСиМП </w:t>
      </w:r>
      <w:r>
        <w:rPr>
          <w:rFonts w:ascii="Times New Roman" w:hAnsi="Times New Roman" w:eastAsia="Times New Roman"/>
          <w:sz w:val="24"/>
          <w:lang w:eastAsia="ru-RU"/>
        </w:rPr>
        <w:t xml:space="preserve">в электронном виде</w:t>
      </w:r>
      <w:r>
        <w:rPr>
          <w:rFonts w:ascii="Times New Roman" w:hAnsi="Times New Roman" w:eastAsia="Times New Roman"/>
          <w:sz w:val="24"/>
          <w:lang w:eastAsia="ru-RU"/>
        </w:rPr>
        <w:t xml:space="preserve"> в срок</w:t>
      </w:r>
      <w:r>
        <w:rPr>
          <w:rFonts w:ascii="Times New Roman" w:hAnsi="Times New Roman" w:eastAsia="Times New Roman"/>
          <w:sz w:val="24"/>
          <w:lang w:eastAsia="ru-RU"/>
        </w:rPr>
        <w:t xml:space="preserve"> и по формам, у</w:t>
      </w:r>
      <w:r>
        <w:rPr>
          <w:rFonts w:ascii="Times New Roman" w:hAnsi="Times New Roman" w:eastAsia="Times New Roman"/>
          <w:sz w:val="24"/>
          <w:lang w:eastAsia="ru-RU"/>
        </w:rPr>
        <w:t xml:space="preserve">становленны</w:t>
      </w:r>
      <w:r>
        <w:rPr>
          <w:rFonts w:ascii="Times New Roman" w:hAnsi="Times New Roman" w:eastAsia="Times New Roman"/>
          <w:sz w:val="24"/>
          <w:lang w:eastAsia="ru-RU"/>
        </w:rPr>
        <w:t xml:space="preserve">м</w:t>
      </w:r>
      <w:r>
        <w:rPr>
          <w:rFonts w:ascii="Times New Roman" w:hAnsi="Times New Roman" w:eastAsia="Times New Roman"/>
          <w:sz w:val="24"/>
          <w:lang w:eastAsia="ru-RU"/>
        </w:rPr>
        <w:t xml:space="preserve"> Порядком</w:t>
      </w:r>
      <w:r>
        <w:rPr>
          <w:rFonts w:ascii="Times New Roman" w:hAnsi="Times New Roman" w:eastAsia="Times New Roman"/>
          <w:sz w:val="24"/>
          <w:lang w:eastAsia="ru-RU"/>
        </w:rPr>
        <w:t xml:space="preserve">, всю </w:t>
      </w:r>
      <w:r>
        <w:rPr>
          <w:rFonts w:ascii="Times New Roman" w:hAnsi="Times New Roman" w:eastAsia="Times New Roman"/>
          <w:sz w:val="24"/>
          <w:lang w:eastAsia="ru-RU"/>
        </w:rPr>
        <w:t xml:space="preserve">необходимую информацию для проведения мониторинга и оценки эффективности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pStyle w:val="906"/>
        <w:contextualSpacing/>
        <w:ind w:left="0" w:right="0" w:firstLine="709"/>
        <w:jc w:val="both"/>
        <w:spacing w:before="0" w:beforeAutospacing="0" w:after="0" w:afterAutospacing="0" w:line="288" w:lineRule="atLeast"/>
      </w:pPr>
      <w:r>
        <w:t xml:space="preserve">Участники </w:t>
      </w:r>
      <w:r>
        <w:t xml:space="preserve">муниципальной программы</w:t>
      </w:r>
      <w:r>
        <w:t xml:space="preserve">:</w:t>
      </w:r>
      <w:r/>
    </w:p>
    <w:p>
      <w:pPr>
        <w:pStyle w:val="906"/>
        <w:contextualSpacing/>
        <w:ind w:left="0" w:right="0" w:firstLine="709"/>
        <w:jc w:val="both"/>
        <w:spacing w:before="0" w:beforeAutospacing="0" w:after="0" w:afterAutospacing="0" w:line="288" w:lineRule="atLeast"/>
      </w:pPr>
      <w:r>
        <w:t xml:space="preserve">- осуществляют реализацию мероприятий </w:t>
      </w:r>
      <w:r>
        <w:t xml:space="preserve">муниципальной программы</w:t>
      </w:r>
      <w:r>
        <w:t xml:space="preserve">, участниками которых они являются;</w:t>
      </w:r>
      <w:r/>
    </w:p>
    <w:p>
      <w:pPr>
        <w:pStyle w:val="906"/>
        <w:contextualSpacing/>
        <w:ind w:left="0" w:right="0" w:firstLine="709"/>
        <w:jc w:val="both"/>
        <w:spacing w:before="0" w:beforeAutospacing="0" w:after="0" w:afterAutospacing="0" w:line="288" w:lineRule="atLeast"/>
      </w:pPr>
      <w:r>
        <w:t xml:space="preserve">- представляют </w:t>
      </w:r>
      <w:r>
        <w:t xml:space="preserve">о</w:t>
      </w:r>
      <w:r>
        <w:t xml:space="preserve">тветственному исполнителю </w:t>
      </w:r>
      <w:r>
        <w:t xml:space="preserve">муниципальной программы</w:t>
      </w:r>
      <w:r>
        <w:t xml:space="preserve"> (Направления (подпрограммы)) и </w:t>
      </w:r>
      <w:r>
        <w:t xml:space="preserve">с</w:t>
      </w:r>
      <w:r>
        <w:t xml:space="preserve">оисполнителям предложения при разработке проекта </w:t>
      </w:r>
      <w:r>
        <w:t xml:space="preserve">муниципальной программы</w:t>
      </w:r>
      <w:r>
        <w:t xml:space="preserve"> и предложения по внесению в нее изменений в части мероприятий </w:t>
      </w:r>
      <w:r>
        <w:t xml:space="preserve">муниципальной программы</w:t>
      </w:r>
      <w:r>
        <w:t xml:space="preserve">, в реализации которых предполагается их участие;</w:t>
      </w:r>
      <w:r/>
    </w:p>
    <w:p>
      <w:pPr>
        <w:pStyle w:val="906"/>
        <w:contextualSpacing/>
        <w:ind w:left="0" w:right="0" w:firstLine="709"/>
        <w:jc w:val="both"/>
        <w:spacing w:before="0" w:beforeAutospacing="0" w:after="0" w:afterAutospacing="0" w:line="288" w:lineRule="atLeast"/>
      </w:pPr>
      <w:r>
        <w:t xml:space="preserve">- представляют </w:t>
      </w:r>
      <w:r>
        <w:t xml:space="preserve">о</w:t>
      </w:r>
      <w:r>
        <w:t xml:space="preserve">тветственному исполнителю </w:t>
      </w:r>
      <w:r>
        <w:t xml:space="preserve">муниципальной программы</w:t>
      </w:r>
      <w:r>
        <w:t xml:space="preserve"> (Направления (подпрограммы)) и </w:t>
      </w:r>
      <w:r>
        <w:t xml:space="preserve">с</w:t>
      </w:r>
      <w:r>
        <w:t xml:space="preserve">оисполнителям необходимую информацию для проведения мониторинга и оценки эффективности </w:t>
      </w:r>
      <w:r>
        <w:t xml:space="preserve">муниципальной программы</w:t>
      </w:r>
      <w:r>
        <w:t xml:space="preserve">.</w:t>
      </w:r>
      <w:r/>
    </w:p>
    <w:p>
      <w:pPr>
        <w:pStyle w:val="906"/>
        <w:ind w:left="0" w:right="0" w:firstLine="709"/>
        <w:jc w:val="both"/>
        <w:spacing w:before="0" w:beforeAutospacing="0" w:after="0" w:afterAutospacing="0" w:line="288" w:lineRule="atLeast"/>
      </w:pPr>
      <w:r>
        <w:t xml:space="preserve">Мониторинг выполнения муниципальной программы осуществляется по итогам за первый квартал, полугодие, девять месяцев текущего финансового года, а также по итогам прошедшего финансового года. </w:t>
      </w:r>
      <w:r/>
    </w:p>
    <w:p>
      <w:pPr>
        <w:pStyle w:val="906"/>
        <w:ind w:left="0" w:right="0" w:firstLine="709"/>
        <w:jc w:val="both"/>
        <w:spacing w:before="0" w:beforeAutospacing="0" w:after="0" w:afterAutospacing="0" w:line="288" w:lineRule="atLeast"/>
      </w:pPr>
      <w:r>
        <w:t xml:space="preserve">Результаты мониторинга отражаются в отчетах о ходе реализации муниципальной программы по итогам за первый квартал, полугодие, девять месяцев, а также годовых отчетах о ходе реализации и оценке эффективности муниципальных про</w:t>
      </w:r>
      <w:r>
        <w:t xml:space="preserve">грамм в соответствии с Порядком</w:t>
      </w:r>
      <w:r>
        <w:t xml:space="preserve">.</w:t>
      </w:r>
      <w:r/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  <w:sectPr>
          <w:footnotePr/>
          <w:endnotePr/>
          <w:type w:val="nextPage"/>
          <w:pgSz w:w="11905" w:h="16838" w:orient="portrait"/>
          <w:pgMar w:top="851" w:right="565" w:bottom="1701" w:left="1276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tbl>
      <w:tblPr>
        <w:tblW w:w="222" w:type="dxa"/>
        <w:tblInd w:w="10728" w:type="dxa"/>
        <w:tblLook w:val="01E0" w:firstRow="1" w:lastRow="1" w:firstColumn="1" w:lastColumn="1" w:noHBand="0" w:noVBand="0"/>
      </w:tblPr>
      <w:tblGrid>
        <w:gridCol w:w="222"/>
      </w:tblGrid>
      <w:tr>
        <w:tblPrEx/>
        <w:trPr/>
        <w:tc>
          <w:tcPr>
            <w:shd w:val="clear" w:color="auto" w:fill="auto"/>
            <w:tcW w:w="22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r>
          </w:p>
        </w:tc>
      </w:tr>
    </w:tbl>
    <w:p>
      <w:pPr>
        <w:ind w:firstLine="709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С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ведения об источниках и методике расчета значений показателей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рограммы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W w:w="14601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3273"/>
        <w:gridCol w:w="1121"/>
        <w:gridCol w:w="1417"/>
        <w:gridCol w:w="2977"/>
        <w:gridCol w:w="2268"/>
        <w:gridCol w:w="1276"/>
        <w:gridCol w:w="1701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  № п/п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Наименование показателя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Единица измерения, временная характеристика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vertAlign w:val="superscript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Алгоритм расчета (формула)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Базовые показатели (используемые в формуле)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Метод сбора информации,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код формы отчетности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vertAlign w:val="superscript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Дата получения фактических значений показателей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Ответственный исполнитель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6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033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Муниципальная программа «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Культура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Результаты независимой оценки качества условий оказания услуг в сфере культуры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б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аллы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Данные Министерства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 культуры Мурманской области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Апрель, ежегодно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Численность обучающихся образовательных организаций в сфере культуры (среднегодовая)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ч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еловек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ср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= (Ч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начУГ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+Ч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начПГ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)/2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ср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- 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численность обучающихся образовательных организаций в сфере культуры (среднегодовая);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contextualSpacing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начУГ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– численность обучающихся на начало учебного года (гр.3 стр.07+08);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contextualSpacing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начПГ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– численность обучающихся на начало прошлого учебного года (гр.3 стр.67)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Статистические данные формы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федерального статистического наблюдения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ДШИ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 октября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отделу КСиМП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01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ind w:right="155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Численность обучающихся образовательных организаций в сфере культуры, принявших участие в творческих мероприятиях (в том числе, в мероприятиях и конкурсах регионального, всероссийского, международного уровней)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человек,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green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гр.7 стр.69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green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gree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Статистические данные формы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федерального статистического наблюдения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ДШИ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 октября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отделу КСиМП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Численность участников клубных формирований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человек,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гр.3 стр.03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right="141"/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Статистические данные формы федерального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татистического наблюдения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7-НК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15 февраля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отделу КСиМП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2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Число посещений культурно-массовых мероприятий, проводимых  муниципальными культурно-досуговыми учреждениями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Единиц,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гр.3 стр.06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Статистические данные формы федерального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татистического наблюдения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7-НК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15 февраля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отделу КСиМП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27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экспонируемых музейных предметов за отчетный период от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общего количества предметов музейного фонда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Мэкс / Мобщ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                                      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x 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Мэкс - количество экспонируемых музейных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предметов за отчетный пе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риод, ед.;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Статистические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формы федерального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стат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истического наблюдения № 8-НК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 января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Историко - краеведческий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музей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789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2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Мобщ - общее количество предметов музейного фонда, ед.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27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Динамика увеличения числа  посещений библиотек (в стационарных условиях)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(Тг – Пг) / Пг x 100%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Тг - число посещений в текущем году, ед;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Статистические данные формы федерального ста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тистического наблюдения №  6-НК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15 февраля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после отчетного периода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МБКПУ «Печенгское межпоселенческое библиотечное объединение»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060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27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Пг - число посещений в предыдущем году, ед.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1202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ind w:right="155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Отношение средней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по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Мурманской области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Iзпк =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Зк / З x 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right="141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Зк - размер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среднемесячной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номинальной начисленной заработной платы работников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муниципальных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учреждений культуры, рублей;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ind w:right="141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 - размер среднемесячной номинальной начисленной заработной платы по экономике, рублей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Стат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истические данные форм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федерального статистического наблюдения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П-4,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ЗП-культура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 12 января года, следующего за отчетным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02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273" w:type="dxa"/>
            <w:textDirection w:val="lrTb"/>
            <w:noWrap w:val="false"/>
          </w:tcPr>
          <w:p>
            <w:pPr>
              <w:pStyle w:val="944"/>
              <w:ind w:left="0"/>
              <w:jc w:val="both"/>
              <w:tabs>
                <w:tab w:val="left" w:pos="317" w:leader="none"/>
              </w:tabs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 xml:space="preserve">Укрепление материально - технической базы и проведение текущих ремонтов в учреждениях культуры и учреждениях дополнительного образования в сфере культуры и </w:t>
            </w:r>
            <w:r>
              <w:rPr>
                <w:lang w:eastAsia="en-US"/>
              </w:rPr>
              <w:t xml:space="preserve">искусства</w:t>
            </w:r>
            <w:r>
              <w:rPr>
                <w:lang w:eastAsia="en-US"/>
              </w:rPr>
              <w:t xml:space="preserve"> от общего числа таких учреждений</w:t>
            </w:r>
            <w:r>
              <w:rPr>
                <w:highlight w:val="yellow"/>
                <w:lang w:eastAsia="en-US"/>
              </w:rPr>
            </w:r>
            <w:r>
              <w:rPr>
                <w:highlight w:val="yellow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 окончанию финансового года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отделу КСиМП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</w:tr>
      <w:tr>
        <w:tblPrEx/>
        <w:trPr>
          <w:trHeight w:val="1202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аличие разработанной проектно-сметной документации на реконструкци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ю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здания МБУК «Центр культуры Печенгского муниципального округа», расположенного по адресу: </w:t>
              <w:br/>
              <w:t xml:space="preserve">пгт. Никель, ул. Октябрьская, д. 1 (ДК «Восход»)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Единиц,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(дата акта выполненных работ (приемки работ))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 окончанию финансового года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МБУК «ЦКПМО»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</w:tr>
    </w:tbl>
    <w:p>
      <w:pPr>
        <w:contextualSpacing/>
        <w:jc w:val="both"/>
        <w:spacing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/>
      <w:bookmarkStart w:id="7" w:name="p124"/>
      <w:r/>
      <w:bookmarkEnd w:id="7"/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pPr>
        <w:contextualSpacing/>
        <w:jc w:val="both"/>
        <w:spacing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  <w:t xml:space="preserve">4</w:t>
      </w:r>
      <w:r>
        <w:rPr>
          <w:rFonts w:ascii="Times New Roman" w:hAnsi="Times New Roman" w:eastAsia="Times New Roman"/>
          <w:sz w:val="16"/>
          <w:szCs w:val="16"/>
          <w:lang w:eastAsia="ru-RU"/>
        </w:rPr>
        <w:t xml:space="preserve">Ежегодно, нарастающим итогом, убывающим итогом.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pPr>
        <w:contextualSpacing/>
        <w:spacing w:before="168"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  <w:sectPr>
          <w:footnotePr/>
          <w:endnotePr/>
          <w:type w:val="nextPage"/>
          <w:pgSz w:w="16838" w:h="11905" w:orient="landscape"/>
          <w:pgMar w:top="851" w:right="851" w:bottom="851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  <w:t xml:space="preserve">5</w:t>
      </w:r>
      <w:r>
        <w:rPr>
          <w:rFonts w:ascii="Times New Roman" w:hAnsi="Times New Roman" w:eastAsia="Times New Roman"/>
          <w:sz w:val="16"/>
          <w:szCs w:val="16"/>
          <w:lang w:eastAsia="ru-RU"/>
        </w:rPr>
        <w:t xml:space="preserve">Указываются методы: статистическая отчетность, социологический опрос, прочие (указать).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r/>
    </w:p>
    <w:sectPr>
      <w:footnotePr/>
      <w:endnotePr/>
      <w:type w:val="nextPage"/>
      <w:pgSz w:w="11905" w:h="16838" w:orient="portrait"/>
      <w:pgMar w:top="851" w:right="851" w:bottom="1701" w:left="156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3"/>
  </w:num>
  <w:num w:numId="4">
    <w:abstractNumId w:val="9"/>
  </w:num>
  <w:num w:numId="5">
    <w:abstractNumId w:val="11"/>
  </w:num>
  <w:num w:numId="6">
    <w:abstractNumId w:val="8"/>
  </w:num>
  <w:num w:numId="7">
    <w:abstractNumId w:val="10"/>
  </w:num>
  <w:num w:numId="8">
    <w:abstractNumId w:val="12"/>
  </w:num>
  <w:num w:numId="9">
    <w:abstractNumId w:val="4"/>
  </w:num>
  <w:num w:numId="10">
    <w:abstractNumId w:val="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1"/>
  </w:num>
  <w:num w:numId="14">
    <w:abstractNumId w:val="3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3">
    <w:name w:val="Heading 4 Char"/>
    <w:basedOn w:val="724"/>
    <w:link w:val="718"/>
    <w:uiPriority w:val="9"/>
    <w:rPr>
      <w:rFonts w:ascii="Arial" w:hAnsi="Arial" w:eastAsia="Arial" w:cs="Arial"/>
      <w:b/>
      <w:bCs/>
      <w:sz w:val="26"/>
      <w:szCs w:val="26"/>
    </w:rPr>
  </w:style>
  <w:style w:type="character" w:styleId="684">
    <w:name w:val="Heading 5 Char"/>
    <w:basedOn w:val="724"/>
    <w:link w:val="719"/>
    <w:uiPriority w:val="9"/>
    <w:rPr>
      <w:rFonts w:ascii="Arial" w:hAnsi="Arial" w:eastAsia="Arial" w:cs="Arial"/>
      <w:b/>
      <w:bCs/>
      <w:sz w:val="24"/>
      <w:szCs w:val="24"/>
    </w:rPr>
  </w:style>
  <w:style w:type="character" w:styleId="685">
    <w:name w:val="Heading 6 Char"/>
    <w:basedOn w:val="724"/>
    <w:link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686">
    <w:name w:val="Heading 7 Char"/>
    <w:basedOn w:val="724"/>
    <w:link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7">
    <w:name w:val="Heading 8 Char"/>
    <w:basedOn w:val="724"/>
    <w:link w:val="722"/>
    <w:uiPriority w:val="9"/>
    <w:rPr>
      <w:rFonts w:ascii="Arial" w:hAnsi="Arial" w:eastAsia="Arial" w:cs="Arial"/>
      <w:i/>
      <w:iCs/>
      <w:sz w:val="22"/>
      <w:szCs w:val="22"/>
    </w:rPr>
  </w:style>
  <w:style w:type="character" w:styleId="688">
    <w:name w:val="Heading 9 Char"/>
    <w:basedOn w:val="72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character" w:styleId="689">
    <w:name w:val="Title Char"/>
    <w:basedOn w:val="724"/>
    <w:link w:val="736"/>
    <w:uiPriority w:val="10"/>
    <w:rPr>
      <w:sz w:val="48"/>
      <w:szCs w:val="48"/>
    </w:rPr>
  </w:style>
  <w:style w:type="character" w:styleId="690">
    <w:name w:val="Subtitle Char"/>
    <w:basedOn w:val="724"/>
    <w:link w:val="738"/>
    <w:uiPriority w:val="11"/>
    <w:rPr>
      <w:sz w:val="24"/>
      <w:szCs w:val="24"/>
    </w:rPr>
  </w:style>
  <w:style w:type="character" w:styleId="691">
    <w:name w:val="Quote Char"/>
    <w:link w:val="740"/>
    <w:uiPriority w:val="29"/>
    <w:rPr>
      <w:i/>
    </w:rPr>
  </w:style>
  <w:style w:type="character" w:styleId="692">
    <w:name w:val="Intense Quote Char"/>
    <w:link w:val="742"/>
    <w:uiPriority w:val="30"/>
    <w:rPr>
      <w:i/>
    </w:rPr>
  </w:style>
  <w:style w:type="table" w:styleId="693">
    <w:name w:val="Plain Table 1"/>
    <w:basedOn w:val="72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72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4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2">
    <w:name w:val="Grid Table 5 Dark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3">
    <w:name w:val="Grid Table 6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4">
    <w:name w:val="Grid Table 7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List Table 1 Light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List Table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7">
    <w:name w:val="List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List Table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List Table 5 Dark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0">
    <w:name w:val="List Table 6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1">
    <w:name w:val="List Table 7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12">
    <w:name w:val="Footnote Text Char"/>
    <w:link w:val="872"/>
    <w:uiPriority w:val="99"/>
    <w:rPr>
      <w:sz w:val="18"/>
    </w:rPr>
  </w:style>
  <w:style w:type="character" w:styleId="713">
    <w:name w:val="Endnote Text Char"/>
    <w:link w:val="875"/>
    <w:uiPriority w:val="99"/>
    <w:rPr>
      <w:sz w:val="20"/>
    </w:rPr>
  </w:style>
  <w:style w:type="paragraph" w:styleId="714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15">
    <w:name w:val="Heading 1"/>
    <w:basedOn w:val="714"/>
    <w:link w:val="909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16">
    <w:name w:val="Heading 2"/>
    <w:basedOn w:val="714"/>
    <w:next w:val="714"/>
    <w:link w:val="910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17">
    <w:name w:val="Heading 3"/>
    <w:basedOn w:val="714"/>
    <w:next w:val="714"/>
    <w:link w:val="911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18">
    <w:name w:val="Heading 4"/>
    <w:basedOn w:val="714"/>
    <w:next w:val="714"/>
    <w:link w:val="73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9">
    <w:name w:val="Heading 5"/>
    <w:basedOn w:val="714"/>
    <w:next w:val="714"/>
    <w:link w:val="73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0">
    <w:name w:val="Heading 6"/>
    <w:basedOn w:val="714"/>
    <w:next w:val="714"/>
    <w:link w:val="73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21">
    <w:name w:val="Heading 7"/>
    <w:basedOn w:val="714"/>
    <w:next w:val="714"/>
    <w:link w:val="73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22">
    <w:name w:val="Heading 8"/>
    <w:basedOn w:val="714"/>
    <w:next w:val="714"/>
    <w:link w:val="73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23">
    <w:name w:val="Heading 9"/>
    <w:basedOn w:val="714"/>
    <w:next w:val="714"/>
    <w:link w:val="73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 w:default="1">
    <w:name w:val="Default Paragraph Font"/>
    <w:uiPriority w:val="1"/>
    <w:semiHidden/>
    <w:unhideWhenUsed/>
  </w:style>
  <w:style w:type="table" w:styleId="7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6" w:default="1">
    <w:name w:val="No List"/>
    <w:uiPriority w:val="99"/>
    <w:semiHidden/>
    <w:unhideWhenUsed/>
  </w:style>
  <w:style w:type="character" w:styleId="727" w:customStyle="1">
    <w:name w:val="Heading 1 Char"/>
    <w:basedOn w:val="724"/>
    <w:uiPriority w:val="9"/>
    <w:rPr>
      <w:rFonts w:ascii="Arial" w:hAnsi="Arial" w:eastAsia="Arial" w:cs="Arial"/>
      <w:sz w:val="40"/>
      <w:szCs w:val="40"/>
    </w:rPr>
  </w:style>
  <w:style w:type="character" w:styleId="728" w:customStyle="1">
    <w:name w:val="Heading 2 Char"/>
    <w:basedOn w:val="724"/>
    <w:uiPriority w:val="9"/>
    <w:rPr>
      <w:rFonts w:ascii="Arial" w:hAnsi="Arial" w:eastAsia="Arial" w:cs="Arial"/>
      <w:sz w:val="34"/>
    </w:rPr>
  </w:style>
  <w:style w:type="character" w:styleId="729" w:customStyle="1">
    <w:name w:val="Heading 3 Char"/>
    <w:basedOn w:val="724"/>
    <w:uiPriority w:val="9"/>
    <w:rPr>
      <w:rFonts w:ascii="Arial" w:hAnsi="Arial" w:eastAsia="Arial" w:cs="Arial"/>
      <w:sz w:val="30"/>
      <w:szCs w:val="30"/>
    </w:rPr>
  </w:style>
  <w:style w:type="character" w:styleId="730" w:customStyle="1">
    <w:name w:val="Заголовок 4 Знак"/>
    <w:basedOn w:val="724"/>
    <w:link w:val="718"/>
    <w:uiPriority w:val="9"/>
    <w:rPr>
      <w:rFonts w:ascii="Arial" w:hAnsi="Arial" w:eastAsia="Arial" w:cs="Arial"/>
      <w:b/>
      <w:bCs/>
      <w:sz w:val="26"/>
      <w:szCs w:val="26"/>
    </w:rPr>
  </w:style>
  <w:style w:type="character" w:styleId="731" w:customStyle="1">
    <w:name w:val="Заголовок 5 Знак"/>
    <w:basedOn w:val="724"/>
    <w:link w:val="719"/>
    <w:uiPriority w:val="9"/>
    <w:rPr>
      <w:rFonts w:ascii="Arial" w:hAnsi="Arial" w:eastAsia="Arial" w:cs="Arial"/>
      <w:b/>
      <w:bCs/>
      <w:sz w:val="24"/>
      <w:szCs w:val="24"/>
    </w:rPr>
  </w:style>
  <w:style w:type="character" w:styleId="732" w:customStyle="1">
    <w:name w:val="Заголовок 6 Знак"/>
    <w:basedOn w:val="724"/>
    <w:link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Заголовок 7 Знак"/>
    <w:basedOn w:val="724"/>
    <w:link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4" w:customStyle="1">
    <w:name w:val="Заголовок 8 Знак"/>
    <w:basedOn w:val="724"/>
    <w:link w:val="722"/>
    <w:uiPriority w:val="9"/>
    <w:rPr>
      <w:rFonts w:ascii="Arial" w:hAnsi="Arial" w:eastAsia="Arial" w:cs="Arial"/>
      <w:i/>
      <w:iCs/>
      <w:sz w:val="22"/>
      <w:szCs w:val="22"/>
    </w:rPr>
  </w:style>
  <w:style w:type="character" w:styleId="735" w:customStyle="1">
    <w:name w:val="Заголовок 9 Знак"/>
    <w:basedOn w:val="72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Title"/>
    <w:basedOn w:val="714"/>
    <w:next w:val="714"/>
    <w:link w:val="737"/>
    <w:uiPriority w:val="10"/>
    <w:qFormat/>
    <w:pPr>
      <w:contextualSpacing/>
      <w:spacing w:before="300"/>
    </w:pPr>
    <w:rPr>
      <w:sz w:val="48"/>
      <w:szCs w:val="48"/>
    </w:rPr>
  </w:style>
  <w:style w:type="character" w:styleId="737" w:customStyle="1">
    <w:name w:val="Заголовок Знак"/>
    <w:basedOn w:val="724"/>
    <w:link w:val="736"/>
    <w:uiPriority w:val="10"/>
    <w:rPr>
      <w:sz w:val="48"/>
      <w:szCs w:val="48"/>
    </w:rPr>
  </w:style>
  <w:style w:type="paragraph" w:styleId="738">
    <w:name w:val="Subtitle"/>
    <w:basedOn w:val="714"/>
    <w:next w:val="714"/>
    <w:link w:val="739"/>
    <w:uiPriority w:val="11"/>
    <w:qFormat/>
    <w:pPr>
      <w:spacing w:before="200"/>
    </w:pPr>
    <w:rPr>
      <w:sz w:val="24"/>
      <w:szCs w:val="24"/>
    </w:rPr>
  </w:style>
  <w:style w:type="character" w:styleId="739" w:customStyle="1">
    <w:name w:val="Подзаголовок Знак"/>
    <w:basedOn w:val="724"/>
    <w:link w:val="738"/>
    <w:uiPriority w:val="11"/>
    <w:rPr>
      <w:sz w:val="24"/>
      <w:szCs w:val="24"/>
    </w:rPr>
  </w:style>
  <w:style w:type="paragraph" w:styleId="740">
    <w:name w:val="Quote"/>
    <w:basedOn w:val="714"/>
    <w:next w:val="714"/>
    <w:link w:val="741"/>
    <w:uiPriority w:val="29"/>
    <w:qFormat/>
    <w:pPr>
      <w:ind w:left="720" w:right="720"/>
    </w:pPr>
    <w:rPr>
      <w:i/>
    </w:rPr>
  </w:style>
  <w:style w:type="character" w:styleId="741" w:customStyle="1">
    <w:name w:val="Цитата 2 Знак"/>
    <w:link w:val="740"/>
    <w:uiPriority w:val="29"/>
    <w:rPr>
      <w:i/>
    </w:rPr>
  </w:style>
  <w:style w:type="paragraph" w:styleId="742">
    <w:name w:val="Intense Quote"/>
    <w:basedOn w:val="714"/>
    <w:next w:val="714"/>
    <w:link w:val="74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3" w:customStyle="1">
    <w:name w:val="Выделенная цитата Знак"/>
    <w:link w:val="742"/>
    <w:uiPriority w:val="30"/>
    <w:rPr>
      <w:i/>
    </w:rPr>
  </w:style>
  <w:style w:type="character" w:styleId="744" w:customStyle="1">
    <w:name w:val="Header Char"/>
    <w:basedOn w:val="724"/>
    <w:uiPriority w:val="99"/>
  </w:style>
  <w:style w:type="character" w:styleId="745" w:customStyle="1">
    <w:name w:val="Footer Char"/>
    <w:basedOn w:val="724"/>
    <w:uiPriority w:val="99"/>
  </w:style>
  <w:style w:type="character" w:styleId="746" w:customStyle="1">
    <w:name w:val="Caption Char"/>
    <w:uiPriority w:val="99"/>
  </w:style>
  <w:style w:type="table" w:styleId="747" w:customStyle="1">
    <w:name w:val="Table Grid Light"/>
    <w:basedOn w:val="72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8" w:customStyle="1">
    <w:name w:val="Таблица простая 11"/>
    <w:basedOn w:val="72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 w:customStyle="1">
    <w:name w:val="Таблица простая 21"/>
    <w:basedOn w:val="72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 w:customStyle="1">
    <w:name w:val="Таблица простая 31"/>
    <w:basedOn w:val="72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 w:customStyle="1">
    <w:name w:val="Таблица простая 41"/>
    <w:basedOn w:val="72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Таблица простая 51"/>
    <w:basedOn w:val="72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 w:customStyle="1">
    <w:name w:val="Таблица-сетка 1 светлая1"/>
    <w:basedOn w:val="72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1"/>
    <w:basedOn w:val="72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2"/>
    <w:basedOn w:val="72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3"/>
    <w:basedOn w:val="72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4"/>
    <w:basedOn w:val="72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5"/>
    <w:basedOn w:val="72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6"/>
    <w:basedOn w:val="72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Таблица-сетка 21"/>
    <w:basedOn w:val="72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1"/>
    <w:basedOn w:val="72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2"/>
    <w:basedOn w:val="72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3"/>
    <w:basedOn w:val="72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4"/>
    <w:basedOn w:val="72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5"/>
    <w:basedOn w:val="72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6"/>
    <w:basedOn w:val="72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Таблица-сетка 31"/>
    <w:basedOn w:val="72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1"/>
    <w:basedOn w:val="72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2"/>
    <w:basedOn w:val="72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3"/>
    <w:basedOn w:val="72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4"/>
    <w:basedOn w:val="72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5"/>
    <w:basedOn w:val="72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6"/>
    <w:basedOn w:val="72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Таблица-сетка 41"/>
    <w:basedOn w:val="72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 w:customStyle="1">
    <w:name w:val="Grid Table 4 - Accent 1"/>
    <w:basedOn w:val="72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6" w:customStyle="1">
    <w:name w:val="Grid Table 4 - Accent 2"/>
    <w:basedOn w:val="72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7" w:customStyle="1">
    <w:name w:val="Grid Table 4 - Accent 3"/>
    <w:basedOn w:val="72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8" w:customStyle="1">
    <w:name w:val="Grid Table 4 - Accent 4"/>
    <w:basedOn w:val="72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9" w:customStyle="1">
    <w:name w:val="Grid Table 4 - Accent 5"/>
    <w:basedOn w:val="72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0" w:customStyle="1">
    <w:name w:val="Grid Table 4 - Accent 6"/>
    <w:basedOn w:val="72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1" w:customStyle="1">
    <w:name w:val="Таблица-сетка 5 темная1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1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2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3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- Accent 4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5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6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8" w:customStyle="1">
    <w:name w:val="Таблица-сетка 6 цветная1"/>
    <w:basedOn w:val="72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9" w:customStyle="1">
    <w:name w:val="Grid Table 6 Colorful - Accent 1"/>
    <w:basedOn w:val="72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0" w:customStyle="1">
    <w:name w:val="Grid Table 6 Colorful - Accent 2"/>
    <w:basedOn w:val="72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1" w:customStyle="1">
    <w:name w:val="Grid Table 6 Colorful - Accent 3"/>
    <w:basedOn w:val="72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2" w:customStyle="1">
    <w:name w:val="Grid Table 6 Colorful - Accent 4"/>
    <w:basedOn w:val="72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3" w:customStyle="1">
    <w:name w:val="Grid Table 6 Colorful - Accent 5"/>
    <w:basedOn w:val="72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4" w:customStyle="1">
    <w:name w:val="Grid Table 6 Colorful - Accent 6"/>
    <w:basedOn w:val="72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 w:customStyle="1">
    <w:name w:val="Таблица-сетка 7 цветная1"/>
    <w:basedOn w:val="72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1"/>
    <w:basedOn w:val="72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2"/>
    <w:basedOn w:val="72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3"/>
    <w:basedOn w:val="72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4"/>
    <w:basedOn w:val="72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5"/>
    <w:basedOn w:val="72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6"/>
    <w:basedOn w:val="72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Список-таблица 1 светлая1"/>
    <w:basedOn w:val="72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1"/>
    <w:basedOn w:val="72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2"/>
    <w:basedOn w:val="72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3"/>
    <w:basedOn w:val="72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4"/>
    <w:basedOn w:val="72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5"/>
    <w:basedOn w:val="72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6"/>
    <w:basedOn w:val="72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Список-таблица 21"/>
    <w:basedOn w:val="72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1"/>
    <w:basedOn w:val="72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2"/>
    <w:basedOn w:val="72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3"/>
    <w:basedOn w:val="72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4"/>
    <w:basedOn w:val="72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5"/>
    <w:basedOn w:val="72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6"/>
    <w:basedOn w:val="72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6" w:customStyle="1">
    <w:name w:val="Список-таблица 31"/>
    <w:basedOn w:val="72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1"/>
    <w:basedOn w:val="72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2"/>
    <w:basedOn w:val="72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3"/>
    <w:basedOn w:val="72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4"/>
    <w:basedOn w:val="72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5"/>
    <w:basedOn w:val="72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6"/>
    <w:basedOn w:val="72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Список-таблица 41"/>
    <w:basedOn w:val="72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1"/>
    <w:basedOn w:val="72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2"/>
    <w:basedOn w:val="72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3"/>
    <w:basedOn w:val="72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4"/>
    <w:basedOn w:val="72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5"/>
    <w:basedOn w:val="72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6"/>
    <w:basedOn w:val="72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Список-таблица 5 темная1"/>
    <w:basedOn w:val="72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1"/>
    <w:basedOn w:val="72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2"/>
    <w:basedOn w:val="72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3"/>
    <w:basedOn w:val="72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4"/>
    <w:basedOn w:val="72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5"/>
    <w:basedOn w:val="72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6"/>
    <w:basedOn w:val="72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Список-таблица 6 цветная1"/>
    <w:basedOn w:val="72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8" w:customStyle="1">
    <w:name w:val="List Table 6 Colorful - Accent 1"/>
    <w:basedOn w:val="72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9" w:customStyle="1">
    <w:name w:val="List Table 6 Colorful - Accent 2"/>
    <w:basedOn w:val="72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0" w:customStyle="1">
    <w:name w:val="List Table 6 Colorful - Accent 3"/>
    <w:basedOn w:val="72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1" w:customStyle="1">
    <w:name w:val="List Table 6 Colorful - Accent 4"/>
    <w:basedOn w:val="72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2" w:customStyle="1">
    <w:name w:val="List Table 6 Colorful - Accent 5"/>
    <w:basedOn w:val="72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3" w:customStyle="1">
    <w:name w:val="List Table 6 Colorful - Accent 6"/>
    <w:basedOn w:val="72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4" w:customStyle="1">
    <w:name w:val="Список-таблица 7 цветная1"/>
    <w:basedOn w:val="72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1"/>
    <w:basedOn w:val="72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2"/>
    <w:basedOn w:val="72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3"/>
    <w:basedOn w:val="72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4"/>
    <w:basedOn w:val="72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5"/>
    <w:basedOn w:val="72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6"/>
    <w:basedOn w:val="72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ned - Accent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Lined - Accent 1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Lined - Accent 2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Lined - Accent 3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Lined - Accent 4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Lined - Accent 5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Lined - Accent 6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 &amp; Lined - Accent"/>
    <w:basedOn w:val="72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Bordered &amp; Lined - Accent 1"/>
    <w:basedOn w:val="72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Bordered &amp; Lined - Accent 2"/>
    <w:basedOn w:val="72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Bordered &amp; Lined - Accent 3"/>
    <w:basedOn w:val="72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Bordered &amp; Lined - Accent 4"/>
    <w:basedOn w:val="72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Bordered &amp; Lined - Accent 5"/>
    <w:basedOn w:val="72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Bordered &amp; Lined - Accent 6"/>
    <w:basedOn w:val="72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"/>
    <w:basedOn w:val="72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6" w:customStyle="1">
    <w:name w:val="Bordered - Accent 1"/>
    <w:basedOn w:val="72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7" w:customStyle="1">
    <w:name w:val="Bordered - Accent 2"/>
    <w:basedOn w:val="72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8" w:customStyle="1">
    <w:name w:val="Bordered - Accent 3"/>
    <w:basedOn w:val="72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9" w:customStyle="1">
    <w:name w:val="Bordered - Accent 4"/>
    <w:basedOn w:val="72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0" w:customStyle="1">
    <w:name w:val="Bordered - Accent 5"/>
    <w:basedOn w:val="72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1" w:customStyle="1">
    <w:name w:val="Bordered - Accent 6"/>
    <w:basedOn w:val="72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2">
    <w:name w:val="footnote text"/>
    <w:basedOn w:val="714"/>
    <w:link w:val="873"/>
    <w:uiPriority w:val="99"/>
    <w:semiHidden/>
    <w:unhideWhenUsed/>
    <w:pPr>
      <w:spacing w:after="40" w:line="240" w:lineRule="auto"/>
    </w:pPr>
    <w:rPr>
      <w:sz w:val="18"/>
    </w:rPr>
  </w:style>
  <w:style w:type="character" w:styleId="873" w:customStyle="1">
    <w:name w:val="Текст сноски Знак"/>
    <w:link w:val="872"/>
    <w:uiPriority w:val="99"/>
    <w:rPr>
      <w:sz w:val="18"/>
    </w:rPr>
  </w:style>
  <w:style w:type="character" w:styleId="874">
    <w:name w:val="footnote reference"/>
    <w:basedOn w:val="724"/>
    <w:uiPriority w:val="99"/>
    <w:unhideWhenUsed/>
    <w:rPr>
      <w:vertAlign w:val="superscript"/>
    </w:rPr>
  </w:style>
  <w:style w:type="paragraph" w:styleId="875">
    <w:name w:val="endnote text"/>
    <w:basedOn w:val="714"/>
    <w:link w:val="876"/>
    <w:uiPriority w:val="99"/>
    <w:semiHidden/>
    <w:unhideWhenUsed/>
    <w:pPr>
      <w:spacing w:after="0" w:line="240" w:lineRule="auto"/>
    </w:pPr>
    <w:rPr>
      <w:sz w:val="20"/>
    </w:rPr>
  </w:style>
  <w:style w:type="character" w:styleId="876" w:customStyle="1">
    <w:name w:val="Текст концевой сноски Знак"/>
    <w:link w:val="875"/>
    <w:uiPriority w:val="99"/>
    <w:rPr>
      <w:sz w:val="20"/>
    </w:rPr>
  </w:style>
  <w:style w:type="character" w:styleId="877">
    <w:name w:val="endnote reference"/>
    <w:basedOn w:val="724"/>
    <w:uiPriority w:val="99"/>
    <w:semiHidden/>
    <w:unhideWhenUsed/>
    <w:rPr>
      <w:vertAlign w:val="superscript"/>
    </w:rPr>
  </w:style>
  <w:style w:type="paragraph" w:styleId="878">
    <w:name w:val="toc 1"/>
    <w:basedOn w:val="714"/>
    <w:next w:val="714"/>
    <w:uiPriority w:val="39"/>
    <w:unhideWhenUsed/>
    <w:pPr>
      <w:spacing w:after="57"/>
    </w:pPr>
  </w:style>
  <w:style w:type="paragraph" w:styleId="879">
    <w:name w:val="toc 2"/>
    <w:basedOn w:val="714"/>
    <w:next w:val="714"/>
    <w:uiPriority w:val="39"/>
    <w:unhideWhenUsed/>
    <w:pPr>
      <w:ind w:left="283"/>
      <w:spacing w:after="57"/>
    </w:pPr>
  </w:style>
  <w:style w:type="paragraph" w:styleId="880">
    <w:name w:val="toc 3"/>
    <w:basedOn w:val="714"/>
    <w:next w:val="714"/>
    <w:uiPriority w:val="39"/>
    <w:unhideWhenUsed/>
    <w:pPr>
      <w:ind w:left="567"/>
      <w:spacing w:after="57"/>
    </w:pPr>
  </w:style>
  <w:style w:type="paragraph" w:styleId="881">
    <w:name w:val="toc 4"/>
    <w:basedOn w:val="714"/>
    <w:next w:val="714"/>
    <w:uiPriority w:val="39"/>
    <w:unhideWhenUsed/>
    <w:pPr>
      <w:ind w:left="850"/>
      <w:spacing w:after="57"/>
    </w:pPr>
  </w:style>
  <w:style w:type="paragraph" w:styleId="882">
    <w:name w:val="toc 5"/>
    <w:basedOn w:val="714"/>
    <w:next w:val="714"/>
    <w:uiPriority w:val="39"/>
    <w:unhideWhenUsed/>
    <w:pPr>
      <w:ind w:left="1134"/>
      <w:spacing w:after="57"/>
    </w:pPr>
  </w:style>
  <w:style w:type="paragraph" w:styleId="883">
    <w:name w:val="toc 6"/>
    <w:basedOn w:val="714"/>
    <w:next w:val="714"/>
    <w:uiPriority w:val="39"/>
    <w:unhideWhenUsed/>
    <w:pPr>
      <w:ind w:left="1417"/>
      <w:spacing w:after="57"/>
    </w:pPr>
  </w:style>
  <w:style w:type="paragraph" w:styleId="884">
    <w:name w:val="toc 7"/>
    <w:basedOn w:val="714"/>
    <w:next w:val="714"/>
    <w:uiPriority w:val="39"/>
    <w:unhideWhenUsed/>
    <w:pPr>
      <w:ind w:left="1701"/>
      <w:spacing w:after="57"/>
    </w:pPr>
  </w:style>
  <w:style w:type="paragraph" w:styleId="885">
    <w:name w:val="toc 8"/>
    <w:basedOn w:val="714"/>
    <w:next w:val="714"/>
    <w:uiPriority w:val="39"/>
    <w:unhideWhenUsed/>
    <w:pPr>
      <w:ind w:left="1984"/>
      <w:spacing w:after="57"/>
    </w:pPr>
  </w:style>
  <w:style w:type="paragraph" w:styleId="886">
    <w:name w:val="toc 9"/>
    <w:basedOn w:val="714"/>
    <w:next w:val="714"/>
    <w:uiPriority w:val="39"/>
    <w:unhideWhenUsed/>
    <w:pPr>
      <w:ind w:left="2268"/>
      <w:spacing w:after="57"/>
    </w:pPr>
  </w:style>
  <w:style w:type="paragraph" w:styleId="887">
    <w:name w:val="TOC Heading"/>
    <w:uiPriority w:val="39"/>
    <w:unhideWhenUsed/>
  </w:style>
  <w:style w:type="paragraph" w:styleId="888">
    <w:name w:val="table of figures"/>
    <w:basedOn w:val="714"/>
    <w:next w:val="714"/>
    <w:uiPriority w:val="99"/>
    <w:unhideWhenUsed/>
    <w:pPr>
      <w:spacing w:after="0"/>
    </w:pPr>
  </w:style>
  <w:style w:type="paragraph" w:styleId="889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90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91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92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893" w:customStyle="1">
    <w:name w:val="МОН Знак"/>
    <w:link w:val="894"/>
    <w:rPr>
      <w:sz w:val="24"/>
      <w:szCs w:val="24"/>
    </w:rPr>
  </w:style>
  <w:style w:type="paragraph" w:styleId="894" w:customStyle="1">
    <w:name w:val="МОН"/>
    <w:basedOn w:val="714"/>
    <w:link w:val="893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895">
    <w:name w:val="Strong"/>
    <w:qFormat/>
    <w:rPr>
      <w:b/>
      <w:bCs/>
    </w:rPr>
  </w:style>
  <w:style w:type="paragraph" w:styleId="896">
    <w:name w:val="List Paragraph"/>
    <w:basedOn w:val="714"/>
    <w:qFormat/>
    <w:pPr>
      <w:contextualSpacing/>
      <w:ind w:left="720"/>
    </w:pPr>
  </w:style>
  <w:style w:type="character" w:styleId="897" w:customStyle="1">
    <w:name w:val="Основной текст_"/>
    <w:link w:val="898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898" w:customStyle="1">
    <w:name w:val="Основной текст2"/>
    <w:basedOn w:val="714"/>
    <w:link w:val="897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899">
    <w:name w:val="Body Text 2"/>
    <w:basedOn w:val="714"/>
    <w:link w:val="900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00" w:customStyle="1">
    <w:name w:val="Основной текст 2 Знак"/>
    <w:link w:val="899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01">
    <w:name w:val="Footer"/>
    <w:basedOn w:val="714"/>
    <w:link w:val="902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02" w:customStyle="1">
    <w:name w:val="Нижний колонтитул Знак"/>
    <w:link w:val="901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03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04" w:customStyle="1">
    <w:name w:val="32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5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06">
    <w:name w:val="Normal (Web)"/>
    <w:basedOn w:val="714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07">
    <w:name w:val="Body Text Indent"/>
    <w:basedOn w:val="714"/>
    <w:link w:val="908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08" w:customStyle="1">
    <w:name w:val="Основной текст с отступом Знак"/>
    <w:link w:val="907"/>
    <w:rPr>
      <w:rFonts w:ascii="Times New Roman" w:hAnsi="Times New Roman" w:eastAsia="Times New Roman" w:cs="Times New Roman"/>
      <w:sz w:val="24"/>
      <w:szCs w:val="24"/>
    </w:rPr>
  </w:style>
  <w:style w:type="character" w:styleId="909" w:customStyle="1">
    <w:name w:val="Заголовок 1 Знак"/>
    <w:link w:val="715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10" w:customStyle="1">
    <w:name w:val="Заголовок 2 Знак"/>
    <w:link w:val="716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11" w:customStyle="1">
    <w:name w:val="Заголовок 3 Знак"/>
    <w:link w:val="717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12">
    <w:name w:val="Table Grid"/>
    <w:basedOn w:val="725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3">
    <w:name w:val="Balloon Text"/>
    <w:basedOn w:val="714"/>
    <w:link w:val="914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14" w:customStyle="1">
    <w:name w:val="Текст выноски Знак"/>
    <w:link w:val="913"/>
    <w:rPr>
      <w:rFonts w:ascii="Tahoma" w:hAnsi="Tahoma" w:eastAsia="Times New Roman" w:cs="Tahoma"/>
      <w:sz w:val="16"/>
      <w:szCs w:val="16"/>
      <w:lang w:eastAsia="ru-RU"/>
    </w:rPr>
  </w:style>
  <w:style w:type="paragraph" w:styleId="915">
    <w:name w:val="Header"/>
    <w:basedOn w:val="714"/>
    <w:link w:val="916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6" w:customStyle="1">
    <w:name w:val="Верхний колонтитул Знак"/>
    <w:link w:val="915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17">
    <w:name w:val="Emphasis"/>
    <w:qFormat/>
    <w:rPr>
      <w:i/>
      <w:iCs/>
    </w:rPr>
  </w:style>
  <w:style w:type="paragraph" w:styleId="918" w:customStyle="1">
    <w:name w:val="Содержимое таблицы"/>
    <w:basedOn w:val="714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19" w:customStyle="1">
    <w:name w:val="consplusnormal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0" w:customStyle="1">
    <w:name w:val="a2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1" w:customStyle="1">
    <w:name w:val="15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2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3" w:customStyle="1">
    <w:name w:val="h1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4" w:customStyle="1">
    <w:name w:val="msonospacing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5" w:customStyle="1">
    <w:name w:val="ac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6">
    <w:name w:val="Body Text 3"/>
    <w:basedOn w:val="714"/>
    <w:link w:val="92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7" w:customStyle="1">
    <w:name w:val="Основной текст 3 Знак"/>
    <w:link w:val="926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8">
    <w:name w:val="HTML Bottom of Form"/>
    <w:basedOn w:val="714"/>
    <w:next w:val="714"/>
    <w:link w:val="929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29" w:customStyle="1">
    <w:name w:val="z-Конец формы Знак"/>
    <w:link w:val="928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30" w:customStyle="1">
    <w:name w:val="Style16"/>
    <w:basedOn w:val="714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1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32">
    <w:name w:val="Caption"/>
    <w:basedOn w:val="714"/>
    <w:next w:val="714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33">
    <w:name w:val="Body Text"/>
    <w:basedOn w:val="714"/>
    <w:link w:val="934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4" w:customStyle="1">
    <w:name w:val="Основной текст Знак"/>
    <w:link w:val="93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5">
    <w:name w:val="Body Text Indent 2"/>
    <w:basedOn w:val="714"/>
    <w:link w:val="936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6" w:customStyle="1">
    <w:name w:val="Основной текст с отступом 2 Знак"/>
    <w:link w:val="93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37" w:customStyle="1">
    <w:name w:val="Заголовок №2_"/>
    <w:link w:val="938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38" w:customStyle="1">
    <w:name w:val="Заголовок №2"/>
    <w:basedOn w:val="714"/>
    <w:link w:val="937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39">
    <w:name w:val="No Spacing"/>
    <w:qFormat/>
    <w:rPr>
      <w:sz w:val="22"/>
      <w:szCs w:val="22"/>
      <w:lang w:eastAsia="en-US"/>
    </w:rPr>
  </w:style>
  <w:style w:type="paragraph" w:styleId="940" w:customStyle="1">
    <w:name w:val="Default"/>
    <w:rPr>
      <w:rFonts w:ascii="Arial" w:hAnsi="Arial" w:cs="Arial"/>
      <w:color w:val="000000"/>
      <w:sz w:val="24"/>
      <w:szCs w:val="24"/>
    </w:rPr>
  </w:style>
  <w:style w:type="paragraph" w:styleId="941" w:customStyle="1">
    <w:name w:val="msonormalcxspmiddle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42" w:customStyle="1">
    <w:name w:val="Нет списка1"/>
    <w:next w:val="726"/>
    <w:semiHidden/>
    <w:unhideWhenUsed/>
  </w:style>
  <w:style w:type="table" w:styleId="943" w:customStyle="1">
    <w:name w:val="Сетка таблицы1"/>
    <w:basedOn w:val="725"/>
    <w:next w:val="912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4" w:customStyle="1">
    <w:name w:val="Абзац списка1"/>
    <w:basedOn w:val="714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45" w:customStyle="1">
    <w:name w:val="Знак Знак2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6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47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48" w:customStyle="1">
    <w:name w:val="Обычный (веб)18"/>
    <w:basedOn w:val="714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49" w:customStyle="1">
    <w:name w:val="Знак Знак2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0" w:customStyle="1">
    <w:name w:val="Знак Знак2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1" w:customStyle="1">
    <w:name w:val="Знак Знак2 Знак Знак Знак Знак Знак Знак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2" w:customStyle="1">
    <w:name w:val="Знак Знак2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3" w:customStyle="1">
    <w:name w:val="Знак Знак2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4" w:customStyle="1">
    <w:name w:val="Знак Знак2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5">
    <w:name w:val="Body Text Indent 3"/>
    <w:basedOn w:val="714"/>
    <w:link w:val="956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56" w:customStyle="1">
    <w:name w:val="Основной текст с отступом 3 Знак"/>
    <w:link w:val="955"/>
    <w:uiPriority w:val="99"/>
    <w:semiHidden/>
    <w:rPr>
      <w:sz w:val="16"/>
      <w:szCs w:val="16"/>
    </w:rPr>
  </w:style>
  <w:style w:type="paragraph" w:styleId="957" w:customStyle="1">
    <w:name w:val="1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58">
    <w:name w:val="Hyperlink"/>
    <w:rPr>
      <w:strike w:val="0"/>
      <w:color w:val="808080"/>
      <w:u w:val="none"/>
    </w:rPr>
  </w:style>
  <w:style w:type="character" w:styleId="959" w:customStyle="1">
    <w:name w:val="blk"/>
  </w:style>
  <w:style w:type="character" w:styleId="960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61" w:customStyle="1">
    <w:name w:val="Знак Знак2 Знак Знак Знак Знак Знак Знак Знак Знак Знак Знак Знак Знак Знак Знак Знак Знак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39A17-8796-4757-AFAC-14571612F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16</cp:revision>
  <dcterms:created xsi:type="dcterms:W3CDTF">2025-11-12T14:32:00Z</dcterms:created>
  <dcterms:modified xsi:type="dcterms:W3CDTF">2025-11-19T09:52:47Z</dcterms:modified>
</cp:coreProperties>
</file>