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1843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«Молодежная политика и взаимодействие с общественными организациями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в Печенгском муниципальном округе»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муниципальных программ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в</w:t>
      </w:r>
      <w:r>
        <w:rPr>
          <w:rFonts w:ascii="Times New Roman" w:hAnsi="Times New Roman"/>
          <w:sz w:val="24"/>
          <w:szCs w:val="24"/>
        </w:rPr>
        <w:t xml:space="preserve"> целях </w:t>
      </w:r>
      <w:r>
        <w:rPr>
          <w:rFonts w:ascii="Times New Roman" w:hAnsi="Times New Roman"/>
          <w:sz w:val="24"/>
          <w:szCs w:val="24"/>
        </w:rPr>
        <w:t xml:space="preserve">осуществления комплекса мероприятий, направленных на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«Молодежная политика и взаимодействие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 общественными организациями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Печенгском муниципальном округе»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 </w:t>
      </w:r>
      <w:r>
        <w:rPr>
          <w:rFonts w:ascii="Times New Roman" w:hAnsi="Times New Roman" w:eastAsia="Times New Roman"/>
          <w:sz w:val="24"/>
          <w:szCs w:val="24"/>
        </w:rPr>
        <w:t xml:space="preserve">Контроль за исполнением настоящего постановления оставляю за собой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 w:hanging="5529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-1" w:firstLine="0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Хорошилова Е.А., 51363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12.11.2025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1843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«Молодежная политика и взаимодействие с общественными организациями в Печенгском муниципальном округе»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Отдел культуры, спорта и молодежной политики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u w:val="single"/>
          <w:lang w:eastAsia="ru-RU"/>
        </w:rPr>
      </w:pP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«Молодежная политика и взаимодействие с общественными организациями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u w:val="single"/>
          <w:lang w:eastAsia="ru-RU"/>
        </w:rPr>
      </w:pP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в Печенгском муниципальном округе»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82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51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896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</w:t>
            </w:r>
            <w: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105 042 812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105 042 812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35 347 604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35 347 604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347 604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Ожидаемые результаты </w:t>
            </w:r>
            <w:r>
              <w:rPr>
                <w:rFonts w:ascii="Times New Roman" w:hAnsi="Times New Roman"/>
                <w:sz w:val="24"/>
              </w:rPr>
              <w:t xml:space="preserve">к 202</w:t>
            </w:r>
            <w:r>
              <w:rPr>
                <w:rFonts w:ascii="Times New Roman" w:hAnsi="Times New Roman"/>
                <w:sz w:val="24"/>
              </w:rPr>
              <w:t xml:space="preserve">9</w:t>
            </w:r>
            <w:r>
              <w:rPr>
                <w:rFonts w:ascii="Times New Roman" w:hAnsi="Times New Roman"/>
                <w:sz w:val="24"/>
              </w:rPr>
              <w:t xml:space="preserve"> году: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 xml:space="preserve">увеличение </w:t>
            </w:r>
            <w:r>
              <w:rPr>
                <w:rFonts w:ascii="Times New Roman" w:hAnsi="Times New Roman"/>
                <w:sz w:val="24"/>
              </w:rPr>
              <w:t xml:space="preserve">д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оли молодых граждан, принявших участие в мероприятиях в сфере моло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дежной политики, от общего числа молодежи Печенгского муниципального округа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 до 43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 %;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- количество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талантливых и одаренных детей и молодежи, получающих премию Главы Печенгского муниципального округа – 50 человек ежегодно;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- увеличение к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  <w:t xml:space="preserve">оличества проведенных мероприятий в рамках приоритетных направлений молодежной политики до 214 шт.;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</w:r>
          </w:p>
          <w:p>
            <w:pPr>
              <w:pStyle w:val="939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  <w:t xml:space="preserve">вовлечение детей и молодежи в возрасте до 35 лет в социально активную деятельность через увеличение охвата патриотическими проектами – 654 человека;</w:t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культуры, спорта и молодежной политики администрации Печенгского муниципального округа (далее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КСиМП)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КСиМП,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образования администрации Печенгского муниципального округа  (далее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образования)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896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«Молодежная политика и взаимодействи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 с общественными организациями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в Печенгском муниципальном округе»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</w:rPr>
        <w:suppressLineNumbers w:val="0"/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Молодежная политика является одним из приоритетных направлений государственной политики Российской Федерации,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Мурманской области, Печенгского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округа,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которое глубоко интегрировано в процессы развития правового государства,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развития Печенгского муниципального округа,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функционирование институтов гражданского общества.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Молодёжь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это активная, творческая и амбициозная часть общества, обладающая огромным потенциалом для внесения положительных изм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енений в различные сферы жизни. Развитие молодежных пространств способству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развитию инноваций, укреплению гражданского общества и формированию новых профессиональных и социальных навыков у молодых людей.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Приоритеты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муниципального управления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в сфере реализации муниципальной программы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«Молодежная политика» (далее – Программа)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определены исходя из положений: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Указа Президента Российской Федерации от 7 мая 2024 года № 309 </w:t>
        <w:br/>
        <w:t xml:space="preserve">«О национальных целях развития Российской Федерации на период до 2030 года и на перспективу до 2036 года»;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Стратегии реализации молодежной политики в Российской Федерации на период до 2030 года, утвержденной распоряжением Правительства Российской Федерации от 17 августа 2024 г. № 2233-р;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других федеральных, региональных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нормативны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х правовых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акт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ов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органов исполнительной власти, касающи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хся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управления в сфере молодежной политики и реализации конституционных прав и свобод молодых граждан, их законных интересов.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/>
          <w:sz w:val="24"/>
          <w:szCs w:val="24"/>
        </w:rPr>
        <w:t xml:space="preserve">Основн</w:t>
      </w:r>
      <w:r>
        <w:rPr>
          <w:rFonts w:ascii="Times New Roman" w:hAnsi="Times New Roman"/>
          <w:sz w:val="24"/>
          <w:szCs w:val="24"/>
        </w:rPr>
        <w:t xml:space="preserve">ым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стратегическим приоритетом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в сфере молодежной политики в Печенгском муниципальном округе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является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становление и развитие патриотически настроенного, высоконравственного и ответственного поколения российских граждан, способного обеспечить суверенитет, конкурентоспособность и дальнейшее развитие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Печенгского муниципального округа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, соблюдение прав, свобод и законных интересов молодых граждан, улучшение социально-экономического положения молодежи, активное ее привлечение к участию в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муниципальном управлении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и развитии современного российского общества, учитывающей его актуальные потребности, вызовы и угрозы, стоящие перед страной.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В Печенгском муниципальном округе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Программа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реализуется отделом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КСиМП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отделом образования,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 участии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подведомственных им учреждений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молодежных и детских общественных объединений,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негосударственных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организаций, иных юридических и физических лиц.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Целью </w:t>
      </w:r>
      <w:r>
        <w:rPr>
          <w:rFonts w:ascii="Times New Roman" w:hAnsi="Times New Roman"/>
          <w:color w:val="000000"/>
          <w:sz w:val="24"/>
          <w:szCs w:val="24"/>
        </w:rPr>
        <w:t xml:space="preserve">П</w:t>
      </w:r>
      <w:r>
        <w:rPr>
          <w:rFonts w:ascii="Times New Roman" w:hAnsi="Times New Roman"/>
          <w:color w:val="000000"/>
          <w:sz w:val="24"/>
          <w:szCs w:val="24"/>
        </w:rPr>
        <w:t xml:space="preserve">рограммы является - с</w:t>
      </w:r>
      <w:r>
        <w:rPr>
          <w:rFonts w:ascii="Times New Roman" w:hAnsi="Times New Roman"/>
          <w:color w:val="000000"/>
          <w:sz w:val="24"/>
          <w:szCs w:val="24"/>
        </w:rPr>
        <w:t xml:space="preserve">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Печенгского муниципального округа.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Для ее достижения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предполагается реализаци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я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следующих задач: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обеспечение устойчивости молодежной среды к внешним и внутренним вызовам и угрозам;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приобщение молодежи к историческим и культурным традициям народов России как основе для создания патриотического молодежного сообщества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  <w:t xml:space="preserve">ф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ормирование культуры здорового и активного образа жизни в молодежной среде, ответственной позиции за сохранение и укрепление собственного физического и духовного здоровья;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создание условий для получения образования, самореализации молодежи, развитие социальных лифтов, повышение мотивации у молодых граждан к самообразованию, активному построению карьеры и занятию предпринимательской и научной деятельностью;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предупреждение правонарушений и антиобщественных действий молодежи, повышение уровня межнационального (межэтнического) и межконфессионального согласия в молодежной среде, защита молодежи от деструктивного информационно-психологического воздействия;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поддержка и развитие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молодежных пространств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, молодежных и детских общественных объединений, обеспечение молодежного участия в общественной жизни;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популяризация изучения истории, в том числе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Печенгского муниципального округа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, на основе достоверных фактов и предметов, имеющих историческую и культурную ценность;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развитие форм взаимодействия в сфере воспитания детей и молодежи между общеобразовательными организациями, профессиональными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образовательными организациями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и социально ориентированными некоммерческими организациями, осуществляющими патриотическое воспитание молодежи;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ab/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создание системы поддержки молодежи и молодежных организаций, занимающихся деятельностью в области экологии, экологического просвещения и развития экологической культуры, формирования духовно-нравственного отношения молодежи к родной природе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 и чувства сопричастности к ней.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Реализация Программы позволит создать условия для интеллектуального и физического развития, формирования гражданской позиции, нравственно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й устойчивости, социальной активности, самостоятельности и экономической самодостаточности молодого поколения как стратегического ресурса социально-экономического развития района и гражданского общества, а также на обеспечить развитие детских и молодежных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пространств,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общественных объединений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, деятельность которых способствует формированию духовно-нравственной культуры и гражданской активности детей, подростков и молодежи.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540"/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2" w:name="P446"/>
      <w:r/>
      <w:bookmarkEnd w:id="2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показателей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 муниципальной п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рограммы 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31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253"/>
        <w:gridCol w:w="1134"/>
        <w:gridCol w:w="1276"/>
        <w:gridCol w:w="1134"/>
        <w:gridCol w:w="1134"/>
        <w:gridCol w:w="1134"/>
        <w:gridCol w:w="1134"/>
        <w:gridCol w:w="992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color w:val="000000"/>
              </w:rPr>
              <w:t xml:space="preserve">Создание условий и возможностей для успешной социализации и эффективной самореализации молодых людей, а также развитие потенциала молодежи в интересах Печенгского муниципального округа</w:t>
            </w:r>
            <w:r>
              <w:rPr>
                <w:rFonts w:ascii="Times New Roman" w:hAnsi="Times New Roman"/>
                <w:color w:val="000000"/>
              </w:rPr>
            </w:r>
            <w:r>
              <w:rPr>
                <w:rFonts w:ascii="Times New Roman" w:hAnsi="Times New Roman"/>
                <w:color w:val="00000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молодых граждан, принявших участие в мероприятиях в сфере молодежной политики, от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общего числа молодежи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КСиМП,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талантливых и одаренных детей и молодежи, получающих премию Главы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40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КСиМП,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проведенных мероприятий в рамках приоритетных направлений молодежной политики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646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648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654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тдел образования</w:t>
            </w:r>
            <w:r/>
          </w:p>
        </w:tc>
      </w:tr>
    </w:tbl>
    <w:p>
      <w:pPr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  <w:lang w:val="en-US"/>
        </w:rPr>
      </w:pPr>
      <w:r/>
      <w:bookmarkStart w:id="3" w:name="p125"/>
      <w:r/>
      <w:bookmarkEnd w:id="3"/>
      <w:r>
        <w:rPr>
          <w:rFonts w:ascii="Times New Roman" w:hAnsi="Times New Roman"/>
          <w:sz w:val="24"/>
          <w:szCs w:val="24"/>
          <w:u w:val="single"/>
          <w:lang w:val="en-US"/>
        </w:rPr>
      </w:r>
      <w:r>
        <w:rPr>
          <w:rFonts w:ascii="Times New Roman" w:hAnsi="Times New Roman"/>
          <w:sz w:val="24"/>
          <w:szCs w:val="24"/>
          <w:u w:val="single"/>
          <w:lang w:val="en-US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Направленность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показателя обозначается: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 1 – направленность на рост;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(-1) – направленность на снижение;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0 – направленность на достижение конкретного значения.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3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303"/>
        <w:gridCol w:w="1276"/>
        <w:gridCol w:w="1984"/>
        <w:gridCol w:w="623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Молодежные центры – точка притяжения и первый шаг к мечте»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молодых граждан, принявших участие в мероприятиях в сфере молодежной политики, от общего числа молодежи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ченгского муниципального округ.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талантливых и одаренных детей и молодежи, получающих премию Главы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03.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проведенных мероприятий в рамках приоритетных направлений молодежной политики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0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приоритетных направлений в сфере молодежной политики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536"/>
        <w:gridCol w:w="1276"/>
        <w:gridCol w:w="992"/>
        <w:gridCol w:w="1276"/>
        <w:gridCol w:w="1276"/>
        <w:gridCol w:w="1417"/>
        <w:gridCol w:w="1276"/>
        <w:gridCol w:w="212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105 042 812,00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34 347 604,00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105 042 812,00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34 347 604,00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105 042 812,00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34 347 604,00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105 042 812,00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35 347 604,00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34 347 604,00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Молодежные центры – точка притяжения и первый шаг к мечте»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101 548 812,00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101 548 812,00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33 849 604,00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приоритетных направлений в сфере молодежной политики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3 494 000,00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1 498 000,00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1 498 000,00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  <w:t xml:space="preserve">498 000,00</w:t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3 494 000,00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1 498 000,00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1 498 000,00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498 000,00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1719"/>
        <w:gridCol w:w="2838"/>
        <w:gridCol w:w="3830"/>
        <w:gridCol w:w="3970"/>
        <w:gridCol w:w="153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Изменения федерального 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регионального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реагирование на изменения федерального и регионального законодательства.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Разработка и реализация согласованных межведомственных решений, всестороннее рассмотрение и оценка последствий принятия проектов нормативных правовых актов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сфере молодежной политики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их увязка с мерами правового регулирования в рамках других направлений деятельности органов местного самоуправления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Своевременное внесение соответствующих изменений в нормативные правовые акты, касающиеся реализации мероприятий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69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(принятие решений по введению новых расходных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обязательств, не обес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печенных финансовыми ресурсами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Возникновение указанного риска может повлечь увеличение дефицита бюджета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Приор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итизация расходных обязательств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приведение их в соответствие со складываю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щимися бюджетными возможностями, анализ и мониторинг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экономии бюджетных средс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тв, возникшей в ходе проведения закупочных процедур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товаров, работ, услуг получателями бюджетных средств.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Принятие решения главными распорядителями средств бюджета округа о сокращении расходов бюджета в части мероприятий, не являющихся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первоочередными, за исключением социально ориентированных.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Использование принципа гибкости ресурсного обеспечения при планировании мероприятий муниципальной программы, корректировка состава программных мероприятий и показателей с учетом достигнутых результатов и текущих условий реализации Программ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1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Организационные и управленческие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Ошибочная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организационная схема и слабый управленческий потенциал (в том числе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недостаточный уровень квалификации для работ с новыми инструментами),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несогласованность действий основного исполнителя и участников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могут приводить к неэффективному управлению процессом реализации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Программы, низкому качеству реализации программных мероприятий на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муниципальном уровне и уровне образовательных организаций.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39" w:type="pct"/>
            <w:textDirection w:val="lrTb"/>
            <w:noWrap w:val="false"/>
          </w:tcPr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Устранение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риска возможно за счет обеспечения постоянного и оперативного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мониторинга (в том числе социологического) реализации Программы, а также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за счет корректировки Программы на ос</w:t>
            </w:r>
            <w:r>
              <w:rPr>
                <w:sz w:val="20"/>
                <w:szCs w:val="20"/>
              </w:rPr>
              <w:t xml:space="preserve">нове анализа данных мониторинга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06"/>
              <w:ind w:right="0"/>
              <w:jc w:val="both"/>
              <w:spacing w:before="0" w:beforeAutospacing="0" w:after="0" w:afterAutospacing="0" w:line="240" w:lineRule="auto"/>
              <w:rPr>
                <w:sz w:val="20"/>
                <w:szCs w:val="20"/>
                <w:highlight w:val="yellow"/>
              </w:rPr>
              <w:suppressLineNumbers w:val="0"/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8" w:type="pct"/>
            <w:textDirection w:val="lrTb"/>
            <w:noWrap w:val="false"/>
          </w:tcPr>
          <w:p>
            <w:pPr>
              <w:ind w:right="0"/>
              <w:jc w:val="both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пережающая разработка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инструментов мониторинга до начала реализации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6" w:type="pct"/>
            <w:textDirection w:val="lrTb"/>
            <w:noWrap w:val="false"/>
          </w:tcPr>
          <w:p>
            <w:pPr>
              <w:ind w:right="0"/>
              <w:jc w:val="center"/>
              <w:spacing w:before="0" w:beforeAutospacing="0" w:after="0" w:afterAutospacing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  <w:suppressLineNumbers w:val="0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5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6</w:t>
      </w:r>
      <w:r>
        <w:rPr>
          <w:rFonts w:ascii="Times New Roman" w:hAnsi="Times New Roman"/>
          <w:b/>
          <w:sz w:val="24"/>
          <w:szCs w:val="24"/>
        </w:rPr>
        <w:t xml:space="preserve"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участников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  <w:rPr>
          <w:highlight w:val="yellow"/>
        </w:rPr>
      </w:pPr>
      <w:r/>
      <w:bookmarkStart w:id="4" w:name="Par3713"/>
      <w:r/>
      <w:bookmarkEnd w:id="4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отдел </w:t>
      </w:r>
      <w:r>
        <w:rPr>
          <w:rFonts w:ascii="Times New Roman" w:hAnsi="Times New Roman"/>
          <w:sz w:val="24"/>
          <w:szCs w:val="24"/>
        </w:rPr>
        <w:t xml:space="preserve">КСиМП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который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обеспечивает совместно с Соисполнителями разработку проекта Программы, проектов постановлений Администрации</w:t>
      </w:r>
      <w:r>
        <w:rPr>
          <w:rFonts w:ascii="Times New Roman" w:hAnsi="Times New Roman" w:eastAsia="Times New Roman"/>
          <w:sz w:val="24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  <w:t xml:space="preserve"> об утверждении </w:t>
      </w:r>
      <w:r>
        <w:rPr>
          <w:rFonts w:ascii="Times New Roman" w:hAnsi="Times New Roman" w:eastAsia="Times New Roman"/>
          <w:sz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(или) о внесении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 и их согласование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ченгского муниципального округа, утвержденного постановлением администрации Печенгского муниципального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 </w:t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несет ответственность за достижени</w:t>
      </w:r>
      <w:r>
        <w:rPr>
          <w:rFonts w:ascii="Times New Roman" w:hAnsi="Times New Roman" w:eastAsia="Times New Roman"/>
          <w:sz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lang w:eastAsia="ru-RU"/>
        </w:rPr>
        <w:t xml:space="preserve">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и конечных </w:t>
      </w:r>
      <w:r>
        <w:rPr>
          <w:rFonts w:ascii="Times New Roman" w:hAnsi="Times New Roman" w:eastAsia="Times New Roman"/>
          <w:sz w:val="24"/>
          <w:lang w:eastAsia="ru-RU"/>
        </w:rPr>
        <w:t xml:space="preserve">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</w:t>
      </w:r>
      <w:r>
        <w:rPr>
          <w:rFonts w:ascii="Times New Roman" w:hAnsi="Times New Roman" w:eastAsia="Times New Roman"/>
          <w:sz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</w:t>
      </w:r>
      <w:r>
        <w:rPr>
          <w:rFonts w:ascii="Times New Roman" w:hAnsi="Times New Roman" w:eastAsia="Times New Roman"/>
          <w:sz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sz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обеспечива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разработку и реализацию комплексов процессных мероприятий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 отношении которых явля</w:t>
      </w:r>
      <w:r>
        <w:rPr>
          <w:rFonts w:ascii="Times New Roman" w:hAnsi="Times New Roman" w:eastAsia="Times New Roman"/>
          <w:sz w:val="24"/>
          <w:lang w:eastAsia="ru-RU"/>
        </w:rPr>
        <w:t xml:space="preserve">ется </w:t>
      </w:r>
      <w:r>
        <w:rPr>
          <w:rFonts w:ascii="Times New Roman" w:hAnsi="Times New Roman" w:eastAsia="Times New Roman"/>
          <w:sz w:val="24"/>
          <w:lang w:eastAsia="ru-RU"/>
        </w:rPr>
        <w:t xml:space="preserve">соисполнител</w:t>
      </w:r>
      <w:r>
        <w:rPr>
          <w:rFonts w:ascii="Times New Roman" w:hAnsi="Times New Roman" w:eastAsia="Times New Roman"/>
          <w:sz w:val="24"/>
          <w:lang w:eastAsia="ru-RU"/>
        </w:rPr>
        <w:t xml:space="preserve">ем</w:t>
      </w:r>
      <w:r>
        <w:rPr>
          <w:rFonts w:ascii="Times New Roman" w:hAnsi="Times New Roman" w:eastAsia="Times New Roman"/>
          <w:sz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нес</w:t>
      </w:r>
      <w:r>
        <w:rPr>
          <w:rFonts w:ascii="Times New Roman" w:hAnsi="Times New Roman" w:eastAsia="Times New Roman"/>
          <w:sz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формирует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е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ответственному исполнителю муниципальной программы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КСиМП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</w:t>
      </w:r>
      <w:r>
        <w:rPr>
          <w:rFonts w:ascii="Times New Roman" w:hAnsi="Times New Roman" w:eastAsia="Times New Roman"/>
          <w:sz w:val="24"/>
          <w:lang w:eastAsia="ru-RU"/>
        </w:rPr>
        <w:t xml:space="preserve">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Участники муниципальной программы: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осуществляют реализацию мероприятий муниципальной программы, участниками которых они являются;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представляют ответственному исполнителю муницип</w:t>
      </w:r>
      <w:r>
        <w:rPr>
          <w:rFonts w:ascii="Times New Roman" w:hAnsi="Times New Roman" w:eastAsia="Times New Roman"/>
          <w:sz w:val="24"/>
          <w:lang w:eastAsia="ru-RU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</w:t>
      </w:r>
      <w:r>
        <w:rPr>
          <w:rFonts w:ascii="Times New Roman" w:hAnsi="Times New Roman" w:eastAsia="Times New Roman"/>
          <w:sz w:val="24"/>
          <w:lang w:eastAsia="ru-RU"/>
        </w:rPr>
        <w:t xml:space="preserve">грамм в соответствии с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993" w:right="706" w:bottom="1701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pPr w:horzAnchor="text" w:tblpX="-253" w:vertAnchor="text" w:tblpY="1" w:leftFromText="180" w:topFromText="0" w:rightFromText="180" w:bottomFromText="0"/>
        <w:tblW w:w="146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3275"/>
        <w:gridCol w:w="1121"/>
        <w:gridCol w:w="1559"/>
        <w:gridCol w:w="15"/>
        <w:gridCol w:w="2804"/>
        <w:gridCol w:w="2395"/>
        <w:gridCol w:w="15"/>
        <w:gridCol w:w="1261"/>
        <w:gridCol w:w="15"/>
        <w:gridCol w:w="159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050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«М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олодежная политика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и взаимодействие с общественными организациями в Печенгском муниципальном округе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629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3275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молодых граждан, принявших участие в мероприятиях в сфере молодежной политики, от общего числа молодежи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ДМГ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= СМП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ОЧМ 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Х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100%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ДМГ – доля молодых граждан 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КСиМП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января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образования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57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СМП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граждане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принявши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участие в мероприятиях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в сфере молодежной политики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64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ОЧМ – общее число молодежи Печенгского муниципального округа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3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60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талантливых и одаренных детей и молодежи, получающих премию Главы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чел.,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Ведомственный мониторинг (данные протокола заседания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конкурсной комиссии)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0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1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проведенных мероприятий в рамках приоритетных направлений молодежной политики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 xml:space="preserve">шт., ежегодно</w:t>
            </w:r>
            <w:r>
              <w:rPr>
                <w:rFonts w:ascii="Times New Roman" w:hAnsi="Times New Roman"/>
                <w:color w:val="000000" w:themeColor="text1"/>
                <w:sz w:val="20"/>
              </w:rPr>
            </w:r>
            <w:r>
              <w:rPr>
                <w:rFonts w:ascii="Times New Roman" w:hAnsi="Times New Roman"/>
                <w:color w:val="000000" w:themeColor="text1"/>
                <w:sz w:val="2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отдела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годом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198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детей и молодежи в возрасте до 35 лет, вовлеченных в социально активную деятельность через увеличение охвата патриотическими проектами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</w:rPr>
              <w:t xml:space="preserve">чел., ежегодно</w:t>
            </w:r>
            <w:r>
              <w:rPr>
                <w:rFonts w:ascii="Times New Roman" w:hAnsi="Times New Roman"/>
                <w:sz w:val="20"/>
                <w:lang w:val="en-US"/>
              </w:rPr>
            </w:r>
            <w:r>
              <w:rPr>
                <w:rFonts w:ascii="Times New Roman" w:hAnsi="Times New Roman"/>
                <w:sz w:val="20"/>
                <w:lang w:val="en-US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vertAlign w:val="superscript"/>
                <w:lang w:val="en-US"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0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3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Ведомственные данные отдела КСиМП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15 января года, следующего за отчетным годом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5" w:name="p124"/>
      <w:r/>
      <w:bookmarkEnd w:id="5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br w:type="textWrapping" w:clear="all"/>
      </w: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993" w:bottom="1701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9"/>
  </w:num>
  <w:num w:numId="5">
    <w:abstractNumId w:val="11"/>
  </w:num>
  <w:num w:numId="6">
    <w:abstractNumId w:val="8"/>
  </w:num>
  <w:num w:numId="7">
    <w:abstractNumId w:val="10"/>
  </w:num>
  <w:num w:numId="8">
    <w:abstractNumId w:val="12"/>
  </w:num>
  <w:num w:numId="9">
    <w:abstractNumId w:val="4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4 Char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684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24"/>
    <w:link w:val="736"/>
    <w:uiPriority w:val="10"/>
    <w:rPr>
      <w:sz w:val="48"/>
      <w:szCs w:val="48"/>
    </w:rPr>
  </w:style>
  <w:style w:type="character" w:styleId="690">
    <w:name w:val="Subtitle Char"/>
    <w:basedOn w:val="724"/>
    <w:link w:val="738"/>
    <w:uiPriority w:val="11"/>
    <w:rPr>
      <w:sz w:val="24"/>
      <w:szCs w:val="24"/>
    </w:rPr>
  </w:style>
  <w:style w:type="character" w:styleId="691">
    <w:name w:val="Quote Char"/>
    <w:link w:val="740"/>
    <w:uiPriority w:val="29"/>
    <w:rPr>
      <w:i/>
    </w:rPr>
  </w:style>
  <w:style w:type="character" w:styleId="692">
    <w:name w:val="Intense Quote Char"/>
    <w:link w:val="742"/>
    <w:uiPriority w:val="30"/>
    <w:rPr>
      <w:i/>
    </w:rPr>
  </w:style>
  <w:style w:type="table" w:styleId="693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4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7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0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1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2">
    <w:name w:val="Footnote Text Char"/>
    <w:link w:val="872"/>
    <w:uiPriority w:val="99"/>
    <w:rPr>
      <w:sz w:val="18"/>
    </w:rPr>
  </w:style>
  <w:style w:type="character" w:styleId="713">
    <w:name w:val="Endnote Text Char"/>
    <w:link w:val="875"/>
    <w:uiPriority w:val="99"/>
    <w:rPr>
      <w:sz w:val="20"/>
    </w:rPr>
  </w:style>
  <w:style w:type="paragraph" w:styleId="714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5">
    <w:name w:val="Heading 1"/>
    <w:basedOn w:val="714"/>
    <w:link w:val="90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6">
    <w:name w:val="Heading 2"/>
    <w:basedOn w:val="714"/>
    <w:next w:val="714"/>
    <w:link w:val="910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7">
    <w:name w:val="Heading 3"/>
    <w:basedOn w:val="714"/>
    <w:next w:val="714"/>
    <w:link w:val="911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8">
    <w:name w:val="Heading 4"/>
    <w:basedOn w:val="714"/>
    <w:next w:val="714"/>
    <w:link w:val="73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714"/>
    <w:next w:val="714"/>
    <w:link w:val="737"/>
    <w:uiPriority w:val="10"/>
    <w:qFormat/>
    <w:pPr>
      <w:contextualSpacing/>
      <w:spacing w:before="300"/>
    </w:pPr>
    <w:rPr>
      <w:sz w:val="48"/>
      <w:szCs w:val="48"/>
    </w:rPr>
  </w:style>
  <w:style w:type="character" w:styleId="737" w:customStyle="1">
    <w:name w:val="Заголовок Знак"/>
    <w:basedOn w:val="724"/>
    <w:link w:val="736"/>
    <w:uiPriority w:val="10"/>
    <w:rPr>
      <w:sz w:val="48"/>
      <w:szCs w:val="48"/>
    </w:rPr>
  </w:style>
  <w:style w:type="paragraph" w:styleId="738">
    <w:name w:val="Subtitle"/>
    <w:basedOn w:val="714"/>
    <w:next w:val="714"/>
    <w:link w:val="739"/>
    <w:uiPriority w:val="11"/>
    <w:qFormat/>
    <w:pPr>
      <w:spacing w:before="200"/>
    </w:pPr>
    <w:rPr>
      <w:sz w:val="24"/>
      <w:szCs w:val="24"/>
    </w:rPr>
  </w:style>
  <w:style w:type="character" w:styleId="739" w:customStyle="1">
    <w:name w:val="Подзаголовок Знак"/>
    <w:basedOn w:val="724"/>
    <w:link w:val="738"/>
    <w:uiPriority w:val="11"/>
    <w:rPr>
      <w:sz w:val="24"/>
      <w:szCs w:val="24"/>
    </w:rPr>
  </w:style>
  <w:style w:type="paragraph" w:styleId="740">
    <w:name w:val="Quote"/>
    <w:basedOn w:val="714"/>
    <w:next w:val="714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4"/>
    <w:next w:val="714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4"/>
    <w:uiPriority w:val="99"/>
  </w:style>
  <w:style w:type="character" w:styleId="745" w:customStyle="1">
    <w:name w:val="Footer Char"/>
    <w:basedOn w:val="724"/>
    <w:uiPriority w:val="99"/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72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72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72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72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72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72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72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72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72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72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2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72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72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714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24"/>
    <w:uiPriority w:val="99"/>
    <w:unhideWhenUsed/>
    <w:rPr>
      <w:vertAlign w:val="superscript"/>
    </w:rPr>
  </w:style>
  <w:style w:type="paragraph" w:styleId="875">
    <w:name w:val="endnote text"/>
    <w:basedOn w:val="714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24"/>
    <w:uiPriority w:val="99"/>
    <w:semiHidden/>
    <w:unhideWhenUsed/>
    <w:rPr>
      <w:vertAlign w:val="superscript"/>
    </w:rPr>
  </w:style>
  <w:style w:type="paragraph" w:styleId="878">
    <w:name w:val="toc 1"/>
    <w:basedOn w:val="714"/>
    <w:next w:val="714"/>
    <w:uiPriority w:val="39"/>
    <w:unhideWhenUsed/>
    <w:pPr>
      <w:spacing w:after="57"/>
    </w:pPr>
  </w:style>
  <w:style w:type="paragraph" w:styleId="879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0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1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2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3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4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5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6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14"/>
    <w:next w:val="714"/>
    <w:uiPriority w:val="99"/>
    <w:unhideWhenUsed/>
    <w:pPr>
      <w:spacing w:after="0"/>
    </w:pPr>
  </w:style>
  <w:style w:type="paragraph" w:styleId="889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1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2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3" w:customStyle="1">
    <w:name w:val="МОН Знак"/>
    <w:link w:val="894"/>
    <w:rPr>
      <w:sz w:val="24"/>
      <w:szCs w:val="24"/>
    </w:rPr>
  </w:style>
  <w:style w:type="paragraph" w:styleId="894" w:customStyle="1">
    <w:name w:val="МОН"/>
    <w:basedOn w:val="714"/>
    <w:link w:val="893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5">
    <w:name w:val="Strong"/>
    <w:qFormat/>
    <w:rPr>
      <w:b/>
      <w:bCs/>
    </w:rPr>
  </w:style>
  <w:style w:type="paragraph" w:styleId="896">
    <w:name w:val="List Paragraph"/>
    <w:basedOn w:val="714"/>
    <w:qFormat/>
    <w:pPr>
      <w:contextualSpacing/>
      <w:ind w:left="720"/>
    </w:pPr>
  </w:style>
  <w:style w:type="character" w:styleId="897" w:customStyle="1">
    <w:name w:val="Основной текст_"/>
    <w:link w:val="898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8" w:customStyle="1">
    <w:name w:val="Основной текст2"/>
    <w:basedOn w:val="714"/>
    <w:link w:val="897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9">
    <w:name w:val="Body Text 2"/>
    <w:basedOn w:val="714"/>
    <w:link w:val="900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0" w:customStyle="1">
    <w:name w:val="Основной текст 2 Знак"/>
    <w:link w:val="899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1">
    <w:name w:val="Footer"/>
    <w:basedOn w:val="714"/>
    <w:link w:val="902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2" w:customStyle="1">
    <w:name w:val="Нижний колонтитул Знак"/>
    <w:link w:val="901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4" w:customStyle="1">
    <w:name w:val="3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6">
    <w:name w:val="Normal (Web)"/>
    <w:basedOn w:val="71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7">
    <w:name w:val="Body Text Indent"/>
    <w:basedOn w:val="714"/>
    <w:link w:val="908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8" w:customStyle="1">
    <w:name w:val="Основной текст с отступом Знак"/>
    <w:link w:val="907"/>
    <w:rPr>
      <w:rFonts w:ascii="Times New Roman" w:hAnsi="Times New Roman" w:eastAsia="Times New Roman" w:cs="Times New Roman"/>
      <w:sz w:val="24"/>
      <w:szCs w:val="24"/>
    </w:rPr>
  </w:style>
  <w:style w:type="character" w:styleId="909" w:customStyle="1">
    <w:name w:val="Заголовок 1 Знак"/>
    <w:link w:val="71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716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717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2">
    <w:name w:val="Table Grid"/>
    <w:basedOn w:val="72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>
    <w:name w:val="Balloon Text"/>
    <w:basedOn w:val="714"/>
    <w:link w:val="914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4" w:customStyle="1">
    <w:name w:val="Текст выноски Знак"/>
    <w:link w:val="913"/>
    <w:rPr>
      <w:rFonts w:ascii="Tahoma" w:hAnsi="Tahoma" w:eastAsia="Times New Roman" w:cs="Tahoma"/>
      <w:sz w:val="16"/>
      <w:szCs w:val="16"/>
      <w:lang w:eastAsia="ru-RU"/>
    </w:rPr>
  </w:style>
  <w:style w:type="paragraph" w:styleId="915">
    <w:name w:val="Header"/>
    <w:basedOn w:val="714"/>
    <w:link w:val="916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6" w:customStyle="1">
    <w:name w:val="Верхний колонтитул Знак"/>
    <w:link w:val="91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7">
    <w:name w:val="Emphasis"/>
    <w:qFormat/>
    <w:rPr>
      <w:i/>
      <w:iCs/>
    </w:rPr>
  </w:style>
  <w:style w:type="paragraph" w:styleId="918" w:customStyle="1">
    <w:name w:val="Содержимое таблицы"/>
    <w:basedOn w:val="714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9" w:customStyle="1">
    <w:name w:val="consplusnormal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 w:customStyle="1">
    <w:name w:val="15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 w:customStyle="1">
    <w:name w:val="h1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msonospacing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ac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>
    <w:name w:val="Body Text 3"/>
    <w:basedOn w:val="714"/>
    <w:link w:val="92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7" w:customStyle="1">
    <w:name w:val="Основной текст 3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HTML Bottom of Form"/>
    <w:basedOn w:val="714"/>
    <w:next w:val="714"/>
    <w:link w:val="92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9" w:customStyle="1">
    <w:name w:val="z-Конец формы Знак"/>
    <w:link w:val="928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0" w:customStyle="1">
    <w:name w:val="Style16"/>
    <w:basedOn w:val="714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Caption"/>
    <w:basedOn w:val="714"/>
    <w:next w:val="714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3">
    <w:name w:val="Body Text"/>
    <w:basedOn w:val="714"/>
    <w:link w:val="934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Основной текст Знак"/>
    <w:link w:val="93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Body Text Indent 2"/>
    <w:basedOn w:val="714"/>
    <w:link w:val="936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Основной текст с отступом 2 Знак"/>
    <w:link w:val="93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7" w:customStyle="1">
    <w:name w:val="Заголовок №2_"/>
    <w:link w:val="938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8" w:customStyle="1">
    <w:name w:val="Заголовок №2"/>
    <w:basedOn w:val="714"/>
    <w:link w:val="937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9">
    <w:name w:val="No Spacing"/>
    <w:qFormat/>
    <w:rPr>
      <w:sz w:val="22"/>
      <w:szCs w:val="22"/>
      <w:lang w:eastAsia="en-US"/>
    </w:rPr>
  </w:style>
  <w:style w:type="paragraph" w:styleId="940" w:customStyle="1">
    <w:name w:val="Default"/>
    <w:rPr>
      <w:rFonts w:ascii="Arial" w:hAnsi="Arial" w:cs="Arial"/>
      <w:color w:val="000000"/>
      <w:sz w:val="24"/>
      <w:szCs w:val="24"/>
    </w:rPr>
  </w:style>
  <w:style w:type="paragraph" w:styleId="941" w:customStyle="1">
    <w:name w:val="msonormalcxspmiddle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2" w:customStyle="1">
    <w:name w:val="Нет списка1"/>
    <w:next w:val="726"/>
    <w:semiHidden/>
    <w:unhideWhenUsed/>
  </w:style>
  <w:style w:type="table" w:styleId="943" w:customStyle="1">
    <w:name w:val="Сетка таблицы1"/>
    <w:basedOn w:val="725"/>
    <w:next w:val="91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 w:customStyle="1">
    <w:name w:val="Абзац списка1"/>
    <w:basedOn w:val="714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5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7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8" w:customStyle="1">
    <w:name w:val="Обычный (веб)18"/>
    <w:basedOn w:val="714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9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1" w:customStyle="1">
    <w:name w:val="Знак Знак2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3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>
    <w:name w:val="Body Text Indent 3"/>
    <w:basedOn w:val="714"/>
    <w:link w:val="95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6" w:customStyle="1">
    <w:name w:val="Основной текст с отступом 3 Знак"/>
    <w:link w:val="955"/>
    <w:uiPriority w:val="99"/>
    <w:semiHidden/>
    <w:rPr>
      <w:sz w:val="16"/>
      <w:szCs w:val="16"/>
    </w:rPr>
  </w:style>
  <w:style w:type="paragraph" w:styleId="957" w:customStyle="1">
    <w:name w:val="1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8">
    <w:name w:val="Hyperlink"/>
    <w:rPr>
      <w:strike w:val="0"/>
      <w:color w:val="808080"/>
      <w:u w:val="none"/>
    </w:rPr>
  </w:style>
  <w:style w:type="character" w:styleId="959" w:customStyle="1">
    <w:name w:val="blk"/>
  </w:style>
  <w:style w:type="character" w:styleId="960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1" w:customStyle="1">
    <w:name w:val="Знак Знак2 Знак Знак Знак Знак Знак Знак Знак Знак Знак Знак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4C684-06D7-4488-8F09-1DB9F876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8</cp:revision>
  <dcterms:created xsi:type="dcterms:W3CDTF">2025-11-12T12:02:00Z</dcterms:created>
  <dcterms:modified xsi:type="dcterms:W3CDTF">2025-11-19T09:52:25Z</dcterms:modified>
</cp:coreProperties>
</file>