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12.11.2025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1844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тверждении муниципальной программы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Физическая культура и спорт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</w:t>
      </w:r>
      <w:r>
        <w:rPr>
          <w:rFonts w:ascii="Times New Roman" w:hAnsi="Times New Roman"/>
          <w:sz w:val="24"/>
          <w:szCs w:val="24"/>
        </w:rPr>
        <w:t xml:space="preserve"> в соответствии с</w:t>
      </w:r>
      <w:r>
        <w:rPr>
          <w:rFonts w:ascii="Times New Roman" w:hAnsi="Times New Roman"/>
          <w:sz w:val="24"/>
          <w:szCs w:val="24"/>
        </w:rPr>
        <w:t xml:space="preserve"> Порядком разработки, </w:t>
      </w:r>
      <w:r>
        <w:rPr>
          <w:rFonts w:ascii="Times New Roman" w:hAnsi="Times New Roman"/>
          <w:sz w:val="24"/>
          <w:szCs w:val="24"/>
        </w:rPr>
        <w:t xml:space="preserve">реализации и оценки эффективности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муниципальных программ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утвержденн</w:t>
      </w:r>
      <w:r>
        <w:rPr>
          <w:rFonts w:ascii="Times New Roman" w:hAnsi="Times New Roman"/>
          <w:sz w:val="24"/>
          <w:szCs w:val="24"/>
        </w:rPr>
        <w:t xml:space="preserve">ым</w:t>
      </w:r>
      <w:r>
        <w:rPr>
          <w:rFonts w:ascii="Times New Roman" w:hAnsi="Times New Roman"/>
          <w:sz w:val="24"/>
          <w:szCs w:val="24"/>
        </w:rPr>
        <w:t xml:space="preserve"> постановлением администрации Печенгского муниципального </w:t>
      </w:r>
      <w:r>
        <w:rPr>
          <w:rFonts w:ascii="Times New Roman" w:hAnsi="Times New Roman"/>
          <w:sz w:val="24"/>
          <w:szCs w:val="24"/>
        </w:rPr>
        <w:t xml:space="preserve">округа от 1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1488</w:t>
      </w:r>
      <w:r>
        <w:rPr>
          <w:rFonts w:ascii="Times New Roman" w:hAnsi="Times New Roman"/>
          <w:sz w:val="24"/>
          <w:szCs w:val="24"/>
        </w:rPr>
        <w:t xml:space="preserve">, в</w:t>
      </w:r>
      <w:r>
        <w:rPr>
          <w:rFonts w:ascii="Times New Roman" w:hAnsi="Times New Roman"/>
          <w:sz w:val="24"/>
          <w:szCs w:val="24"/>
        </w:rPr>
        <w:t xml:space="preserve"> целях </w:t>
      </w:r>
      <w:r>
        <w:rPr>
          <w:rFonts w:ascii="Times New Roman" w:hAnsi="Times New Roman"/>
          <w:sz w:val="24"/>
          <w:szCs w:val="24"/>
        </w:rPr>
        <w:t xml:space="preserve">реализации государственной политики по эффективному развитию физической культуры и спорта,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Утвердить муниципальную программу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Физическая культура и спорт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/>
          <w:sz w:val="24"/>
          <w:szCs w:val="24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опубликовать в официальном издании газета «Печенга» и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</w:t>
      </w:r>
      <w:r>
        <w:rPr>
          <w:rFonts w:ascii="Times New Roman" w:hAnsi="Times New Roman"/>
          <w:sz w:val="24"/>
          <w:szCs w:val="24"/>
        </w:rPr>
        <w:t xml:space="preserve">оставляю за собой.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Хорошилова Е.А.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 5-05-72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5103" w:leader="none"/>
          <w:tab w:val="left" w:pos="5387" w:leader="none"/>
        </w:tabs>
        <w:rPr>
          <w:rFonts w:ascii="Times New Roman" w:hAnsi="Times New Roman"/>
          <w:i/>
          <w:color w:val="0000ff"/>
          <w:sz w:val="20"/>
          <w:szCs w:val="20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12.11.2025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1844</w:t>
      </w:r>
      <w:r>
        <w:rPr>
          <w:rFonts w:ascii="Times New Roman" w:hAnsi="Times New Roman"/>
          <w:i/>
          <w:color w:val="0000ff"/>
          <w:sz w:val="20"/>
          <w:szCs w:val="20"/>
        </w:rPr>
      </w:r>
      <w:r>
        <w:rPr>
          <w:rFonts w:ascii="Times New Roman" w:hAnsi="Times New Roman"/>
          <w:i/>
          <w:color w:val="0000ff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  <w:highlight w:val="yellow"/>
        </w:rPr>
        <w:outlineLvl w:val="1"/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8"/>
          <w:szCs w:val="28"/>
        </w:rPr>
        <w:outlineLvl w:val="1"/>
      </w:pPr>
      <w:r>
        <w:rPr>
          <w:rFonts w:ascii="Times New Roman" w:hAnsi="Times New Roman"/>
          <w:b/>
          <w:sz w:val="28"/>
          <w:szCs w:val="28"/>
        </w:rPr>
        <w:t xml:space="preserve">«</w:t>
      </w:r>
      <w:r>
        <w:rPr>
          <w:rFonts w:ascii="Times New Roman" w:hAnsi="Times New Roman"/>
          <w:b/>
          <w:sz w:val="28"/>
          <w:szCs w:val="28"/>
        </w:rPr>
        <w:t xml:space="preserve">Физическая культура и спорт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bookmarkStart w:id="0" w:name="_GoBack"/>
      <w:r/>
      <w:bookmarkEnd w:id="0"/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 реализации: 2026 - 2028 годы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Ответственный исполнитель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Отдел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культуры, спорта и молодежной политики администрации Печенгского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  <w:outlineLvl w:val="1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1" w:name="P366"/>
      <w:r/>
      <w:bookmarkEnd w:id="1"/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  <w:t xml:space="preserve">ПАСПОРТ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u w:val="single"/>
          <w:lang w:eastAsia="ru-RU"/>
        </w:rPr>
      </w:pP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Физическая культура и спорт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  <w:r>
        <w:rPr>
          <w:rFonts w:ascii="Times New Roman" w:hAnsi="Times New Roman" w:eastAsia="Times New Roman"/>
          <w:b/>
          <w:sz w:val="24"/>
          <w:u w:val="singl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300" w:leader="none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оздание условий, обеспечивающих возможность гражданам систематически заниматься физической культурой и спортом путем популяризации массового и детско-юношеского спорта и приобщения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различных слоев общества к регулярным занятиям физической культурой и спортом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82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направлений (подпрограмм)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483 123 540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442 328 400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147 324 100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147 235 600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147 768 700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695 140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898 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898 38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898 38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38 100 000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12 200 000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00 000,00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200 000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рублей.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Ожидаемые результаты реализации муниципальной программы к 2029 году: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 доля граждан, систематически занимающихся физической культурой и спортом – 74,0 %;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доля обучающихся, систематически занимающихся физической культурой и спортом, в общей численности обучающихся – 99,98 %;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уровень обеспеченности граждан спортивными сооружениями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исходя из единовременной пропускной способности объектов спорта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– 95,8 %;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 – 1 ед.;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количество соревнований (муниципальных, областных, общероссийских, международных), спортивно-массовых мероприятий, в которых обеспечено участие спортсменов Печен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гского муниципального округа – 8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 ед.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азработ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ана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2026 году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проектно-сметн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документаци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с прохождением государственной экспертизы на строительство канатной дороги в п. Никель (горнолыжный склон)</w:t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Arial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культуры, спорта и молодежной политики администрации Печенгского муницип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ального округа (далее – Отдел КС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иМП)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КС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иМП,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тдел образования администрации Печенгского муниципального округа (далее – Отдел образования)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униципальное бюджетное учреждение дополнительного образования «Детско-юношеская спортивная школа» (далее – МБУ ДО «ДЮСШ»)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pStyle w:val="89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Государственная программа Мурманской области «Физическая культура и спорт»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pStyle w:val="902"/>
        <w:ind w:left="1080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902"/>
        <w:numPr>
          <w:ilvl w:val="0"/>
          <w:numId w:val="16"/>
        </w:numPr>
        <w:ind w:left="0" w:firstLine="0"/>
        <w:jc w:val="center"/>
        <w:spacing w:after="0" w:line="240" w:lineRule="auto"/>
        <w:tabs>
          <w:tab w:val="left" w:pos="567" w:leader="none"/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Приоритеты 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задачи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муниципального управления в сфере реализации муниципальной программы «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Физическая культура и спорт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»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документами, определяющими стратегию развития физической культуры и спорта в Печенгском муниципальном округе, являются: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Указ Президента Российской Федерации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 мая 2024 г.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309 </w:t>
        <w:br/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 национальных целях развития Российской Федерации на период до 2030 года и на перспективу до 2036 года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hyperlink r:id="rId11" w:tooltip="https://login.consultant.ru/link/?req=doc&amp;base=LAW&amp;n=493625&amp;dst=100009&amp;field=134&amp;date=02.10.2025" w:history="1">
        <w:r>
          <w:rPr>
            <w:rFonts w:ascii="Times New Roman" w:hAnsi="Times New Roman" w:eastAsia="Times New Roman"/>
            <w:sz w:val="24"/>
            <w:szCs w:val="24"/>
            <w:lang w:eastAsia="ru-RU"/>
          </w:rPr>
          <w:t xml:space="preserve">Стратеги</w:t>
        </w:r>
        <w:r>
          <w:rPr>
            <w:rFonts w:ascii="Times New Roman" w:hAnsi="Times New Roman" w:eastAsia="Times New Roman"/>
            <w:sz w:val="24"/>
            <w:szCs w:val="24"/>
            <w:lang w:eastAsia="ru-RU"/>
          </w:rPr>
          <w:t xml:space="preserve">я</w:t>
        </w:r>
      </w:hyperlink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развития физической культуры и спорта в Российской Ф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едерации на период до 2030 года, утвержденная Распоряжением Правительства Российской Федерации от 24.11.2020 № 3081-р;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прогноз социально-экономического развития Печенгского муниципального округа;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иные нормативные правовые документы федерального и регионального законодательства органов исполнительной власти, касающихся управления в сфере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развития физической культуры и спорта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В соответствии с указанными программными документами к числу приоритетных направлений развития физической культуры и спорта относятся: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вовлечение граждан, прежде всего детей и молодежи, в регулярные занятия физической культурой и массовым спортом;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895"/>
        <w:ind w:firstLine="709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популяризация физической культуры и спорта среди различных групп населения, в том числе среди инвалидов, лиц с ограниченными возможностями здоровья;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ind w:firstLine="709"/>
        <w:jc w:val="both"/>
        <w:tabs>
          <w:tab w:val="left" w:pos="709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организация физкультурно-спорти</w:t>
      </w:r>
      <w:r>
        <w:rPr>
          <w:rFonts w:ascii="Times New Roman" w:hAnsi="Times New Roman" w:cs="Times New Roman"/>
          <w:sz w:val="24"/>
          <w:szCs w:val="24"/>
        </w:rPr>
        <w:t xml:space="preserve">вной работы по месту жительства </w:t>
      </w:r>
      <w:r>
        <w:rPr>
          <w:rFonts w:ascii="Times New Roman" w:hAnsi="Times New Roman" w:cs="Times New Roman"/>
          <w:sz w:val="24"/>
          <w:szCs w:val="24"/>
        </w:rPr>
        <w:t xml:space="preserve">и месту отдыха граждан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ab/>
        <w:t xml:space="preserve">по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вышение уровня физической подготовленности населения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Печенгского муниципального округа;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повышение доступности объектов спорта, в том числе на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отдаленных территориях Печенгского муниципального округа, а также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для лиц с ограниченными возможностями здоровья и инвалидов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Целью мун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иципальн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ой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программ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ы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«Физическая культура и спорт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на 2026 - 2028 годы (далее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- Пр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ограмма)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в трехлетней перспективе является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оздание условий, обеспечивающих возможность гражданам систематически заниматься физической культурой и спортом путем популяризации массового и детско-юношеского спорта и приобщения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различных слоев общества к регулярным занятиям физической культурой и спортом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достижения цели Программы </w:t>
      </w:r>
      <w:r>
        <w:rPr>
          <w:rFonts w:ascii="Times New Roman" w:hAnsi="Times New Roman"/>
          <w:sz w:val="24"/>
          <w:szCs w:val="24"/>
        </w:rPr>
        <w:t xml:space="preserve">необходимо решить </w:t>
      </w:r>
      <w:r>
        <w:rPr>
          <w:rFonts w:ascii="Times New Roman" w:hAnsi="Times New Roman"/>
          <w:sz w:val="24"/>
          <w:szCs w:val="24"/>
        </w:rPr>
        <w:t xml:space="preserve">следующие задачи: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5"/>
        <w:ind w:firstLine="709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привлечения граждан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в том числе инвалидов, лиц с ограниченными возможностями здоровья,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систематическим занятиям физической культурой и спортом;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ind w:firstLine="709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детей и молодежи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услугами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образования в сфере физической культуры и спорта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обеспечение </w:t>
      </w:r>
      <w:r>
        <w:rPr>
          <w:rFonts w:ascii="Times New Roman" w:hAnsi="Times New Roman"/>
          <w:sz w:val="24"/>
          <w:szCs w:val="24"/>
        </w:rPr>
        <w:t xml:space="preserve">доступности спортивной инфраструктуры для всех категорий и групп населения </w:t>
      </w:r>
      <w:r>
        <w:rPr>
          <w:rFonts w:ascii="Times New Roman" w:hAnsi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поставленных задач обеспечивается посредством реализации системы мероприятий, предусмотренных </w:t>
      </w:r>
      <w:r>
        <w:rPr>
          <w:rFonts w:ascii="Times New Roman" w:hAnsi="Times New Roman"/>
          <w:sz w:val="24"/>
          <w:szCs w:val="24"/>
        </w:rPr>
        <w:t xml:space="preserve">Программой.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/>
      <w:bookmarkStart w:id="2" w:name="P446"/>
      <w:r/>
      <w:bookmarkEnd w:id="2"/>
      <w:r>
        <w:rPr>
          <w:rFonts w:ascii="Times New Roman" w:hAnsi="Times New Roman" w:eastAsia="Times New Roman"/>
          <w:b/>
          <w:sz w:val="24"/>
          <w:lang w:eastAsia="ru-RU"/>
        </w:rPr>
        <w:t xml:space="preserve">2. </w:t>
      </w:r>
      <w:r>
        <w:rPr>
          <w:rFonts w:ascii="Times New Roman" w:hAnsi="Times New Roman" w:eastAsia="Times New Roman"/>
          <w:b/>
          <w:sz w:val="24"/>
          <w:lang w:eastAsia="ru-RU"/>
        </w:rPr>
        <w:t xml:space="preserve">Перечень показателей муниципальной программы</w:t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lang w:eastAsia="ru-RU"/>
        </w:rPr>
      </w:pP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  <w:r>
        <w:rPr>
          <w:rFonts w:ascii="Times New Roman" w:hAnsi="Times New Roman" w:eastAsia="Times New Roman"/>
          <w:b/>
          <w:sz w:val="24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4732"/>
        <w:gridCol w:w="992"/>
        <w:gridCol w:w="1134"/>
        <w:gridCol w:w="1134"/>
        <w:gridCol w:w="1134"/>
        <w:gridCol w:w="1134"/>
        <w:gridCol w:w="1134"/>
        <w:gridCol w:w="1165"/>
        <w:gridCol w:w="138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направления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(подпрограммы), цели, показатели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 изм.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ность показателя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Значение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Соисполнитель,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за достижение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2025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оценка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0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946" w:type="dxa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«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Физическая культура и спорт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  <w:p>
            <w:pPr>
              <w:spacing w:after="0" w:line="288" w:lineRule="atLeast"/>
              <w:rPr>
                <w:rFonts w:ascii="Times New Roman" w:hAnsi="Times New Roman" w:eastAsia="Times New Roman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Цель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Соз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дание условий, обеспечивающих возможность гражданам систематически заниматься физической культурой и спортом путем популяризации массового и детско-юношеского спорта и приобщения различных слоев общества к регулярным занятиям физической культурой и спортом</w:t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50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граждан, систематически занимающихся физической культурой и спортом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68,0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71,0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72,5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КСиМП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50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Доля обучающихся, систематически занимающихся физической культурой и спортом, в общей численности обучающихся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99,9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99,95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99,96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99,98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99,98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КСиМП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5"/>
        </w:trPr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50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Уровень обеспеченности граждан спортивными сооружениями </w:t>
            </w:r>
            <w:r>
              <w:t xml:space="preserve">исходя из единовременной пропускной способности объектов спорта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92,5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92,8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93,8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94,8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95,8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КСиМП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3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50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учреждений</w:t>
            </w:r>
            <w:r>
              <w:rPr>
                <w:lang w:eastAsia="en-US"/>
              </w:rPr>
              <w:t xml:space="preserve"> сферы физической культуры и</w:t>
            </w:r>
            <w:r>
              <w:rPr>
                <w:lang w:eastAsia="en-US"/>
              </w:rPr>
              <w:t xml:space="preserve"> спорта, </w:t>
            </w:r>
            <w:r>
              <w:rPr>
                <w:lang w:eastAsia="en-US"/>
              </w:rPr>
              <w:t xml:space="preserve">в</w:t>
            </w:r>
            <w:r>
              <w:rPr>
                <w:lang w:eastAsia="en-US"/>
              </w:rPr>
              <w:t xml:space="preserve">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образования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50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</w:t>
            </w:r>
            <w:r>
              <w:rPr>
                <w:lang w:eastAsia="en-US"/>
              </w:rPr>
              <w:t xml:space="preserve">соревнований</w:t>
            </w:r>
            <w:r>
              <w:rPr>
                <w:lang w:eastAsia="en-US"/>
              </w:rPr>
              <w:t xml:space="preserve"> (муниципальных, областных, общероссийских, международных)</w:t>
            </w:r>
            <w:r>
              <w:rPr>
                <w:lang w:eastAsia="en-US"/>
              </w:rPr>
              <w:t xml:space="preserve">, спортивно-массовых мероприятий, </w:t>
            </w:r>
            <w:r>
              <w:rPr>
                <w:lang w:eastAsia="en-US"/>
              </w:rPr>
              <w:t xml:space="preserve">в которых обеспечено участие </w:t>
            </w:r>
            <w:r>
              <w:rPr>
                <w:lang w:eastAsia="en-US"/>
              </w:rPr>
              <w:t xml:space="preserve">спортсменов Печенгского муниципального округа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КСиМП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 образования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732" w:type="dxa"/>
            <w:textDirection w:val="lrTb"/>
            <w:noWrap w:val="false"/>
          </w:tcPr>
          <w:p>
            <w:pPr>
              <w:pStyle w:val="950"/>
              <w:ind w:left="0"/>
              <w:jc w:val="both"/>
              <w:tabs>
                <w:tab w:val="left" w:pos="317" w:leader="none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Р</w:t>
            </w:r>
            <w:r>
              <w:rPr>
                <w:lang w:eastAsia="en-US"/>
              </w:rPr>
              <w:t xml:space="preserve">азработк</w:t>
            </w:r>
            <w:r>
              <w:rPr>
                <w:lang w:eastAsia="en-US"/>
              </w:rPr>
              <w:t xml:space="preserve">а</w:t>
            </w:r>
            <w:r>
              <w:rPr>
                <w:lang w:eastAsia="en-US"/>
              </w:rPr>
              <w:t xml:space="preserve"> проектно-сметной документации с прохождением государственной экспертизы на строительство канатной дороги в п. Никель (горнолыжный склон)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65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ДО «ДЮСШ»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/>
      <w:bookmarkStart w:id="3" w:name="p125"/>
      <w:r/>
      <w:bookmarkEnd w:id="3"/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Направленность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показателя обозначается: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 1 – направленность на рост;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(-1) – направленность на снижение;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0 – направленность на достижение конкретного значения.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442" w:type="dxa"/>
        <w:tblInd w:w="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77"/>
        <w:gridCol w:w="1276"/>
        <w:gridCol w:w="1842"/>
        <w:gridCol w:w="7088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«Привлечение населения Печенгского муниципального округа к систематическим занятиям физической культурой и спортом»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426" w:leader="none"/>
              </w:tabs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систематически занимающихся физической культурой и спортом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426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Уровень обеспеченности граждан спортивными сооружениями исходя из единовременной пропускной способности объектов спорта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tabs>
                <w:tab w:val="left" w:pos="426" w:leader="none"/>
              </w:tabs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Развитие физической культуры 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массового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спорта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textDirection w:val="lrTb"/>
            <w:noWrap w:val="false"/>
          </w:tcPr>
          <w:p>
            <w:pPr>
              <w:pStyle w:val="902"/>
              <w:numPr>
                <w:ilvl w:val="1"/>
                <w:numId w:val="17"/>
              </w:numPr>
              <w:ind w:left="7" w:hanging="7"/>
              <w:jc w:val="both"/>
              <w:spacing w:after="0" w:line="240" w:lineRule="auto"/>
              <w:tabs>
                <w:tab w:val="left" w:pos="215" w:leader="none"/>
                <w:tab w:val="left" w:pos="426" w:leader="none"/>
              </w:tabs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систематически занимающихся физической культурой и спортом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426" w:leader="none"/>
              </w:tabs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Доля обучающихся, систематически занимающихся физической культурой и спортом, в общей численности обучающихся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426" w:leader="none"/>
              </w:tabs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0.3 Уровень обеспеченности граждан спортивными сооружениями исходя из единовременной пропускной способности объектов спорта.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tabs>
                <w:tab w:val="left" w:pos="426" w:leader="none"/>
              </w:tabs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Количество соревнований (муниципальных, областных, общероссийских, международных), спортивно-массовых мероприятий, в которых обеспечено участие спортсменов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  <w:t xml:space="preserve">Комплекс проектных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«Реализация мероприятий по строительству, реконструкции, модернизации и приобретению спортивных объектов Печенгского округа»</w:t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i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8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426" w:leader="none"/>
              </w:tabs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.6.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азработк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проектно-сметной документации с прохождением государственной экспертизы на строительство канатной дороги в п. Никель (горнолыжный склон)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b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мер налогового регулирования (налоговых расходов) в сфере реализации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88" w:lineRule="atLeast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1473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403"/>
        <w:gridCol w:w="1276"/>
        <w:gridCol w:w="1276"/>
        <w:gridCol w:w="1276"/>
        <w:gridCol w:w="2835"/>
        <w:gridCol w:w="411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меры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382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 выпадающих доходов бюджета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круга (руб.)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Основание применения меры налогового регулирования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Цель применения меры, связь с показателями муниципальной программы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План/оценка/факт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Освобождение от уплаты земельного налога организаци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и учреждени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спорта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финансируемых из бюджета муниципального образования Печенгский муниципальный округ, 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отношении земельных участков, предоставленных для непосредственного выполнения возложенных на эти учреждения функций, от уплаты земельного налога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208 897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208 897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208 897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Подпункт 4.1 пункта 4 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ешени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Совета депутатов Печенгского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униципального округа </w:t>
              <w:br/>
              <w:t xml:space="preserve">от 23.10.2020 № 39 «Об установлении земельного налога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 территории муниципального образования Печенгский муниципальный округ Мурманской области» (в редакции от 22.11.2024)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0.4 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542"/>
        <w:gridCol w:w="1134"/>
        <w:gridCol w:w="1134"/>
        <w:gridCol w:w="1559"/>
        <w:gridCol w:w="1560"/>
        <w:gridCol w:w="1559"/>
        <w:gridCol w:w="156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3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программа 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«Физическая культура и спорт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b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483 123 540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160 422 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480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160 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833 980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161 867 080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442 328 400,00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147 324 100,00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147 235 600,00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147 768 700,00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2 695 140,00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38 100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 000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12 200 000,00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 200 000,00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10 500 000,00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3 500 000,00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3 500 000,00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3 500 000,00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10 500 000,00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3 500 000,00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3 500 000,00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3 500 000,00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472 623 540,00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156 622 480,00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157 333 980,00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158 367 080,00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431 828 400,00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143 824 100,00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143 735 600,00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144 268 700,00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2 695 140,00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38 100 000,00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12 200 000,00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12 700 000,00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13 200 000,00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 </w:t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color w:val="ff0000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«Привлечение населения Печенгского муниципального округа к систематическим занятиям физической культурой и спортом»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472 273 540,00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156 472 480,00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157 383 980,00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158 417 080,00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431 478 400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143 374 1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143 785 600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144 318 700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2 695 140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898 38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898 380,00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ВБС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38 1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12 200 000,00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12 7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00 000,00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 200 000,00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«Развитие физичес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кой культуры и массового спорта»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10 850 000,00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3 950 000,00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3 450 000,00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3 450 000,00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10 850 000,00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3 950 000,00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3 450 000,00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3 450 000,00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   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проектных мероприятий 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«Реализация мероприятий по строительству, реконструкции, модернизации и приобретению спортивных объектов Печенгского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tcW w:w="18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ДО «ДЮСШ»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562" w:type="dxa"/>
            <w:vAlign w:val="center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Механизмы управления рисками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49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570"/>
        <w:gridCol w:w="3389"/>
        <w:gridCol w:w="3122"/>
        <w:gridCol w:w="3214"/>
        <w:gridCol w:w="173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Правовой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Утеря актуальности поставленных задач и запланированных мероприятий (результатов), а также необходимость включения новых направлений деятельности, что окажет влияние на конечные результаты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Мониторинг федерального и регионального законодательства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Оперативное принятие муниципальных нормативных правовых актов с целью приведения нормативно-методической базы Программы в соответствие с государственной политикой на федеральном и региональном уровнях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Финансовый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Недостижение запланированных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рограммы, невыполнение мероприятий результатов в срок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ind w:right="141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Сбалансированное 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Недостаточный интерес населения Печенгского округа к проводимым мероприятиям и к систематическим занятиям физической культурой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Недостижение установленных  значений показателей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pStyle w:val="912"/>
              <w:jc w:val="both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ведомственного мониторинга за спросом населения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12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Внедрение новых форм проведения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Постоянно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8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Отток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ысококвалифицированных кадров сферы физической культуры и спорта и спортсменов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71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Некачественное выполнение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79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Учет высококлассных специалистов.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2"/>
              <w:jc w:val="both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Внедрение дополнительных механизмов стимулирования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11" w:type="pct"/>
            <w:textDirection w:val="lrTb"/>
            <w:noWrap w:val="false"/>
          </w:tcPr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Подготовка новых специалистов, повышение квалификации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ind w:right="142"/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3" w:right="678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Порядок взаимодействия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Ответственного исполнителя, Соисполнителей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и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участников муниципальной п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рограммы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spacing w:after="0" w:line="240" w:lineRule="auto"/>
        <w:rPr>
          <w:highlight w:val="yellow"/>
        </w:rPr>
      </w:pPr>
      <w:r/>
      <w:bookmarkStart w:id="4" w:name="Par3713"/>
      <w:r/>
      <w:bookmarkEnd w:id="4"/>
      <w:r>
        <w:rPr>
          <w:highlight w:val="yellow"/>
        </w:rPr>
      </w:r>
      <w:r>
        <w:rPr>
          <w:highlight w:val="yellow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Мониторинг и контроль реализации муниципальной программы осуществляется </w:t>
      </w:r>
      <w:r>
        <w:rPr>
          <w:rFonts w:ascii="Times New Roman" w:hAnsi="Times New Roman"/>
          <w:sz w:val="24"/>
          <w:szCs w:val="24"/>
        </w:rPr>
        <w:t xml:space="preserve">ответственным </w:t>
      </w:r>
      <w:r>
        <w:rPr>
          <w:rFonts w:ascii="Times New Roman" w:hAnsi="Times New Roman"/>
          <w:sz w:val="24"/>
          <w:szCs w:val="24"/>
        </w:rPr>
        <w:t xml:space="preserve">исполнителем программы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Отделом</w:t>
      </w:r>
      <w:r>
        <w:rPr>
          <w:rFonts w:ascii="Times New Roman" w:hAnsi="Times New Roman"/>
          <w:sz w:val="24"/>
          <w:szCs w:val="24"/>
        </w:rPr>
        <w:t xml:space="preserve"> культуры, спорта и молодежной политики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который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об</w:t>
      </w:r>
      <w:r>
        <w:rPr>
          <w:rFonts w:ascii="Times New Roman" w:hAnsi="Times New Roman" w:eastAsia="Times New Roman"/>
          <w:sz w:val="24"/>
          <w:lang w:eastAsia="ru-RU"/>
        </w:rPr>
        <w:t xml:space="preserve">еспечивает совместно с Соисполнителями разработку проекта Программы, проектов постановлений Администрации об утверждении муниципальной программы и (или) о внесении изменений в муниципальную программу и их согласование в соответствии с требованиями Порядка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1488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(далее – Порядок);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осуществляет мониторинг реализации муниципальной программы и подготовку отчетов о ходе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соответствии с требованиями Порядка.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Соисполнители муниципальной программы</w:t>
      </w:r>
      <w:r>
        <w:rPr>
          <w:rFonts w:ascii="Times New Roman" w:hAnsi="Times New Roman" w:eastAsia="Times New Roman"/>
          <w:sz w:val="24"/>
          <w:lang w:eastAsia="ru-RU"/>
        </w:rPr>
        <w:t xml:space="preserve">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  <w:t xml:space="preserve">обеспечива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</w:t>
      </w:r>
      <w:r>
        <w:rPr>
          <w:rFonts w:ascii="Times New Roman" w:hAnsi="Times New Roman" w:eastAsia="Times New Roman"/>
          <w:sz w:val="24"/>
          <w:lang w:eastAsia="ru-RU"/>
        </w:rPr>
        <w:t xml:space="preserve"> разработку и реализацию комплексов процессных мероприятий муниципальной программы, в отношении которых являются соисполнителями;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нес</w:t>
      </w:r>
      <w:r>
        <w:rPr>
          <w:rFonts w:ascii="Times New Roman" w:hAnsi="Times New Roman" w:eastAsia="Times New Roman"/>
          <w:sz w:val="24"/>
          <w:lang w:eastAsia="ru-RU"/>
        </w:rPr>
        <w:t xml:space="preserve">у</w:t>
      </w:r>
      <w:r>
        <w:rPr>
          <w:rFonts w:ascii="Times New Roman" w:hAnsi="Times New Roman" w:eastAsia="Times New Roman"/>
          <w:sz w:val="24"/>
          <w:lang w:eastAsia="ru-RU"/>
        </w:rPr>
        <w:t xml:space="preserve">т</w:t>
      </w:r>
      <w:r>
        <w:rPr>
          <w:rFonts w:ascii="Times New Roman" w:hAnsi="Times New Roman" w:eastAsia="Times New Roman"/>
          <w:sz w:val="24"/>
          <w:lang w:eastAsia="ru-RU"/>
        </w:rPr>
        <w:t xml:space="preserve"> ответственность за достижение плановых значений показателей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 в части, </w:t>
      </w:r>
      <w:r>
        <w:rPr>
          <w:rFonts w:ascii="Times New Roman" w:hAnsi="Times New Roman" w:eastAsia="Times New Roman"/>
          <w:sz w:val="24"/>
          <w:lang w:eastAsia="ru-RU"/>
        </w:rPr>
        <w:t xml:space="preserve">их </w:t>
      </w:r>
      <w:r>
        <w:rPr>
          <w:rFonts w:ascii="Times New Roman" w:hAnsi="Times New Roman" w:eastAsia="Times New Roman"/>
          <w:sz w:val="24"/>
          <w:lang w:eastAsia="ru-RU"/>
        </w:rPr>
        <w:t xml:space="preserve">касающейся;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формиру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 предложения по разработке проекта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внесению изменений в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муниципальную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рограмму;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в пределах своей компетенции участву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</w:t>
      </w:r>
      <w:r>
        <w:rPr>
          <w:rFonts w:ascii="Times New Roman" w:hAnsi="Times New Roman" w:eastAsia="Times New Roman"/>
          <w:sz w:val="24"/>
          <w:lang w:eastAsia="ru-RU"/>
        </w:rPr>
        <w:t xml:space="preserve"> в разработке плана реализации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рограммы, направля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 </w:t>
      </w:r>
      <w:r>
        <w:rPr>
          <w:rFonts w:ascii="Times New Roman" w:hAnsi="Times New Roman" w:eastAsia="Times New Roman"/>
          <w:sz w:val="24"/>
          <w:lang w:eastAsia="ru-RU"/>
        </w:rPr>
        <w:t xml:space="preserve">Отделу КСиМП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соответствующие предложения;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lang w:eastAsia="ru-RU"/>
        </w:rPr>
        <w:tab/>
      </w:r>
      <w:r>
        <w:rPr>
          <w:rFonts w:ascii="Times New Roman" w:hAnsi="Times New Roman" w:eastAsia="Times New Roman"/>
          <w:sz w:val="24"/>
          <w:lang w:eastAsia="ru-RU"/>
        </w:rPr>
        <w:t xml:space="preserve">представля</w:t>
      </w:r>
      <w:r>
        <w:rPr>
          <w:rFonts w:ascii="Times New Roman" w:hAnsi="Times New Roman" w:eastAsia="Times New Roman"/>
          <w:sz w:val="24"/>
          <w:lang w:eastAsia="ru-RU"/>
        </w:rPr>
        <w:t xml:space="preserve">ю</w:t>
      </w:r>
      <w:r>
        <w:rPr>
          <w:rFonts w:ascii="Times New Roman" w:hAnsi="Times New Roman" w:eastAsia="Times New Roman"/>
          <w:sz w:val="24"/>
          <w:lang w:eastAsia="ru-RU"/>
        </w:rPr>
        <w:t xml:space="preserve">т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в </w:t>
      </w:r>
      <w:r>
        <w:rPr>
          <w:rFonts w:ascii="Times New Roman" w:hAnsi="Times New Roman" w:eastAsia="Times New Roman"/>
          <w:sz w:val="24"/>
          <w:lang w:eastAsia="ru-RU"/>
        </w:rPr>
        <w:t xml:space="preserve">Отдел КСиМП</w:t>
      </w:r>
      <w:r>
        <w:rPr>
          <w:rFonts w:ascii="Times New Roman" w:hAnsi="Times New Roman" w:eastAsia="Times New Roman"/>
          <w:sz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lang w:eastAsia="ru-RU"/>
        </w:rPr>
        <w:t xml:space="preserve">в электронном виде в срок</w:t>
      </w:r>
      <w:r>
        <w:rPr>
          <w:rFonts w:ascii="Times New Roman" w:hAnsi="Times New Roman" w:eastAsia="Times New Roman"/>
          <w:sz w:val="24"/>
          <w:lang w:eastAsia="ru-RU"/>
        </w:rPr>
        <w:t xml:space="preserve"> и по формам, у</w:t>
      </w:r>
      <w:r>
        <w:rPr>
          <w:rFonts w:ascii="Times New Roman" w:hAnsi="Times New Roman" w:eastAsia="Times New Roman"/>
          <w:sz w:val="24"/>
          <w:lang w:eastAsia="ru-RU"/>
        </w:rPr>
        <w:t xml:space="preserve">становленны</w:t>
      </w:r>
      <w:r>
        <w:rPr>
          <w:rFonts w:ascii="Times New Roman" w:hAnsi="Times New Roman" w:eastAsia="Times New Roman"/>
          <w:sz w:val="24"/>
          <w:lang w:eastAsia="ru-RU"/>
        </w:rPr>
        <w:t xml:space="preserve">м</w:t>
      </w:r>
      <w:r>
        <w:rPr>
          <w:rFonts w:ascii="Times New Roman" w:hAnsi="Times New Roman" w:eastAsia="Times New Roman"/>
          <w:sz w:val="24"/>
          <w:lang w:eastAsia="ru-RU"/>
        </w:rPr>
        <w:t xml:space="preserve"> Порядком</w:t>
      </w:r>
      <w:r>
        <w:rPr>
          <w:rFonts w:ascii="Times New Roman" w:hAnsi="Times New Roman" w:eastAsia="Times New Roman"/>
          <w:sz w:val="24"/>
          <w:lang w:eastAsia="ru-RU"/>
        </w:rPr>
        <w:t xml:space="preserve">, всю </w:t>
      </w:r>
      <w:r>
        <w:rPr>
          <w:rFonts w:ascii="Times New Roman" w:hAnsi="Times New Roman" w:eastAsia="Times New Roman"/>
          <w:sz w:val="24"/>
          <w:lang w:eastAsia="ru-RU"/>
        </w:rPr>
        <w:t xml:space="preserve">необходимую информацию для проведения мониторинга и оценки эффективности </w:t>
      </w:r>
      <w:r>
        <w:rPr>
          <w:rFonts w:ascii="Times New Roman" w:hAnsi="Times New Roman" w:eastAsia="Times New Roman"/>
          <w:sz w:val="24"/>
          <w:lang w:eastAsia="ru-RU"/>
        </w:rPr>
        <w:t xml:space="preserve">муниципальной п</w:t>
      </w:r>
      <w:r>
        <w:rPr>
          <w:rFonts w:ascii="Times New Roman" w:hAnsi="Times New Roman" w:eastAsia="Times New Roman"/>
          <w:sz w:val="24"/>
          <w:lang w:eastAsia="ru-RU"/>
        </w:rPr>
        <w:t xml:space="preserve">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Участники муниципальной программы: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 осуществляют реализацию мероприятий муниципальной программы, участниками которых они являются;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 представляют ответственному исполнителю муницип</w:t>
      </w:r>
      <w:r>
        <w:rPr>
          <w:rFonts w:ascii="Times New Roman" w:hAnsi="Times New Roman" w:eastAsia="Times New Roman"/>
          <w:sz w:val="24"/>
          <w:lang w:eastAsia="ru-RU"/>
        </w:rP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- 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p>
      <w:pPr>
        <w:ind w:firstLine="56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lang w:eastAsia="ru-RU"/>
        </w:rPr>
        <w:sectPr>
          <w:footnotePr/>
          <w:endnotePr/>
          <w:type w:val="nextPage"/>
          <w:pgSz w:w="11905" w:h="16838" w:orient="portrait"/>
          <w:pgMar w:top="851" w:right="706" w:bottom="1701" w:left="1418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  <w:r>
        <w:rPr>
          <w:rFonts w:ascii="Times New Roman" w:hAnsi="Times New Roman" w:eastAsia="Times New Roman"/>
          <w:sz w:val="24"/>
          <w:lang w:eastAsia="ru-RU"/>
        </w:rPr>
      </w:r>
    </w:p>
    <w:tbl>
      <w:tblPr>
        <w:tblW w:w="222" w:type="dxa"/>
        <w:tblInd w:w="10728" w:type="dxa"/>
        <w:tblLook w:val="01E0" w:firstRow="1" w:lastRow="1" w:firstColumn="1" w:lastColumn="1" w:noHBand="0" w:noVBand="0"/>
      </w:tblPr>
      <w:tblGrid>
        <w:gridCol w:w="222"/>
      </w:tblGrid>
      <w:tr>
        <w:tblPrEx/>
        <w:trPr/>
        <w:tc>
          <w:tcPr>
            <w:shd w:val="clear" w:color="auto" w:fill="auto"/>
            <w:tcW w:w="22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highlight w:val="yellow"/>
              </w:rPr>
            </w:r>
          </w:p>
        </w:tc>
      </w:tr>
    </w:tbl>
    <w:p>
      <w:pPr>
        <w:ind w:firstLine="709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. С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ведения об источниках и методике расчета значений показателей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445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977"/>
        <w:gridCol w:w="1134"/>
        <w:gridCol w:w="1559"/>
        <w:gridCol w:w="3261"/>
        <w:gridCol w:w="2126"/>
        <w:gridCol w:w="1276"/>
        <w:gridCol w:w="155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 № п/п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Наименование показателя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Единица измерения, временная характеристика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Алгоритм расчета (формула)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Базовые показатели (используемые в формуле)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Метод сбора информации,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код формы отчетности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perscript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Дата получения фактических значений показателей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892" w:type="dxa"/>
            <w:vAlign w:val="center"/>
            <w:textDirection w:val="lrTb"/>
            <w:noWrap w:val="false"/>
          </w:tcPr>
          <w:p>
            <w:pPr>
              <w:jc w:val="both"/>
              <w:spacing w:after="0" w:line="288" w:lineRule="atLeast"/>
              <w:rPr>
                <w:rFonts w:ascii="Times New Roman" w:hAnsi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Муниципальная программа «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Физическая культура и спорт</w:t>
            </w:r>
            <w:r>
              <w:rPr>
                <w:rFonts w:ascii="Times New Roman" w:hAnsi="Times New Roman" w:eastAsia="Times New Roman"/>
                <w:b/>
                <w:lang w:eastAsia="ru-RU"/>
              </w:rPr>
              <w:t xml:space="preserve">» </w:t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lang w:eastAsia="ru-RU"/>
              </w:rPr>
            </w:r>
          </w:p>
        </w:tc>
      </w:tr>
      <w:tr>
        <w:tblPrEx/>
        <w:trPr>
          <w:trHeight w:val="1410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Доля граждан, систематически занимающихся физической культурой и спортом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Дз = Чз / (Чн - Чнп) x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Чз - численность населения в возрасте 3 - 79 лет, занимающегося физической культурой и спортом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(сумма гр. 5 - 9 стр. 20)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статистического наблюдения № 1- ФК</w:t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cyan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 января после отчетного периода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>
          <w:trHeight w:val="167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Чн - численность населения в возрасте 3 - 79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Федерального органа государственной статистики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pStyle w:val="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января отчетного года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>
          <w:trHeight w:val="1554"/>
        </w:trPr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Чнп - численность населения в возрасте 3 - 79 лет, имеющего противопоказания и ограничения для занятий физической культурой и спортом,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согласно формам статистического наблюдения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 Министерства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спорта Мурманской области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 января после отчетного периода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highlight w:val="cyan"/>
                <w:lang w:eastAsia="ru-RU"/>
              </w:rPr>
            </w:r>
          </w:p>
        </w:tc>
      </w:tr>
      <w:tr>
        <w:tblPrEx/>
        <w:trPr>
          <w:trHeight w:val="81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Доля обучающихся, систематически занимающихся физической культурой и спортом, в общей численности обучающихся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Доз=Чзо/Чн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3-17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Чзо - численность обучающихся, занимающихся физической культурой и спортом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статистического наблюдения № 1- ФК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 января после отчетного периода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8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Чн</w:t>
            </w:r>
            <w:r>
              <w:rPr>
                <w:rFonts w:ascii="Times New Roman" w:hAnsi="Times New Roman" w:eastAsia="Times New Roman"/>
                <w:sz w:val="20"/>
                <w:szCs w:val="20"/>
                <w:vertAlign w:val="subscript"/>
                <w:lang w:eastAsia="ru-RU"/>
              </w:rPr>
              <w:t xml:space="preserve">3-17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- численность населения в возрасте от 3 до 18 лет (3 - 17 лет включительно)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Федерального органа государственной статистики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января отчетного года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Уровень обеспеченности граждан спортивными сооружениями исходя из единовременной пропускной способности объектов спорта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%,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ЕПС = ЕПСфакт / ЕПСнорм x 100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 ЕПСфакт - единовременная пропускная способность имеющихся спортивных сооружений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Данные формы статистического наблюдения № 1- ФК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25 января после отчетного периода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0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ЕПСнорм - нормативная потребность в объектах спортивной инфраструктуры, исходя из единовременной пропускной способности спортивных сооружений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Методические рекомендации о применении нормативов и норм при определении потребности субъектов Российской Федерации в объектах физической культуры и спорта, утвержденные приказом Минспорта России </w:t>
              <w:br/>
              <w:t xml:space="preserve">от 21.03.2018 № 244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учреждений сферы физической культуры и спорта, в отношении которых реализованы мероприятия по укреплению материально-технической базы и проведению текущих ремонтов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окончании финансового года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Количество соревнований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(муниципальных, областных, общероссийских, международных)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спортивно-массовых мероприятий,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 которых обеспечено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участи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спортсменов Пе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Ед., ежегодно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 января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КСиМП, Отдел образования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азработк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проектно-сметной документации с прохождением государственной экспертизы на строительство канатной дороги в п. Никель (горнолыжный склон)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Ведомственные  данные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 окончанию финансового года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ДО «ДЮСШ»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jc w:val="both"/>
        <w:spacing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/>
      <w:bookmarkStart w:id="5" w:name="p124"/>
      <w:r/>
      <w:bookmarkEnd w:id="5"/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4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Ежегодно, нарастающим итогом, убывающим итогом.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16"/>
          <w:szCs w:val="16"/>
          <w:vertAlign w:val="superscript"/>
          <w:lang w:eastAsia="ru-RU"/>
        </w:rPr>
        <w:t xml:space="preserve">5</w:t>
      </w:r>
      <w:r>
        <w:rPr>
          <w:rFonts w:ascii="Times New Roman" w:hAnsi="Times New Roman" w:eastAsia="Times New Roman"/>
          <w:sz w:val="16"/>
          <w:szCs w:val="16"/>
          <w:lang w:eastAsia="ru-RU"/>
        </w:rPr>
        <w:t xml:space="preserve">Указываются методы: статистическая отчетность, социологический опрос, прочие (указать).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p>
      <w:pPr>
        <w:contextualSpacing/>
        <w:jc w:val="both"/>
        <w:spacing w:before="168" w:after="0" w:line="288" w:lineRule="atLeast"/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  <w:sectPr>
          <w:footnotePr/>
          <w:endnotePr/>
          <w:type w:val="nextPage"/>
          <w:pgSz w:w="16838" w:h="11905" w:orient="landscape"/>
          <w:pgMar w:top="851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highlight w:val="yellow"/>
          <w:lang w:eastAsia="ru-RU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40" w:hanging="360"/>
      </w:pPr>
      <w:rPr>
        <w:rFonts w:hint="default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Zero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5"/>
  </w:num>
  <w:num w:numId="4">
    <w:abstractNumId w:val="11"/>
  </w:num>
  <w:num w:numId="5">
    <w:abstractNumId w:val="13"/>
  </w:num>
  <w:num w:numId="6">
    <w:abstractNumId w:val="10"/>
  </w:num>
  <w:num w:numId="7">
    <w:abstractNumId w:val="12"/>
  </w:num>
  <w:num w:numId="8">
    <w:abstractNumId w:val="14"/>
  </w:num>
  <w:num w:numId="9">
    <w:abstractNumId w:val="6"/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"/>
  </w:num>
  <w:num w:numId="14">
    <w:abstractNumId w:val="5"/>
  </w:num>
  <w:num w:numId="15">
    <w:abstractNumId w:val="9"/>
  </w:num>
  <w:num w:numId="16">
    <w:abstractNumId w:val="2"/>
  </w:num>
  <w:num w:numId="17">
    <w:abstractNumId w:val="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4 Char"/>
    <w:basedOn w:val="730"/>
    <w:link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690">
    <w:name w:val="Heading 5 Char"/>
    <w:basedOn w:val="730"/>
    <w:link w:val="725"/>
    <w:uiPriority w:val="9"/>
    <w:rPr>
      <w:rFonts w:ascii="Arial" w:hAnsi="Arial" w:eastAsia="Arial" w:cs="Arial"/>
      <w:b/>
      <w:bCs/>
      <w:sz w:val="24"/>
      <w:szCs w:val="24"/>
    </w:rPr>
  </w:style>
  <w:style w:type="character" w:styleId="691">
    <w:name w:val="Heading 6 Char"/>
    <w:basedOn w:val="730"/>
    <w:link w:val="726"/>
    <w:uiPriority w:val="9"/>
    <w:rPr>
      <w:rFonts w:ascii="Arial" w:hAnsi="Arial" w:eastAsia="Arial" w:cs="Arial"/>
      <w:b/>
      <w:bCs/>
      <w:sz w:val="22"/>
      <w:szCs w:val="22"/>
    </w:rPr>
  </w:style>
  <w:style w:type="character" w:styleId="692">
    <w:name w:val="Heading 7 Char"/>
    <w:basedOn w:val="730"/>
    <w:link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>
    <w:name w:val="Heading 8 Char"/>
    <w:basedOn w:val="730"/>
    <w:link w:val="728"/>
    <w:uiPriority w:val="9"/>
    <w:rPr>
      <w:rFonts w:ascii="Arial" w:hAnsi="Arial" w:eastAsia="Arial" w:cs="Arial"/>
      <w:i/>
      <w:iCs/>
      <w:sz w:val="22"/>
      <w:szCs w:val="22"/>
    </w:rPr>
  </w:style>
  <w:style w:type="character" w:styleId="694">
    <w:name w:val="Heading 9 Char"/>
    <w:basedOn w:val="730"/>
    <w:link w:val="729"/>
    <w:uiPriority w:val="9"/>
    <w:rPr>
      <w:rFonts w:ascii="Arial" w:hAnsi="Arial" w:eastAsia="Arial" w:cs="Arial"/>
      <w:i/>
      <w:iCs/>
      <w:sz w:val="21"/>
      <w:szCs w:val="21"/>
    </w:rPr>
  </w:style>
  <w:style w:type="character" w:styleId="695">
    <w:name w:val="Title Char"/>
    <w:basedOn w:val="730"/>
    <w:link w:val="742"/>
    <w:uiPriority w:val="10"/>
    <w:rPr>
      <w:sz w:val="48"/>
      <w:szCs w:val="48"/>
    </w:rPr>
  </w:style>
  <w:style w:type="character" w:styleId="696">
    <w:name w:val="Subtitle Char"/>
    <w:basedOn w:val="730"/>
    <w:link w:val="744"/>
    <w:uiPriority w:val="11"/>
    <w:rPr>
      <w:sz w:val="24"/>
      <w:szCs w:val="24"/>
    </w:rPr>
  </w:style>
  <w:style w:type="character" w:styleId="697">
    <w:name w:val="Quote Char"/>
    <w:link w:val="746"/>
    <w:uiPriority w:val="29"/>
    <w:rPr>
      <w:i/>
    </w:rPr>
  </w:style>
  <w:style w:type="character" w:styleId="698">
    <w:name w:val="Intense Quote Char"/>
    <w:link w:val="748"/>
    <w:uiPriority w:val="30"/>
    <w:rPr>
      <w:i/>
    </w:rPr>
  </w:style>
  <w:style w:type="table" w:styleId="699">
    <w:name w:val="Plain Table 1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7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4"/>
    <w:basedOn w:val="7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8">
    <w:name w:val="Grid Table 5 Dark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9">
    <w:name w:val="Grid Table 6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0">
    <w:name w:val="Grid Table 7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1 Light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List Table 2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3">
    <w:name w:val="List Table 3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List Table 4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List Table 5 Dark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6">
    <w:name w:val="List Table 6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7">
    <w:name w:val="List Table 7 Colorful"/>
    <w:basedOn w:val="7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8">
    <w:name w:val="Footnote Text Char"/>
    <w:link w:val="878"/>
    <w:uiPriority w:val="99"/>
    <w:rPr>
      <w:sz w:val="18"/>
    </w:rPr>
  </w:style>
  <w:style w:type="character" w:styleId="719">
    <w:name w:val="Endnote Text Char"/>
    <w:link w:val="881"/>
    <w:uiPriority w:val="99"/>
    <w:rPr>
      <w:sz w:val="20"/>
    </w:rPr>
  </w:style>
  <w:style w:type="paragraph" w:styleId="72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1">
    <w:name w:val="Heading 1"/>
    <w:basedOn w:val="720"/>
    <w:link w:val="915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2">
    <w:name w:val="Heading 2"/>
    <w:basedOn w:val="720"/>
    <w:next w:val="720"/>
    <w:link w:val="916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3">
    <w:name w:val="Heading 3"/>
    <w:basedOn w:val="720"/>
    <w:next w:val="720"/>
    <w:link w:val="917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4">
    <w:name w:val="Heading 4"/>
    <w:basedOn w:val="720"/>
    <w:next w:val="720"/>
    <w:link w:val="73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5">
    <w:name w:val="Heading 5"/>
    <w:basedOn w:val="720"/>
    <w:next w:val="720"/>
    <w:link w:val="73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6">
    <w:name w:val="Heading 6"/>
    <w:basedOn w:val="720"/>
    <w:next w:val="720"/>
    <w:link w:val="73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7">
    <w:name w:val="Heading 7"/>
    <w:basedOn w:val="720"/>
    <w:next w:val="720"/>
    <w:link w:val="73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8">
    <w:name w:val="Heading 8"/>
    <w:basedOn w:val="720"/>
    <w:next w:val="720"/>
    <w:link w:val="74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9">
    <w:name w:val="Heading 9"/>
    <w:basedOn w:val="720"/>
    <w:next w:val="720"/>
    <w:link w:val="74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0" w:default="1">
    <w:name w:val="Default Paragraph Font"/>
    <w:uiPriority w:val="1"/>
    <w:semiHidden/>
    <w:unhideWhenUsed/>
  </w:style>
  <w:style w:type="table" w:styleId="7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2" w:default="1">
    <w:name w:val="No List"/>
    <w:uiPriority w:val="99"/>
    <w:semiHidden/>
    <w:unhideWhenUsed/>
  </w:style>
  <w:style w:type="character" w:styleId="733" w:customStyle="1">
    <w:name w:val="Heading 1 Char"/>
    <w:basedOn w:val="730"/>
    <w:uiPriority w:val="9"/>
    <w:rPr>
      <w:rFonts w:ascii="Arial" w:hAnsi="Arial" w:eastAsia="Arial" w:cs="Arial"/>
      <w:sz w:val="40"/>
      <w:szCs w:val="40"/>
    </w:rPr>
  </w:style>
  <w:style w:type="character" w:styleId="734" w:customStyle="1">
    <w:name w:val="Heading 2 Char"/>
    <w:basedOn w:val="730"/>
    <w:uiPriority w:val="9"/>
    <w:rPr>
      <w:rFonts w:ascii="Arial" w:hAnsi="Arial" w:eastAsia="Arial" w:cs="Arial"/>
      <w:sz w:val="34"/>
    </w:rPr>
  </w:style>
  <w:style w:type="character" w:styleId="735" w:customStyle="1">
    <w:name w:val="Heading 3 Char"/>
    <w:basedOn w:val="730"/>
    <w:uiPriority w:val="9"/>
    <w:rPr>
      <w:rFonts w:ascii="Arial" w:hAnsi="Arial" w:eastAsia="Arial" w:cs="Arial"/>
      <w:sz w:val="30"/>
      <w:szCs w:val="30"/>
    </w:rPr>
  </w:style>
  <w:style w:type="character" w:styleId="736" w:customStyle="1">
    <w:name w:val="Заголовок 4 Знак"/>
    <w:basedOn w:val="730"/>
    <w:link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7" w:customStyle="1">
    <w:name w:val="Заголовок 5 Знак"/>
    <w:basedOn w:val="730"/>
    <w:link w:val="725"/>
    <w:uiPriority w:val="9"/>
    <w:rPr>
      <w:rFonts w:ascii="Arial" w:hAnsi="Arial" w:eastAsia="Arial" w:cs="Arial"/>
      <w:b/>
      <w:bCs/>
      <w:sz w:val="24"/>
      <w:szCs w:val="24"/>
    </w:rPr>
  </w:style>
  <w:style w:type="character" w:styleId="738" w:customStyle="1">
    <w:name w:val="Заголовок 6 Знак"/>
    <w:basedOn w:val="730"/>
    <w:link w:val="726"/>
    <w:uiPriority w:val="9"/>
    <w:rPr>
      <w:rFonts w:ascii="Arial" w:hAnsi="Arial" w:eastAsia="Arial" w:cs="Arial"/>
      <w:b/>
      <w:bCs/>
      <w:sz w:val="22"/>
      <w:szCs w:val="22"/>
    </w:rPr>
  </w:style>
  <w:style w:type="character" w:styleId="739" w:customStyle="1">
    <w:name w:val="Заголовок 7 Знак"/>
    <w:basedOn w:val="730"/>
    <w:link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0" w:customStyle="1">
    <w:name w:val="Заголовок 8 Знак"/>
    <w:basedOn w:val="730"/>
    <w:link w:val="728"/>
    <w:uiPriority w:val="9"/>
    <w:rPr>
      <w:rFonts w:ascii="Arial" w:hAnsi="Arial" w:eastAsia="Arial" w:cs="Arial"/>
      <w:i/>
      <w:iCs/>
      <w:sz w:val="22"/>
      <w:szCs w:val="22"/>
    </w:rPr>
  </w:style>
  <w:style w:type="character" w:styleId="741" w:customStyle="1">
    <w:name w:val="Заголовок 9 Знак"/>
    <w:basedOn w:val="730"/>
    <w:link w:val="729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Title"/>
    <w:basedOn w:val="720"/>
    <w:next w:val="720"/>
    <w:link w:val="743"/>
    <w:uiPriority w:val="10"/>
    <w:qFormat/>
    <w:pPr>
      <w:contextualSpacing/>
      <w:spacing w:before="300"/>
    </w:pPr>
    <w:rPr>
      <w:sz w:val="48"/>
      <w:szCs w:val="48"/>
    </w:rPr>
  </w:style>
  <w:style w:type="character" w:styleId="743" w:customStyle="1">
    <w:name w:val="Заголовок Знак"/>
    <w:basedOn w:val="730"/>
    <w:link w:val="742"/>
    <w:uiPriority w:val="10"/>
    <w:rPr>
      <w:sz w:val="48"/>
      <w:szCs w:val="48"/>
    </w:rPr>
  </w:style>
  <w:style w:type="paragraph" w:styleId="744">
    <w:name w:val="Subtitle"/>
    <w:basedOn w:val="720"/>
    <w:next w:val="720"/>
    <w:link w:val="745"/>
    <w:uiPriority w:val="11"/>
    <w:qFormat/>
    <w:pPr>
      <w:spacing w:before="200"/>
    </w:pPr>
    <w:rPr>
      <w:sz w:val="24"/>
      <w:szCs w:val="24"/>
    </w:rPr>
  </w:style>
  <w:style w:type="character" w:styleId="745" w:customStyle="1">
    <w:name w:val="Подзаголовок Знак"/>
    <w:basedOn w:val="730"/>
    <w:link w:val="744"/>
    <w:uiPriority w:val="11"/>
    <w:rPr>
      <w:sz w:val="24"/>
      <w:szCs w:val="24"/>
    </w:rPr>
  </w:style>
  <w:style w:type="paragraph" w:styleId="746">
    <w:name w:val="Quote"/>
    <w:basedOn w:val="720"/>
    <w:next w:val="720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Цитата 2 Знак"/>
    <w:link w:val="746"/>
    <w:uiPriority w:val="29"/>
    <w:rPr>
      <w:i/>
    </w:rPr>
  </w:style>
  <w:style w:type="paragraph" w:styleId="748">
    <w:name w:val="Intense Quote"/>
    <w:basedOn w:val="720"/>
    <w:next w:val="720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Выделенная цитата Знак"/>
    <w:link w:val="748"/>
    <w:uiPriority w:val="30"/>
    <w:rPr>
      <w:i/>
    </w:rPr>
  </w:style>
  <w:style w:type="character" w:styleId="750" w:customStyle="1">
    <w:name w:val="Header Char"/>
    <w:basedOn w:val="730"/>
    <w:uiPriority w:val="99"/>
  </w:style>
  <w:style w:type="character" w:styleId="751" w:customStyle="1">
    <w:name w:val="Footer Char"/>
    <w:basedOn w:val="730"/>
    <w:uiPriority w:val="99"/>
  </w:style>
  <w:style w:type="character" w:styleId="752" w:customStyle="1">
    <w:name w:val="Caption Char"/>
    <w:uiPriority w:val="99"/>
  </w:style>
  <w:style w:type="table" w:styleId="753" w:customStyle="1">
    <w:name w:val="Table Grid Light"/>
    <w:basedOn w:val="73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4" w:customStyle="1">
    <w:name w:val="Таблица простая 11"/>
    <w:basedOn w:val="73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Таблица простая 21"/>
    <w:basedOn w:val="73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 w:customStyle="1">
    <w:name w:val="Таблица простая 31"/>
    <w:basedOn w:val="73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7" w:customStyle="1">
    <w:name w:val="Таблица простая 41"/>
    <w:basedOn w:val="73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Таблица простая 51"/>
    <w:basedOn w:val="73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9" w:customStyle="1">
    <w:name w:val="Таблица-сетка 1 светлая1"/>
    <w:basedOn w:val="73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1"/>
    <w:basedOn w:val="73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2"/>
    <w:basedOn w:val="73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3"/>
    <w:basedOn w:val="73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4"/>
    <w:basedOn w:val="73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5"/>
    <w:basedOn w:val="73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6"/>
    <w:basedOn w:val="73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Таблица-сетка 21"/>
    <w:basedOn w:val="73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1"/>
    <w:basedOn w:val="73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2"/>
    <w:basedOn w:val="73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3"/>
    <w:basedOn w:val="73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4"/>
    <w:basedOn w:val="73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5"/>
    <w:basedOn w:val="73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6"/>
    <w:basedOn w:val="73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Таблица-сетка 31"/>
    <w:basedOn w:val="73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1"/>
    <w:basedOn w:val="73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2"/>
    <w:basedOn w:val="73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3"/>
    <w:basedOn w:val="73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4"/>
    <w:basedOn w:val="73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5"/>
    <w:basedOn w:val="73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6"/>
    <w:basedOn w:val="73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41"/>
    <w:basedOn w:val="73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1" w:customStyle="1">
    <w:name w:val="Grid Table 4 - Accent 1"/>
    <w:basedOn w:val="73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2" w:customStyle="1">
    <w:name w:val="Grid Table 4 - Accent 2"/>
    <w:basedOn w:val="73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3" w:customStyle="1">
    <w:name w:val="Grid Table 4 - Accent 3"/>
    <w:basedOn w:val="73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4" w:customStyle="1">
    <w:name w:val="Grid Table 4 - Accent 4"/>
    <w:basedOn w:val="73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5" w:customStyle="1">
    <w:name w:val="Grid Table 4 - Accent 5"/>
    <w:basedOn w:val="73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6" w:customStyle="1">
    <w:name w:val="Grid Table 4 - Accent 6"/>
    <w:basedOn w:val="73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7" w:customStyle="1">
    <w:name w:val="Таблица-сетка 5 темная1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1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2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3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- Accent 4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5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6"/>
    <w:basedOn w:val="73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4" w:customStyle="1">
    <w:name w:val="Таблица-сетка 6 цветная1"/>
    <w:basedOn w:val="73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5" w:customStyle="1">
    <w:name w:val="Grid Table 6 Colorful - Accent 1"/>
    <w:basedOn w:val="73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6" w:customStyle="1">
    <w:name w:val="Grid Table 6 Colorful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7" w:customStyle="1">
    <w:name w:val="Grid Table 6 Colorful - Accent 3"/>
    <w:basedOn w:val="73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8" w:customStyle="1">
    <w:name w:val="Grid Table 6 Colorful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9" w:customStyle="1">
    <w:name w:val="Grid Table 6 Colorful - Accent 5"/>
    <w:basedOn w:val="73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 w:customStyle="1">
    <w:name w:val="Grid Table 6 Colorful - Accent 6"/>
    <w:basedOn w:val="73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1" w:customStyle="1">
    <w:name w:val="Таблица-сетка 7 цветная1"/>
    <w:basedOn w:val="73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1"/>
    <w:basedOn w:val="73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2"/>
    <w:basedOn w:val="73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3"/>
    <w:basedOn w:val="73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4"/>
    <w:basedOn w:val="73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5"/>
    <w:basedOn w:val="73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6"/>
    <w:basedOn w:val="73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Список-таблица 1 светлая1"/>
    <w:basedOn w:val="73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1"/>
    <w:basedOn w:val="73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2"/>
    <w:basedOn w:val="73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3"/>
    <w:basedOn w:val="73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4"/>
    <w:basedOn w:val="73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5"/>
    <w:basedOn w:val="73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6"/>
    <w:basedOn w:val="73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Список-таблица 21"/>
    <w:basedOn w:val="73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1"/>
    <w:basedOn w:val="73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2"/>
    <w:basedOn w:val="73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3"/>
    <w:basedOn w:val="73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4"/>
    <w:basedOn w:val="73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5"/>
    <w:basedOn w:val="73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6"/>
    <w:basedOn w:val="73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2" w:customStyle="1">
    <w:name w:val="Список-таблица 31"/>
    <w:basedOn w:val="73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1"/>
    <w:basedOn w:val="73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3"/>
    <w:basedOn w:val="73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5"/>
    <w:basedOn w:val="73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6"/>
    <w:basedOn w:val="73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Список-таблица 41"/>
    <w:basedOn w:val="73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1"/>
    <w:basedOn w:val="73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2"/>
    <w:basedOn w:val="73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3"/>
    <w:basedOn w:val="73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4"/>
    <w:basedOn w:val="73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5"/>
    <w:basedOn w:val="73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6"/>
    <w:basedOn w:val="73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Список-таблица 5 темная1"/>
    <w:basedOn w:val="73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1"/>
    <w:basedOn w:val="73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3"/>
    <w:basedOn w:val="73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5"/>
    <w:basedOn w:val="73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6"/>
    <w:basedOn w:val="73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Список-таблица 6 цветная1"/>
    <w:basedOn w:val="73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4" w:customStyle="1">
    <w:name w:val="List Table 6 Colorful - Accent 1"/>
    <w:basedOn w:val="73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5" w:customStyle="1">
    <w:name w:val="List Table 6 Colorful - Accent 2"/>
    <w:basedOn w:val="73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6" w:customStyle="1">
    <w:name w:val="List Table 6 Colorful - Accent 3"/>
    <w:basedOn w:val="73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7" w:customStyle="1">
    <w:name w:val="List Table 6 Colorful - Accent 4"/>
    <w:basedOn w:val="73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8" w:customStyle="1">
    <w:name w:val="List Table 6 Colorful - Accent 5"/>
    <w:basedOn w:val="73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9" w:customStyle="1">
    <w:name w:val="List Table 6 Colorful - Accent 6"/>
    <w:basedOn w:val="73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0" w:customStyle="1">
    <w:name w:val="Список-таблица 7 цветная1"/>
    <w:basedOn w:val="73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1"/>
    <w:basedOn w:val="73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2"/>
    <w:basedOn w:val="73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3"/>
    <w:basedOn w:val="73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4"/>
    <w:basedOn w:val="73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5"/>
    <w:basedOn w:val="73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6"/>
    <w:basedOn w:val="73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ned - Accent"/>
    <w:basedOn w:val="73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Lined - Accent 1"/>
    <w:basedOn w:val="73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Lined - Accent 2"/>
    <w:basedOn w:val="73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Lined - Accent 3"/>
    <w:basedOn w:val="73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Lined - Accent 4"/>
    <w:basedOn w:val="73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Lined - Accent 5"/>
    <w:basedOn w:val="73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Lined - Accent 6"/>
    <w:basedOn w:val="73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 &amp; Lined - Accent"/>
    <w:basedOn w:val="73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5" w:customStyle="1">
    <w:name w:val="Bordered &amp; Lined - Accent 1"/>
    <w:basedOn w:val="73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6" w:customStyle="1">
    <w:name w:val="Bordered &amp; Lined - Accent 2"/>
    <w:basedOn w:val="73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7" w:customStyle="1">
    <w:name w:val="Bordered &amp; Lined - Accent 3"/>
    <w:basedOn w:val="73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8" w:customStyle="1">
    <w:name w:val="Bordered &amp; Lined - Accent 4"/>
    <w:basedOn w:val="73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9" w:customStyle="1">
    <w:name w:val="Bordered &amp; Lined - Accent 5"/>
    <w:basedOn w:val="73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0" w:customStyle="1">
    <w:name w:val="Bordered &amp; Lined - Accent 6"/>
    <w:basedOn w:val="73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1" w:customStyle="1">
    <w:name w:val="Bordered"/>
    <w:basedOn w:val="73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2" w:customStyle="1">
    <w:name w:val="Bordered - Accent 1"/>
    <w:basedOn w:val="73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3" w:customStyle="1">
    <w:name w:val="Bordered - Accent 2"/>
    <w:basedOn w:val="73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4" w:customStyle="1">
    <w:name w:val="Bordered - Accent 3"/>
    <w:basedOn w:val="73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5" w:customStyle="1">
    <w:name w:val="Bordered - Accent 4"/>
    <w:basedOn w:val="73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6" w:customStyle="1">
    <w:name w:val="Bordered - Accent 5"/>
    <w:basedOn w:val="73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7" w:customStyle="1">
    <w:name w:val="Bordered - Accent 6"/>
    <w:basedOn w:val="73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8">
    <w:name w:val="footnote text"/>
    <w:basedOn w:val="720"/>
    <w:link w:val="879"/>
    <w:uiPriority w:val="99"/>
    <w:semiHidden/>
    <w:unhideWhenUsed/>
    <w:pPr>
      <w:spacing w:after="40" w:line="240" w:lineRule="auto"/>
    </w:pPr>
    <w:rPr>
      <w:sz w:val="18"/>
    </w:rPr>
  </w:style>
  <w:style w:type="character" w:styleId="879" w:customStyle="1">
    <w:name w:val="Текст сноски Знак"/>
    <w:link w:val="878"/>
    <w:uiPriority w:val="99"/>
    <w:rPr>
      <w:sz w:val="18"/>
    </w:rPr>
  </w:style>
  <w:style w:type="character" w:styleId="880">
    <w:name w:val="footnote reference"/>
    <w:basedOn w:val="730"/>
    <w:uiPriority w:val="99"/>
    <w:unhideWhenUsed/>
    <w:rPr>
      <w:vertAlign w:val="superscript"/>
    </w:rPr>
  </w:style>
  <w:style w:type="paragraph" w:styleId="881">
    <w:name w:val="endnote text"/>
    <w:basedOn w:val="720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 w:customStyle="1">
    <w:name w:val="Текст концевой сноски Знак"/>
    <w:link w:val="881"/>
    <w:uiPriority w:val="99"/>
    <w:rPr>
      <w:sz w:val="20"/>
    </w:rPr>
  </w:style>
  <w:style w:type="character" w:styleId="883">
    <w:name w:val="endnote reference"/>
    <w:basedOn w:val="730"/>
    <w:uiPriority w:val="99"/>
    <w:semiHidden/>
    <w:unhideWhenUsed/>
    <w:rPr>
      <w:vertAlign w:val="superscript"/>
    </w:rPr>
  </w:style>
  <w:style w:type="paragraph" w:styleId="884">
    <w:name w:val="toc 1"/>
    <w:basedOn w:val="720"/>
    <w:next w:val="720"/>
    <w:uiPriority w:val="39"/>
    <w:unhideWhenUsed/>
    <w:pPr>
      <w:spacing w:after="57"/>
    </w:pPr>
  </w:style>
  <w:style w:type="paragraph" w:styleId="885">
    <w:name w:val="toc 2"/>
    <w:basedOn w:val="720"/>
    <w:next w:val="720"/>
    <w:uiPriority w:val="39"/>
    <w:unhideWhenUsed/>
    <w:pPr>
      <w:ind w:left="283"/>
      <w:spacing w:after="57"/>
    </w:pPr>
  </w:style>
  <w:style w:type="paragraph" w:styleId="886">
    <w:name w:val="toc 3"/>
    <w:basedOn w:val="720"/>
    <w:next w:val="720"/>
    <w:uiPriority w:val="39"/>
    <w:unhideWhenUsed/>
    <w:pPr>
      <w:ind w:left="567"/>
      <w:spacing w:after="57"/>
    </w:pPr>
  </w:style>
  <w:style w:type="paragraph" w:styleId="887">
    <w:name w:val="toc 4"/>
    <w:basedOn w:val="720"/>
    <w:next w:val="720"/>
    <w:uiPriority w:val="39"/>
    <w:unhideWhenUsed/>
    <w:pPr>
      <w:ind w:left="850"/>
      <w:spacing w:after="57"/>
    </w:pPr>
  </w:style>
  <w:style w:type="paragraph" w:styleId="888">
    <w:name w:val="toc 5"/>
    <w:basedOn w:val="720"/>
    <w:next w:val="720"/>
    <w:uiPriority w:val="39"/>
    <w:unhideWhenUsed/>
    <w:pPr>
      <w:ind w:left="1134"/>
      <w:spacing w:after="57"/>
    </w:pPr>
  </w:style>
  <w:style w:type="paragraph" w:styleId="889">
    <w:name w:val="toc 6"/>
    <w:basedOn w:val="720"/>
    <w:next w:val="720"/>
    <w:uiPriority w:val="39"/>
    <w:unhideWhenUsed/>
    <w:pPr>
      <w:ind w:left="1417"/>
      <w:spacing w:after="57"/>
    </w:pPr>
  </w:style>
  <w:style w:type="paragraph" w:styleId="890">
    <w:name w:val="toc 7"/>
    <w:basedOn w:val="720"/>
    <w:next w:val="720"/>
    <w:uiPriority w:val="39"/>
    <w:unhideWhenUsed/>
    <w:pPr>
      <w:ind w:left="1701"/>
      <w:spacing w:after="57"/>
    </w:pPr>
  </w:style>
  <w:style w:type="paragraph" w:styleId="891">
    <w:name w:val="toc 8"/>
    <w:basedOn w:val="720"/>
    <w:next w:val="720"/>
    <w:uiPriority w:val="39"/>
    <w:unhideWhenUsed/>
    <w:pPr>
      <w:ind w:left="1984"/>
      <w:spacing w:after="57"/>
    </w:pPr>
  </w:style>
  <w:style w:type="paragraph" w:styleId="892">
    <w:name w:val="toc 9"/>
    <w:basedOn w:val="720"/>
    <w:next w:val="720"/>
    <w:uiPriority w:val="39"/>
    <w:unhideWhenUsed/>
    <w:pPr>
      <w:ind w:left="2268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720"/>
    <w:next w:val="720"/>
    <w:uiPriority w:val="99"/>
    <w:unhideWhenUsed/>
    <w:pPr>
      <w:spacing w:after="0"/>
    </w:pPr>
  </w:style>
  <w:style w:type="paragraph" w:styleId="895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6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7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98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99" w:customStyle="1">
    <w:name w:val="МОН Знак"/>
    <w:link w:val="900"/>
    <w:rPr>
      <w:sz w:val="24"/>
      <w:szCs w:val="24"/>
    </w:rPr>
  </w:style>
  <w:style w:type="paragraph" w:styleId="900" w:customStyle="1">
    <w:name w:val="МОН"/>
    <w:basedOn w:val="720"/>
    <w:link w:val="899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1">
    <w:name w:val="Strong"/>
    <w:qFormat/>
    <w:rPr>
      <w:b/>
      <w:bCs/>
    </w:rPr>
  </w:style>
  <w:style w:type="paragraph" w:styleId="902">
    <w:name w:val="List Paragraph"/>
    <w:basedOn w:val="720"/>
    <w:qFormat/>
    <w:pPr>
      <w:contextualSpacing/>
      <w:ind w:left="720"/>
    </w:pPr>
  </w:style>
  <w:style w:type="character" w:styleId="903" w:customStyle="1">
    <w:name w:val="Основной текст_"/>
    <w:link w:val="904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4" w:customStyle="1">
    <w:name w:val="Основной текст2"/>
    <w:basedOn w:val="720"/>
    <w:link w:val="903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5">
    <w:name w:val="Body Text 2"/>
    <w:basedOn w:val="720"/>
    <w:link w:val="906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6" w:customStyle="1">
    <w:name w:val="Основной текст 2 Знак"/>
    <w:link w:val="905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7">
    <w:name w:val="Footer"/>
    <w:basedOn w:val="720"/>
    <w:link w:val="908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08" w:customStyle="1">
    <w:name w:val="Нижний колонтитул Знак"/>
    <w:link w:val="907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09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0" w:customStyle="1">
    <w:name w:val="32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1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2">
    <w:name w:val="Normal (Web)"/>
    <w:basedOn w:val="72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3">
    <w:name w:val="Body Text Indent"/>
    <w:basedOn w:val="720"/>
    <w:link w:val="914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4" w:customStyle="1">
    <w:name w:val="Основной текст с отступом Знак"/>
    <w:link w:val="913"/>
    <w:rPr>
      <w:rFonts w:ascii="Times New Roman" w:hAnsi="Times New Roman" w:eastAsia="Times New Roman" w:cs="Times New Roman"/>
      <w:sz w:val="24"/>
      <w:szCs w:val="24"/>
    </w:rPr>
  </w:style>
  <w:style w:type="character" w:styleId="915" w:customStyle="1">
    <w:name w:val="Заголовок 1 Знак"/>
    <w:link w:val="72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6" w:customStyle="1">
    <w:name w:val="Заголовок 2 Знак"/>
    <w:link w:val="722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7" w:customStyle="1">
    <w:name w:val="Заголовок 3 Знак"/>
    <w:link w:val="72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18">
    <w:name w:val="Table Grid"/>
    <w:basedOn w:val="73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9">
    <w:name w:val="Balloon Text"/>
    <w:basedOn w:val="720"/>
    <w:link w:val="920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0" w:customStyle="1">
    <w:name w:val="Текст выноски Знак"/>
    <w:link w:val="919"/>
    <w:rPr>
      <w:rFonts w:ascii="Tahoma" w:hAnsi="Tahoma" w:eastAsia="Times New Roman" w:cs="Tahoma"/>
      <w:sz w:val="16"/>
      <w:szCs w:val="16"/>
      <w:lang w:eastAsia="ru-RU"/>
    </w:rPr>
  </w:style>
  <w:style w:type="paragraph" w:styleId="921">
    <w:name w:val="Header"/>
    <w:basedOn w:val="720"/>
    <w:link w:val="922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Верхний колонтитул Знак"/>
    <w:link w:val="92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3">
    <w:name w:val="Emphasis"/>
    <w:qFormat/>
    <w:rPr>
      <w:i/>
      <w:iCs/>
    </w:rPr>
  </w:style>
  <w:style w:type="paragraph" w:styleId="924" w:customStyle="1">
    <w:name w:val="Содержимое таблицы"/>
    <w:basedOn w:val="72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5" w:customStyle="1">
    <w:name w:val="consplusnormal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6" w:customStyle="1">
    <w:name w:val="a2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7" w:customStyle="1">
    <w:name w:val="15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8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9" w:customStyle="1">
    <w:name w:val="h1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0" w:customStyle="1">
    <w:name w:val="msonospacing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1" w:customStyle="1">
    <w:name w:val="ac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>
    <w:name w:val="Body Text 3"/>
    <w:basedOn w:val="720"/>
    <w:link w:val="93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3" w:customStyle="1">
    <w:name w:val="Основной текст 3 Знак"/>
    <w:link w:val="93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4">
    <w:name w:val="HTML Bottom of Form"/>
    <w:basedOn w:val="720"/>
    <w:next w:val="720"/>
    <w:link w:val="935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5" w:customStyle="1">
    <w:name w:val="z-Конец формы Знак"/>
    <w:link w:val="934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6" w:customStyle="1">
    <w:name w:val="Style16"/>
    <w:basedOn w:val="72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7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38">
    <w:name w:val="Caption"/>
    <w:basedOn w:val="720"/>
    <w:next w:val="72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39">
    <w:name w:val="Body Text"/>
    <w:basedOn w:val="720"/>
    <w:link w:val="940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0" w:customStyle="1">
    <w:name w:val="Основной текст Знак"/>
    <w:link w:val="93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1">
    <w:name w:val="Body Text Indent 2"/>
    <w:basedOn w:val="720"/>
    <w:link w:val="942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с отступом 2 Знак"/>
    <w:link w:val="94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3" w:customStyle="1">
    <w:name w:val="Заголовок №2_"/>
    <w:link w:val="944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4" w:customStyle="1">
    <w:name w:val="Заголовок №2"/>
    <w:basedOn w:val="720"/>
    <w:link w:val="943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5">
    <w:name w:val="No Spacing"/>
    <w:uiPriority w:val="99"/>
    <w:qFormat/>
    <w:rPr>
      <w:sz w:val="22"/>
      <w:szCs w:val="22"/>
      <w:lang w:eastAsia="en-US"/>
    </w:rPr>
  </w:style>
  <w:style w:type="paragraph" w:styleId="946" w:customStyle="1">
    <w:name w:val="Default"/>
    <w:rPr>
      <w:rFonts w:ascii="Arial" w:hAnsi="Arial" w:cs="Arial"/>
      <w:color w:val="000000"/>
      <w:sz w:val="24"/>
      <w:szCs w:val="24"/>
    </w:rPr>
  </w:style>
  <w:style w:type="paragraph" w:styleId="947" w:customStyle="1">
    <w:name w:val="msonormalcxspmiddle"/>
    <w:basedOn w:val="72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48" w:customStyle="1">
    <w:name w:val="Нет списка1"/>
    <w:next w:val="732"/>
    <w:semiHidden/>
    <w:unhideWhenUsed/>
  </w:style>
  <w:style w:type="table" w:styleId="949" w:customStyle="1">
    <w:name w:val="Сетка таблицы1"/>
    <w:basedOn w:val="731"/>
    <w:next w:val="918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0" w:customStyle="1">
    <w:name w:val="Абзац списка1"/>
    <w:basedOn w:val="72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1" w:customStyle="1">
    <w:name w:val="Знак Знак2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4" w:customStyle="1">
    <w:name w:val="Обычный (веб)18"/>
    <w:basedOn w:val="72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5" w:customStyle="1">
    <w:name w:val="Знак Знак2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6" w:customStyle="1">
    <w:name w:val="Знак Знак2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7" w:customStyle="1">
    <w:name w:val="Знак Знак2 Знак Знак Знак Знак Знак Знак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>
    <w:name w:val="Body Text Indent 3"/>
    <w:basedOn w:val="720"/>
    <w:link w:val="962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2" w:customStyle="1">
    <w:name w:val="Основной текст с отступом 3 Знак"/>
    <w:link w:val="961"/>
    <w:uiPriority w:val="99"/>
    <w:semiHidden/>
    <w:rPr>
      <w:sz w:val="16"/>
      <w:szCs w:val="16"/>
    </w:rPr>
  </w:style>
  <w:style w:type="paragraph" w:styleId="963" w:customStyle="1">
    <w:name w:val="1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4">
    <w:name w:val="Hyperlink"/>
    <w:rPr>
      <w:strike w:val="0"/>
      <w:color w:val="808080"/>
      <w:u w:val="none"/>
    </w:rPr>
  </w:style>
  <w:style w:type="character" w:styleId="965" w:customStyle="1">
    <w:name w:val="blk"/>
  </w:style>
  <w:style w:type="character" w:styleId="966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7" w:customStyle="1">
    <w:name w:val="Знак Знак2 Знак Знак Знак Знак Знак Знак Знак Знак Знак Знак Знак Знак Знак Знак Знак Знак"/>
    <w:basedOn w:val="72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8" w:customStyle="1">
    <w:name w:val="Прижатый влево"/>
    <w:basedOn w:val="720"/>
    <w:next w:val="720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69" w:customStyle="1">
    <w:name w:val="Стиль 13 пт По ширине"/>
    <w:basedOn w:val="720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0" w:customStyle="1">
    <w:name w:val="Font Style65"/>
    <w:uiPriority w:val="99"/>
    <w:rPr>
      <w:rFonts w:ascii="Times New Roman" w:hAnsi="Times New Roman"/>
      <w:sz w:val="22"/>
    </w:rPr>
  </w:style>
  <w:style w:type="paragraph" w:styleId="971" w:customStyle="1">
    <w:name w:val="Style20"/>
    <w:basedOn w:val="720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93625&amp;dst=100009&amp;field=134&amp;date=02.10.2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0DBA1-ED09-4D2C-8C2A-DA6BA4AA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17</cp:revision>
  <dcterms:created xsi:type="dcterms:W3CDTF">2025-11-12T12:08:00Z</dcterms:created>
  <dcterms:modified xsi:type="dcterms:W3CDTF">2025-11-19T09:51:56Z</dcterms:modified>
</cp:coreProperties>
</file>