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/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12.11.2025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1848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б утверждении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муниципальной программ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«Энергосбережение и повышение энергоэф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ективности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8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8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</w:p>
    <w:p>
      <w:pPr>
        <w:ind w:firstLine="708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статьей 179 Бюджетного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</w:rPr>
        <w:t xml:space="preserve">утвержденн</w:t>
      </w:r>
      <w:r>
        <w:rPr>
          <w:rFonts w:ascii="Times New Roman" w:hAnsi="Times New Roman" w:cs="Times New Roman"/>
          <w:sz w:val="24"/>
          <w:szCs w:val="24"/>
        </w:rPr>
        <w:t xml:space="preserve">ым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18.09.2025 </w:t>
        <w:br/>
        <w:t xml:space="preserve">№ 1488,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обеспечения рационального и экономного использования энергетических ресурсов за счет реализаци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энергосберегающих мероприяти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й в Печенгском муниципальном округе,</w:t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Утвердить муниципальную программу Печ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«Энергосбережение и повышение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годы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астоящее постановление вступает в силу с 01 января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4.</w:t>
      </w:r>
      <w:r>
        <w:rPr>
          <w:rFonts w:ascii="Times New Roman" w:hAnsi="Times New Roman" w:cs="Times New Roman"/>
          <w:sz w:val="24"/>
          <w:szCs w:val="24"/>
        </w:rPr>
        <w:t xml:space="preserve"> Контроль за исполнением настоящего постановления возложить на заместителя Главы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Пономарева А.В.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А.В. Кузнецов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Шавырова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Ю.В.,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5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1291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12.11.2025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1848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«Энергосбережение и повышение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энергоэффективности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ind w:right="-1"/>
        <w:jc w:val="left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Срок реализации: 2026 – 2028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Ответственный исполнитель муниципальной программы -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«Энергосбережение и повышение энергоэффективности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tbl>
      <w:tblPr>
        <w:tblW w:w="4739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24"/>
        <w:gridCol w:w="5784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ind w:right="256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 муниципальной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Перечень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направлений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подпрограмм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Сроки и этапы реализации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Финансовое обеспечение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муниципальной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00,0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том числе: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Б: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30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000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100 00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100 00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100 00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рублей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ОБ: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Б: 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ВБС: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0,0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pStyle w:val="987"/>
              <w:ind w:left="32"/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ежегодно не превышения установленных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лимитов потребления энергетических ресурсов 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которым установлены лимиты потребления энергетических ресурсов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уровне 100 %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доли муниципальных учреждений, находящихся в ведении органов местного самоуправления,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 программы;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Исполнение на уровне 100 % требований российского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декларации о потреблении энергетических ресурсов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87"/>
              <w:ind w:left="32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на уровне 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%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доли установленных индивидуальных приборов учета в жилых помещен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иях муниципальной собственности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запланированного количества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Печенгского муниципального округа (Отдел строительства и ЖКХ администрации Печенгского муниципального округа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 и ЖКХ)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Соисполнители муниципальной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9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72"/>
        <w:ind w:left="0"/>
        <w:widowControl w:val="off"/>
        <w:rPr>
          <w:b/>
          <w:bCs/>
        </w:rPr>
      </w:pPr>
      <w:r/>
      <w:bookmarkStart w:id="4" w:name="Par149"/>
      <w:r/>
      <w:bookmarkEnd w:id="4"/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972"/>
        <w:ind w:left="0"/>
        <w:jc w:val="center"/>
        <w:widowControl w:val="off"/>
        <w:rPr>
          <w:b/>
          <w:bCs/>
        </w:rPr>
        <w:suppressLineNumbers w:val="0"/>
      </w:pPr>
      <w:r>
        <w:rPr>
          <w:b/>
          <w:bCs/>
        </w:rPr>
        <w:t xml:space="preserve">1. Приоритеты и задачи муниципального управления в сфере реализации муниципальной программы</w:t>
      </w:r>
      <w:r>
        <w:rPr>
          <w:b/>
          <w:bCs/>
        </w:rPr>
      </w:r>
      <w:r>
        <w:rPr>
          <w:b/>
          <w:bCs/>
        </w:rPr>
      </w:r>
    </w:p>
    <w:p>
      <w:pPr>
        <w:pStyle w:val="972"/>
        <w:ind w:left="1080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приоритетом муниципальной программы является обеспечение рационального использования энергетических ресурсов в Печенгском муниципальном округе за счет реализации мероприятий по энергосбережению и повышению энергетической эффективности.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настоящее время проблемы энергосбережения и энергетической эффективности не теряют своей актуальности. Спрос на энергетические ресурсы постоянно растет, вместе с тем повышаются тарифы, сокращаются запасы полезных ископаемых (нефть, газ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уголь), ухудшается экология. Все это придает особенное значение вопросам энергосбережения. Одним из эффективных способов снижения энергетических затрат является внедрение современных энергосберегающих технологий, реализация энергосберегающих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преимуществами решения проблемы энергосбережения программно-целевым методом являются: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комплексный подход к решению задачи энергосбережения и координация действий по ее решению;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распределение полномочий и ответственности исполнителей мероприятий программы;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эффективное планирование и мониторинг результатов реализации программы;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целевое финансирование комплекса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Задача программы - обеспечение устойчивого процесса повышения эффективности энергопотребления.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в ходе реализации муниципальной программы необходимо решить следующие задачи: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повышение качества мониторинга реализации программ в области энергосбережения и повышения энергетической эффективности организациями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реализация механизмов, обеспечивающих популяризацию энергосбережения и повышения энергетической эффективности, а</w:t>
      </w:r>
      <w:r>
        <w:rPr>
          <w:rFonts w:ascii="Times New Roman" w:hAnsi="Times New Roman" w:cs="Times New Roman"/>
          <w:sz w:val="24"/>
          <w:szCs w:val="24"/>
        </w:rPr>
        <w:t xml:space="preserve">ктивизацию деятельности граждан.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ходе успешной реализации программы будет обеспечено: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снижение затрат на энергопотребление учреждений муниципального образования в результате реализации энергосберегающих мероприятий;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повышение уровня компетентности работников в вопросах эффективного использования энергетических ресурсов;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обеспечение муниципального жилищного фонда индивидуальными приборами учета энергетических ресурсов.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Правовой основой для разработки 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- </w:t>
      </w:r>
      <w:hyperlink r:id="rId15" w:tooltip="http://docs.cntd.ru/document/902186281" w:history="1">
        <w:r>
          <w:rPr>
            <w:rFonts w:ascii="Times New Roman" w:hAnsi="Times New Roman" w:cs="Times New Roman"/>
            <w:sz w:val="24"/>
            <w:szCs w:val="24"/>
          </w:rPr>
          <w:t xml:space="preserve">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62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от 11.02.2021 № 161 </w:t>
        <w:br/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</w:t>
      </w:r>
      <w:r>
        <w:rPr>
          <w:rFonts w:ascii="Times New Roman" w:hAnsi="Times New Roman" w:cs="Times New Roman"/>
          <w:sz w:val="24"/>
          <w:szCs w:val="24"/>
        </w:rPr>
        <w:t xml:space="preserve">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</w:t>
      </w:r>
      <w:r>
        <w:rPr>
          <w:rFonts w:ascii="Times New Roman" w:hAnsi="Times New Roman" w:cs="Times New Roman"/>
          <w:sz w:val="24"/>
          <w:szCs w:val="24"/>
        </w:rPr>
        <w:t xml:space="preserve">вительства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 xml:space="preserve">Министерства экономического развития Российской Федерации </w:t>
        <w:br/>
      </w:r>
      <w:r>
        <w:rPr>
          <w:rFonts w:ascii="Times New Roman" w:hAnsi="Times New Roman" w:cs="Times New Roman"/>
          <w:sz w:val="24"/>
          <w:szCs w:val="24"/>
        </w:rPr>
        <w:t xml:space="preserve">от 28.10.2019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707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Порядка представления декларации о потреблении энергетических ресурсов и формы декларации о потреблении энергетических ресурсов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bookmarkStart w:id="5" w:name="_GoBack"/>
      <w:r/>
      <w:bookmarkEnd w:id="5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2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Приказ Министерства экономического развития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</w:t>
        <w:br/>
        <w:t xml:space="preserve">от 28.04.2021 № 231 «</w:t>
      </w:r>
      <w:r>
        <w:rPr>
          <w:rFonts w:ascii="Times New Roman" w:hAnsi="Times New Roman" w:cs="Times New Roman"/>
          <w:sz w:val="24"/>
          <w:szCs w:val="24"/>
        </w:rPr>
        <w:t xml:space="preserve">Об утв</w:t>
      </w:r>
      <w:r>
        <w:rPr>
          <w:rFonts w:ascii="Times New Roman" w:hAnsi="Times New Roman" w:cs="Times New Roman"/>
          <w:sz w:val="24"/>
          <w:szCs w:val="24"/>
        </w:rPr>
        <w:t xml:space="preserve">ерждении методики расчета значений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региональных и муниципальных программ в области энергосбережения и повышен</w:t>
      </w:r>
      <w:r>
        <w:rPr>
          <w:rFonts w:ascii="Times New Roman" w:hAnsi="Times New Roman" w:cs="Times New Roman"/>
          <w:sz w:val="24"/>
          <w:szCs w:val="24"/>
        </w:rPr>
        <w:t xml:space="preserve">ия энергетической эффективности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erReference w:type="default" r:id="rId12"/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 показателей муниципальной программы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72"/>
        <w:ind w:left="0"/>
        <w:jc w:val="center"/>
        <w:widowControl w:val="off"/>
        <w:rPr>
          <w:b/>
          <w:bCs/>
          <w:color w:val="0070c0"/>
          <w:sz w:val="20"/>
          <w:szCs w:val="20"/>
        </w:rPr>
        <w:outlineLvl w:val="1"/>
      </w:pPr>
      <w:r>
        <w:rPr>
          <w:b/>
          <w:bCs/>
          <w:color w:val="0070c0"/>
          <w:sz w:val="20"/>
          <w:szCs w:val="20"/>
        </w:rPr>
      </w:r>
      <w:r>
        <w:rPr>
          <w:b/>
          <w:bCs/>
          <w:color w:val="0070c0"/>
          <w:sz w:val="20"/>
          <w:szCs w:val="20"/>
        </w:rPr>
      </w:r>
      <w:r>
        <w:rPr>
          <w:b/>
          <w:bCs/>
          <w:color w:val="0070c0"/>
          <w:sz w:val="20"/>
          <w:szCs w:val="20"/>
        </w:rPr>
      </w:r>
    </w:p>
    <w:tbl>
      <w:tblPr>
        <w:tblpPr w:horzAnchor="margin" w:tblpX="216" w:vertAnchor="text" w:tblpY="1" w:leftFromText="181" w:topFromText="0" w:rightFromText="181" w:bottomFromText="0"/>
        <w:tblW w:w="15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420"/>
        <w:gridCol w:w="992"/>
        <w:gridCol w:w="1100"/>
        <w:gridCol w:w="1168"/>
        <w:gridCol w:w="992"/>
        <w:gridCol w:w="992"/>
        <w:gridCol w:w="992"/>
        <w:gridCol w:w="993"/>
        <w:gridCol w:w="1843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№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п/п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Муниципальная программа, направления(подпрограммы), цели, показатели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Ед. изм.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vertAlign w:val="superscript"/>
              </w:rPr>
            </w:pPr>
            <w:r>
              <w:rPr>
                <w:rFonts w:ascii="Times New Roman" w:hAnsi="Times New Roman"/>
                <w:bCs/>
              </w:rPr>
              <w:t xml:space="preserve">Направленность показателя</w:t>
            </w:r>
            <w:r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vertAlign w:val="superscript"/>
              </w:rPr>
              <w:t xml:space="preserve">1</w:t>
            </w: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Значение показателя 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ind w:right="-14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Соисполнитель, </w:t>
            </w:r>
            <w:r>
              <w:rPr>
                <w:rFonts w:ascii="Times New Roman" w:hAnsi="Times New Roman"/>
                <w:bCs/>
              </w:rPr>
              <w:t xml:space="preserve">ответственный</w:t>
            </w:r>
            <w:r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ind w:right="-14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за достижение показателя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bCs/>
                <w:vertAlign w:val="superscript"/>
              </w:rPr>
            </w:pP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2028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факт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оценка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315"/>
          <w:tblHeader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49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программа «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Энергосбережение и повышение энергоэффективности»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Цель муниципальной программы: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48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 xml:space="preserve">54,7</w:t>
            </w:r>
            <w:r>
              <w:rPr>
                <w:rFonts w:ascii="Times New Roman" w:hAnsi="Times New Roman"/>
                <w:color w:val="ff0000"/>
              </w:rPr>
            </w: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</w:tr>
      <w:tr>
        <w:tblPrEx/>
        <w:trPr>
          <w:trHeight w:val="1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подавших декларации о потреблении энергетических ресурсов в государственной информационной системе «Энергоэффективность»</w:t>
            </w:r>
            <w:r>
              <w:rPr>
                <w:rFonts w:ascii="Times New Roman" w:hAnsi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</w:rPr>
              <w:t xml:space="preserve"> от общего количества муниципальных учреждений</w:t>
            </w:r>
            <w:r>
              <w:rPr>
                <w:rFonts w:ascii="Times New Roman" w:hAnsi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</w:rPr>
              <w:t xml:space="preserve"> которые обязаны представлять декларацию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ЖКХ,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</w:t>
            </w: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установленных индивидуальных приборов учета в жилых помещениях муниципальной собственности, от запланированного количеств</w:t>
            </w:r>
            <w:r>
              <w:rPr>
                <w:rFonts w:ascii="Times New Roman" w:hAnsi="Times New Roman" w:cs="Times New Roman"/>
              </w:rPr>
              <w:t xml:space="preserve">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ОС и ЖКХ</w:t>
            </w: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6" w:name="Par230"/>
      <w:r/>
      <w:bookmarkEnd w:id="6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68"/>
        <w:jc w:val="both"/>
        <w:spacing w:before="0" w:beforeAutospacing="0" w:after="0" w:afterAutospacing="0" w:line="276" w:lineRule="auto"/>
        <w:rPr>
          <w:sz w:val="16"/>
        </w:rPr>
      </w:pPr>
      <w:r>
        <w:rPr>
          <w:sz w:val="16"/>
          <w:vertAlign w:val="superscript"/>
        </w:rPr>
        <w:t xml:space="preserve">1 </w:t>
      </w:r>
      <w:r>
        <w:rPr>
          <w:sz w:val="16"/>
        </w:rPr>
        <w:t xml:space="preserve">Направленность показателя обозначается: </w:t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1 - направленность на рост; </w:t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(-1) - направленность на снижение; </w:t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0 - направленность на достижение конкретного значения. </w:t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8"/>
        <w:contextualSpacing/>
        <w:ind w:firstLine="284"/>
        <w:jc w:val="both"/>
        <w:spacing w:before="168" w:beforeAutospacing="0" w:after="0" w:afterAutospacing="0" w:line="276" w:lineRule="auto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left="944" w:hanging="10"/>
        <w:jc w:val="center"/>
        <w:keepLines/>
        <w:keepNext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4. Перечень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структурных элементов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мероприятий муниципальной программы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151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tbl>
      <w:tblPr>
        <w:tblW w:w="15320" w:type="dxa"/>
        <w:tblInd w:w="154" w:type="dxa"/>
        <w:tblCellMar>
          <w:left w:w="113" w:type="dxa"/>
          <w:top w:w="7" w:type="dxa"/>
          <w:right w:w="60" w:type="dxa"/>
        </w:tblCellMar>
        <w:tblLook w:val="04A0" w:firstRow="1" w:lastRow="0" w:firstColumn="1" w:lastColumn="0" w:noHBand="0" w:noVBand="1"/>
      </w:tblPr>
      <w:tblGrid>
        <w:gridCol w:w="669"/>
        <w:gridCol w:w="4535"/>
        <w:gridCol w:w="1701"/>
        <w:gridCol w:w="2552"/>
        <w:gridCol w:w="5863"/>
      </w:tblGrid>
      <w:tr>
        <w:tblPrEx/>
        <w:trPr>
          <w:trHeight w:val="7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9" w:type="dxa"/>
            <w:vAlign w:val="center"/>
            <w:textDirection w:val="lrTb"/>
            <w:noWrap w:val="false"/>
          </w:tcPr>
          <w:p>
            <w:pPr>
              <w:ind w:left="60"/>
              <w:spacing w:after="15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>
            <w:pPr>
              <w:ind w:left="17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п/п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5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Срок выполнения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3" w:type="dxa"/>
            <w:textDirection w:val="lrTb"/>
            <w:noWrap w:val="false"/>
          </w:tcPr>
          <w:p>
            <w:pPr>
              <w:jc w:val="center"/>
              <w:spacing w:after="43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Связь с показателями муниципальной программы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ind w:right="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9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1" w:type="dxa"/>
            <w:textDirection w:val="lrTb"/>
            <w:noWrap w:val="false"/>
          </w:tcPr>
          <w:p>
            <w:pPr>
              <w:ind w:right="57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Муниципальная программа «Энергосбережение и повышение энергоэффективности»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0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1.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</w:t>
            </w:r>
            <w:r>
              <w:rPr>
                <w:rFonts w:ascii="Times New Roman" w:hAnsi="Times New Roman" w:cs="Times New Roman"/>
              </w:rPr>
              <w:t xml:space="preserve">«</w:t>
            </w:r>
            <w:r>
              <w:rPr>
                <w:rFonts w:ascii="Times New Roman" w:hAnsi="Times New Roman" w:cs="Times New Roman"/>
              </w:rPr>
              <w:t xml:space="preserve">Повышение уровня эффективности энергопотребления в муниципальном секторе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2026 - 2028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</w:t>
            </w:r>
            <w:r>
              <w:rPr>
                <w:rFonts w:ascii="Times New Roman" w:hAnsi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63" w:type="dxa"/>
            <w:textDirection w:val="lrTb"/>
            <w:noWrap w:val="false"/>
          </w:tcPr>
          <w:p>
            <w:pPr>
              <w:pStyle w:val="96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0.1. 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0.2. 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0.3. Доля муниципальных учреждений, подавших декларации о потреблении энергетических ресурсов в государственной информационной системе «Энергоэффективность», от общего количества муниципальных учреждений, которые обязаны представлять декларацию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6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2.</w:t>
            </w:r>
            <w:r>
              <w:rPr>
                <w:rFonts w:ascii="Times New Roman" w:hAnsi="Times New Roman" w:cs="Times New Roman"/>
              </w:rPr>
              <w:t xml:space="preserve">                       «</w:t>
            </w:r>
            <w:r>
              <w:rPr>
                <w:rFonts w:ascii="Times New Roman" w:hAnsi="Times New Roman" w:cs="Times New Roman"/>
              </w:rPr>
              <w:t xml:space="preserve">Повышение уровня эффективности энергопотребления в муниципальном жилищном фонде»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2026 - 2028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863" w:type="dxa"/>
            <w:textDirection w:val="lrTb"/>
            <w:noWrap w:val="false"/>
          </w:tcPr>
          <w:p>
            <w:pPr>
              <w:pStyle w:val="96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0.4. Доля установленных индивидуальных приборов учета в жилых помещениях муниципальной собственности, от запланированного количества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. Сведения об объемах финансирования муниципальной программы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2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tbl>
      <w:tblPr>
        <w:tblW w:w="15643" w:type="dxa"/>
        <w:tblInd w:w="-108" w:type="dxa"/>
        <w:tblCellMar>
          <w:left w:w="83" w:type="dxa"/>
          <w:top w:w="30" w:type="dxa"/>
          <w:right w:w="30" w:type="dxa"/>
        </w:tblCellMar>
        <w:tblLook w:val="04A0" w:firstRow="1" w:lastRow="0" w:firstColumn="1" w:lastColumn="0" w:noHBand="0" w:noVBand="1"/>
      </w:tblPr>
      <w:tblGrid>
        <w:gridCol w:w="633"/>
        <w:gridCol w:w="3792"/>
        <w:gridCol w:w="1184"/>
        <w:gridCol w:w="1554"/>
        <w:gridCol w:w="1554"/>
        <w:gridCol w:w="1554"/>
        <w:gridCol w:w="1695"/>
        <w:gridCol w:w="1695"/>
        <w:gridCol w:w="1982"/>
      </w:tblGrid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5" w:type="dxa"/>
            <w:vAlign w:val="center"/>
            <w:vMerge w:val="restart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№ п/п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Муниципальная программа, ГРБС, направления (подпрограммы) 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Период реализации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W w:w="8080" w:type="dxa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Год/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right="54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5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Align w:val="center"/>
            <w:vMerge w:val="restart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Муниципальная про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грамма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"Энергосбережение и повышение энерг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эффективности"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left="1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left="1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6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5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0.1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 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ind w:right="58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635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38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1.</w:t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«Повышение уровня эффективности энергопотребления в муниципальном секторе»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ЖКХ,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5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8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5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8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5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8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5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5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2.</w:t>
            </w:r>
            <w:r>
              <w:rPr>
                <w:rFonts w:ascii="Times New Roman" w:hAnsi="Times New Roman" w:cs="Times New Roman"/>
              </w:rPr>
              <w:t xml:space="preserve">                       «Повышение уровня эффективности энергопотребления в муниципальном жилищном фонде»</w:t>
            </w:r>
            <w:r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2026 - 2028</w:t>
            </w:r>
            <w:r/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809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60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9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701" w:type="dxa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5" w:type="dxa"/>
            <w:vAlign w:val="bottom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</w:tbl>
    <w:p>
      <w:pPr>
        <w:pStyle w:val="956"/>
        <w:ind w:left="5171"/>
        <w:spacing w:line="259" w:lineRule="auto"/>
        <w:rPr>
          <w:rFonts w:ascii="Times New Roman" w:hAnsi="Times New Roman" w:eastAsia="Times New Roman" w:cs="Times New Roman"/>
          <w:color w:val="000000"/>
          <w:sz w:val="28"/>
          <w:lang w:val="en-US"/>
        </w:rPr>
      </w:pPr>
      <w:r>
        <w:rPr>
          <w:rFonts w:ascii="Times New Roman" w:hAnsi="Times New Roman" w:eastAsia="Times New Roman" w:cs="Times New Roman"/>
          <w:color w:val="000000"/>
          <w:sz w:val="28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lang w:val="en-US"/>
        </w:rPr>
        <w:tab/>
      </w:r>
      <w:r>
        <w:rPr>
          <w:rFonts w:ascii="Times New Roman" w:hAnsi="Times New Roman" w:eastAsia="Times New Roman" w:cs="Times New Roman"/>
          <w:color w:val="000000"/>
          <w:sz w:val="28"/>
          <w:lang w:val="en-US"/>
        </w:rPr>
      </w:r>
      <w:r>
        <w:rPr>
          <w:rFonts w:ascii="Times New Roman" w:hAnsi="Times New Roman" w:eastAsia="Times New Roman" w:cs="Times New Roman"/>
          <w:color w:val="000000"/>
          <w:sz w:val="28"/>
          <w:lang w:val="en-US"/>
        </w:rPr>
      </w:r>
    </w:p>
    <w:p>
      <w:pPr>
        <w:pStyle w:val="956"/>
        <w:ind w:left="5171"/>
        <w:spacing w:line="259" w:lineRule="auto"/>
        <w:rPr>
          <w:rFonts w:ascii="Times New Roman" w:hAnsi="Times New Roman" w:eastAsia="Times New Roman" w:cs="Times New Roman"/>
          <w:color w:val="000000"/>
          <w:sz w:val="28"/>
          <w:lang w:val="en-US"/>
        </w:rPr>
      </w:pPr>
      <w:r>
        <w:rPr>
          <w:rFonts w:ascii="Times New Roman" w:hAnsi="Times New Roman" w:eastAsia="Times New Roman" w:cs="Times New Roman"/>
          <w:color w:val="000000"/>
          <w:sz w:val="28"/>
          <w:lang w:val="en-US"/>
        </w:rPr>
      </w:r>
      <w:r>
        <w:rPr>
          <w:rFonts w:ascii="Times New Roman" w:hAnsi="Times New Roman" w:eastAsia="Times New Roman" w:cs="Times New Roman"/>
          <w:color w:val="000000"/>
          <w:sz w:val="28"/>
          <w:lang w:val="en-US"/>
        </w:rPr>
      </w:r>
      <w:r>
        <w:rPr>
          <w:rFonts w:ascii="Times New Roman" w:hAnsi="Times New Roman" w:eastAsia="Times New Roman" w:cs="Times New Roman"/>
          <w:color w:val="000000"/>
          <w:sz w:val="28"/>
          <w:lang w:val="en-US"/>
        </w:rPr>
      </w:r>
    </w:p>
    <w:p>
      <w:pPr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956"/>
        <w:ind w:left="0"/>
        <w:jc w:val="center"/>
        <w:spacing w:before="0" w:line="240" w:lineRule="auto"/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  <w:lang w:val="en-US"/>
        </w:rPr>
        <w:t xml:space="preserve">. 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  <w:t xml:space="preserve">Механизмы управления рисками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</w:r>
    </w:p>
    <w:p>
      <w:pPr>
        <w:spacing w:after="0"/>
      </w:pPr>
      <w:r/>
      <w:r/>
    </w:p>
    <w:tbl>
      <w:tblPr>
        <w:tblStyle w:val="973"/>
        <w:tblW w:w="15555" w:type="dxa"/>
        <w:tblLook w:val="04A0" w:firstRow="1" w:lastRow="0" w:firstColumn="1" w:lastColumn="0" w:noHBand="0" w:noVBand="1"/>
      </w:tblPr>
      <w:tblGrid>
        <w:gridCol w:w="562"/>
        <w:gridCol w:w="1843"/>
        <w:gridCol w:w="4082"/>
        <w:gridCol w:w="3425"/>
        <w:gridCol w:w="3856"/>
        <w:gridCol w:w="1787"/>
      </w:tblGrid>
      <w:tr>
        <w:tblPrEx/>
        <w:trPr/>
        <w:tc>
          <w:tcPr>
            <w:tcW w:w="5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40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34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385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Правовой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082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муниципальной программы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425" w:type="dxa"/>
            <w:textDirection w:val="lrTb"/>
            <w:noWrap w:val="false"/>
          </w:tcPr>
          <w:p>
            <w:pPr>
              <w:ind w:right="0"/>
              <w:jc w:val="both"/>
              <w:spacing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856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Оперативное принятие муниципальных нормативных правовых актов, ре</w:t>
            </w:r>
            <w:r>
              <w:rPr>
                <w:rFonts w:ascii="Times New Roman" w:hAnsi="Times New Roman" w:cs="Times New Roman"/>
                <w:lang w:eastAsia="ru-RU"/>
              </w:rPr>
              <w:t xml:space="preserve">гулирующих сферы жилищного обеспечения и благоустройства территорий Печенгского муниципального округа, с целью приведения нормативно-методической базы муниципальной программы в соответствие с государственной политикой на региональном и  федеральном уровнях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Постоянно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Финансовый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082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Недостижение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установленных целевых значений показателей и необходимость внесения изменений в муниципальную программу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425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  <w:suppressLineNumbers w:val="0"/>
            </w:pPr>
            <w:r>
              <w:rPr>
                <w:rFonts w:ascii="Times New Roman" w:hAnsi="Times New Roman" w:cs="Times New Roman"/>
                <w:highlight w:val="yellow"/>
                <w:lang w:eastAsia="ru-RU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856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Внешний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3425" w:type="dxa"/>
            <w:textDirection w:val="lrTb"/>
            <w:noWrap w:val="false"/>
          </w:tcPr>
          <w:p>
            <w:pPr>
              <w:pStyle w:val="968"/>
              <w:ind w:right="0"/>
              <w:jc w:val="both"/>
              <w:spacing w:before="0" w:beforeAutospacing="0" w:after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3856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1787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Постоянно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4082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3425" w:type="dxa"/>
            <w:textDirection w:val="lrTb"/>
            <w:noWrap w:val="false"/>
          </w:tcPr>
          <w:p>
            <w:pPr>
              <w:pStyle w:val="968"/>
              <w:ind w:right="0"/>
              <w:jc w:val="both"/>
              <w:spacing w:before="0" w:beforeAutospacing="0" w:after="0"/>
              <w:rPr>
                <w:sz w:val="22"/>
                <w:szCs w:val="22"/>
              </w:rPr>
              <w:suppressLineNumbers w:val="0"/>
            </w:pPr>
            <w:r>
              <w:rPr>
                <w:sz w:val="22"/>
                <w:szCs w:val="22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3856" w:type="dxa"/>
            <w:textDirection w:val="lrTb"/>
            <w:noWrap w:val="false"/>
          </w:tcPr>
          <w:p>
            <w:pPr>
              <w:ind w:right="0"/>
              <w:jc w:val="both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1787" w:type="dxa"/>
            <w:textDirection w:val="lrTb"/>
            <w:noWrap w:val="false"/>
          </w:tcPr>
          <w:p>
            <w:pPr>
              <w:ind w:right="0"/>
              <w:jc w:val="center"/>
              <w:spacing w:after="0" w:line="240" w:lineRule="auto"/>
              <w:rPr>
                <w:rFonts w:ascii="Times New Roman" w:hAnsi="Times New Roman" w:cs="Times New Roman"/>
              </w:rPr>
              <w:suppressLineNumbers w:val="0"/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Ежегодно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1243" w:right="984" w:firstLine="698"/>
        <w:jc w:val="both"/>
        <w:spacing w:after="15" w:line="268" w:lineRule="auto"/>
        <w:rPr>
          <w:rFonts w:ascii="Times New Roman" w:hAnsi="Times New Roman" w:eastAsia="Times New Roman" w:cs="Times New Roman"/>
          <w:color w:val="000000"/>
          <w:sz w:val="28"/>
        </w:rPr>
        <w:sectPr>
          <w:headerReference w:type="default" r:id="rId9"/>
          <w:headerReference w:type="even" r:id="rId10"/>
          <w:headerReference w:type="first" r:id="rId11"/>
          <w:footnotePr/>
          <w:endnotePr/>
          <w:type w:val="nextPage"/>
          <w:pgSz w:w="16838" w:h="11906" w:orient="landscape"/>
          <w:pgMar w:top="1134" w:right="1440" w:bottom="1134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p>
      <w:pPr>
        <w:ind w:left="11" w:hanging="10"/>
        <w:jc w:val="center"/>
        <w:keepLines/>
        <w:keepNext/>
        <w:spacing w:after="14" w:line="271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7. Порядок взаимодействия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тветственного исполнителя,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С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оисполнителей и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1" w:hanging="10"/>
        <w:jc w:val="center"/>
        <w:keepLines/>
        <w:keepNext/>
        <w:spacing w:after="14" w:line="271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участников муниципальной программы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68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Механизм реализации муниципальной программы основан на скоординированных по срокам и направлениям действиях исполнителей мероприятий программы по достижению намеченной цели. 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  <w:rPr>
          <w:color w:val="000000"/>
          <w:spacing w:val="1"/>
        </w:rPr>
      </w:pPr>
      <w:r>
        <w:t xml:space="preserve">Ответственным исполнителем муниципальной программы является ОС и ЖКХ, соисполнител</w:t>
      </w:r>
      <w:r>
        <w:t xml:space="preserve">ь</w:t>
      </w:r>
      <w:r>
        <w:t xml:space="preserve"> мероприятий муниципальной программы: отдел экономического развития администрации Печенгского муниципального округа</w:t>
      </w:r>
      <w:r>
        <w:t xml:space="preserve">; у</w:t>
      </w:r>
      <w:r>
        <w:t xml:space="preserve">частники муниципальной программы</w:t>
      </w:r>
      <w:r>
        <w:t xml:space="preserve">:</w:t>
      </w:r>
      <w:r>
        <w:t xml:space="preserve"> муниципальные учреждения.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Полномочия ответственного исполнителя и соисполнителей муниципальной программы при реализации муни</w:t>
      </w:r>
      <w:r>
        <w:t xml:space="preserve">ц</w:t>
      </w:r>
      <w:r>
        <w:t xml:space="preserve">ипальной программы установлены Порядком разработки, реализации и оценки эффективности муниципальных программ Печенгского муниципального округа, утвержден постановлением администрации Печенгского муниципального округа от 18.09.2025 </w:t>
        <w:br/>
        <w:t xml:space="preserve">№ 1488 (далее – Порядок)</w:t>
      </w:r>
      <w:r>
        <w:t xml:space="preserve">.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Ответственный исполнитель муниципальной программы: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обеспечивает совместно с соисполнителями разработк</w:t>
      </w:r>
      <w:r>
        <w:t xml:space="preserve">у проекта муниципальной программы, проектов постановлений администрации Печенгского муниципального округа об утверждении муниципальной программы и (или) о внесении изменений в муниципальную программу и их согласование в соответствии с требованиями Порядка;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 запрашивает у соисполнителей муниципальной программы информацию, необходимую для проведения мониторинга и оценки эффективности реализации муниципальной программы;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осуществляет мониторинг реализации муниципальной программы и подготовку отчетов о ходе ее реализации в соответствии с требованиями Порядка.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Соисполнители муниципальной программы: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обеспечивают разработку и реализацию комплексов процессных и(или) проектных мероприятий муниципальной программы, в отношении которых являются соисполнителями;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формируют предложения по разработке проекта муниципальной программы, а также по внесению в нее изменений;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 в пределах своей компетенции участвуют в разработке плана реализации муниципальной программы, направляют ответственному исполнителю соответствующие предложения;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представляют в установленный срок ответственному исполнителю муниципальной программы необходимую информацию для проведения мониторинга и оценки эффективности муниципальной программы.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Участники муниципальной программы: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- представляют ответственному исполнителю муниципальной программы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В целях обеспечения проведения контроля реализации муниципальной программы ответственным исполнителем муниципальной программы совместно с соиспо</w:t>
      </w:r>
      <w:r>
        <w:t xml:space="preserve">лнителями (в части их касающейся), а также отделом экономического развития администрации Печенгского муниципального округа, финансовым управлением администрации Печенгского муниципального округа осуществляется мониторинг реализации муниципальной программы.</w:t>
      </w:r>
      <w:r/>
    </w:p>
    <w:p>
      <w:pPr>
        <w:pStyle w:val="968"/>
        <w:ind w:firstLine="709"/>
        <w:jc w:val="both"/>
        <w:spacing w:before="0" w:beforeAutospacing="0" w:after="0" w:afterAutospacing="0" w:line="240" w:lineRule="auto"/>
      </w:pPr>
      <w:r>
        <w:t xml:space="preserve">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запланированного. </w:t>
      </w: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муниципальной программы в соответствии с Порядком</w:t>
      </w:r>
      <w:r/>
    </w:p>
    <w:p>
      <w:pPr>
        <w:ind w:left="-15" w:firstLine="698"/>
        <w:jc w:val="both"/>
        <w:spacing w:after="15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-15" w:firstLine="698"/>
        <w:jc w:val="both"/>
        <w:spacing w:after="15" w:line="268" w:lineRule="auto"/>
        <w:rPr>
          <w:rFonts w:ascii="Times New Roman" w:hAnsi="Times New Roman" w:cs="Times New Roman"/>
          <w:color w:val="ff0000"/>
          <w:szCs w:val="24"/>
        </w:rPr>
        <w:sectPr>
          <w:footerReference w:type="default" r:id="rId13"/>
          <w:footnotePr/>
          <w:endnotePr/>
          <w:type w:val="nextPage"/>
          <w:pgSz w:w="11905" w:h="16838" w:orient="portrait"/>
          <w:pgMar w:top="993" w:right="565" w:bottom="567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Cs w:val="24"/>
        </w:rPr>
      </w:r>
      <w:r>
        <w:rPr>
          <w:rFonts w:ascii="Times New Roman" w:hAnsi="Times New Roman" w:cs="Times New Roman"/>
          <w:color w:val="ff0000"/>
          <w:szCs w:val="24"/>
        </w:rPr>
      </w:r>
      <w:r>
        <w:rPr>
          <w:rFonts w:ascii="Times New Roman" w:hAnsi="Times New Roman" w:cs="Times New Roman"/>
          <w:color w:val="ff0000"/>
          <w:szCs w:val="24"/>
        </w:rPr>
      </w:r>
    </w:p>
    <w:p>
      <w:pPr>
        <w:pStyle w:val="968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8. Сведения об источниках и методике расчета значений показателей муниципальной программы </w:t>
      </w:r>
      <w:r>
        <w:rPr>
          <w:b/>
        </w:rPr>
      </w:r>
      <w:r>
        <w:rPr>
          <w:b/>
        </w:rPr>
      </w:r>
    </w:p>
    <w:p>
      <w:pPr>
        <w:pStyle w:val="968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  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544"/>
        <w:gridCol w:w="1701"/>
        <w:gridCol w:w="1418"/>
        <w:gridCol w:w="2551"/>
        <w:gridCol w:w="1559"/>
        <w:gridCol w:w="2268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измерения, временная характеристика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Алгоритм расчета (формула)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Базовые показатели (используемые в формуле)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 сбора информации,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формы отчетности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получения фактических значений показателей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исполнитель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01" w:type="dxa"/>
            <w:vAlign w:val="center"/>
            <w:textDirection w:val="lrTb"/>
            <w:noWrap w:val="false"/>
          </w:tcPr>
          <w:p>
            <w:pPr>
              <w:pStyle w:val="968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 «</w:t>
            </w:r>
            <w:r>
              <w:rPr>
                <w:sz w:val="20"/>
                <w:szCs w:val="20"/>
              </w:rPr>
              <w:t xml:space="preserve">Энергосбережение и повышение энергоэффективности</w:t>
            </w:r>
            <w:r>
              <w:rPr>
                <w:sz w:val="20"/>
                <w:szCs w:val="20"/>
              </w:rPr>
              <w:t xml:space="preserve"> 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985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Ведомственные данные (Мониторинг соблюдения лимитов потребления энергетических ресурсов</w:t>
            </w:r>
            <w:r>
              <w:rPr>
                <w:sz w:val="20"/>
                <w:szCs w:val="20"/>
              </w:rPr>
              <w:t xml:space="preserve"> администрации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Муниципальные учреждения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5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пэ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пэ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 – количество муниципальных учреждений, в которых разработаны программы по энергосбережению и повышению энергетической эффективности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(м</w:t>
            </w:r>
            <w:r>
              <w:rPr>
                <w:sz w:val="20"/>
                <w:szCs w:val="20"/>
              </w:rPr>
              <w:t xml:space="preserve">униципальные учреждения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64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Кпэ</w:t>
            </w:r>
            <w:r>
              <w:rPr>
                <w:sz w:val="20"/>
                <w:szCs w:val="20"/>
              </w:rPr>
              <w:t xml:space="preserve"> (план) - общее количество муниципальных учреждений, которым необходимо разработать программы по энергосбережению и повышению энергетической эффективности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5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подавших декларации о потреблении энергетических ресурсов в государственной информационной системе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от общего количества 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учреждений, которые обязаны представлять декларацию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Кд 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 - общее количество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подавших декларацию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потреблении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(м</w:t>
            </w:r>
            <w:r>
              <w:rPr>
                <w:sz w:val="20"/>
                <w:szCs w:val="20"/>
              </w:rPr>
              <w:t xml:space="preserve">униципальные учреждения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не </w:t>
            </w:r>
            <w:r>
              <w:rPr>
                <w:sz w:val="20"/>
                <w:szCs w:val="20"/>
              </w:rPr>
              <w:t xml:space="preserve">позднее 30 апреля года,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Кд (план) </w:t>
            </w:r>
            <w:r>
              <w:rPr>
                <w:sz w:val="20"/>
                <w:szCs w:val="20"/>
              </w:rPr>
              <w:t xml:space="preserve">– количество </w:t>
            </w:r>
            <w:r>
              <w:rPr>
                <w:sz w:val="20"/>
                <w:szCs w:val="20"/>
              </w:rPr>
              <w:t xml:space="preserve">муниципальных учреждений, которые обязаны представлять декларацию о потреблении энергетических ресурсов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5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установленных индивидуальных приборов учета в жилых помещениях муниципальной собственности, от запланированного количества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Процент,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ind w:left="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Dпу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К- количество установленных индивидуальных приборов учета в жилых помещениях  муниципальной собственности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8"/>
              <w:ind w:left="0"/>
              <w:jc w:val="center"/>
              <w:spacing w:before="0" w:beforeAutospacing="0" w:after="0" w:afterAutospacing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pStyle w:val="985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Кпу</w:t>
            </w:r>
            <w:r>
              <w:rPr>
                <w:sz w:val="20"/>
                <w:szCs w:val="20"/>
              </w:rPr>
              <w:t xml:space="preserve"> (план) - общее количество запланированных к установке индивидуальных приборов учета в жилых помещениях  муниципальной собственности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8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-15" w:firstLine="698"/>
        <w:jc w:val="both"/>
        <w:spacing w:after="15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1276" w:right="993" w:bottom="565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993" w:right="565" w:bottom="56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Wingdings">
    <w:panose1 w:val="05000000000000000000"/>
  </w:font>
  <w:font w:name="Symbol">
    <w:panose1 w:val="05050102010706020507"/>
  </w:font>
  <w:font w:name="Lucida Sans Unicode">
    <w:panose1 w:val="020B0602030504020204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</w:pP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60" w:line="259" w:lineRule="auto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60" w:line="259" w:lineRule="auto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/>
      </w:rPr>
    </w:lvl>
    <w:lvl w:ilvl="5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/>
      </w:rPr>
    </w:lvl>
    <w:lvl w:ilvl="6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/>
      </w:rPr>
    </w:lvl>
    <w:lvl w:ilvl="8">
      <w:start w:val="1"/>
      <w:numFmt w:val="bullet"/>
      <w:isLgl w:val="false"/>
      <w:suff w:val="tab"/>
      <w:lvlText w:val=""/>
      <w:lvlJc w:val="left"/>
      <w:pPr>
        <w:ind w:left="3600" w:hanging="360"/>
        <w:tabs>
          <w:tab w:val="num" w:pos="3600" w:leader="none"/>
        </w:tabs>
      </w:pPr>
      <w:rPr>
        <w:rFonts w:ascii="Symbol" w:hAnsi="Symbol" w:cs="Symbol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60"/>
        <w:tabs>
          <w:tab w:val="num" w:pos="1353" w:leader="none"/>
        </w:tabs>
      </w:pPr>
      <w:rPr>
        <w:rFonts w:hint="default" w:ascii="Constantia" w:hAnsi="Constantia" w:cs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7" w:hanging="360"/>
      </w:pPr>
      <w:rPr>
        <w:rFonts w:hint="default" w:eastAsia="Times New Roman"/>
        <w:sz w:val="16"/>
        <w:szCs w:val="16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ascii="Times New Roman CYR" w:hAnsi="Times New Roman CYR" w:eastAsia="Times New Roman" w:cs="Times New Roman CYR"/>
        <w:b/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9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6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4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1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8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5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2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0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73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6"/>
  </w:num>
  <w:num w:numId="3">
    <w:abstractNumId w:val="5"/>
  </w:num>
  <w:num w:numId="4">
    <w:abstractNumId w:val="0"/>
  </w:num>
  <w:num w:numId="5">
    <w:abstractNumId w:val="11"/>
  </w:num>
  <w:num w:numId="6">
    <w:abstractNumId w:val="13"/>
  </w:num>
  <w:num w:numId="7">
    <w:abstractNumId w:val="22"/>
  </w:num>
  <w:num w:numId="8">
    <w:abstractNumId w:val="37"/>
  </w:num>
  <w:num w:numId="9">
    <w:abstractNumId w:val="17"/>
  </w:num>
  <w:num w:numId="10">
    <w:abstractNumId w:val="4"/>
  </w:num>
  <w:num w:numId="11">
    <w:abstractNumId w:val="3"/>
  </w:num>
  <w:num w:numId="12">
    <w:abstractNumId w:val="28"/>
  </w:num>
  <w:num w:numId="13">
    <w:abstractNumId w:val="10"/>
  </w:num>
  <w:num w:numId="14">
    <w:abstractNumId w:val="23"/>
  </w:num>
  <w:num w:numId="15">
    <w:abstractNumId w:val="8"/>
  </w:num>
  <w:num w:numId="16">
    <w:abstractNumId w:val="15"/>
  </w:num>
  <w:num w:numId="17">
    <w:abstractNumId w:val="30"/>
  </w:num>
  <w:num w:numId="18">
    <w:abstractNumId w:val="12"/>
  </w:num>
  <w:num w:numId="19">
    <w:abstractNumId w:val="18"/>
  </w:num>
  <w:num w:numId="20">
    <w:abstractNumId w:val="33"/>
  </w:num>
  <w:num w:numId="21">
    <w:abstractNumId w:val="25"/>
  </w:num>
  <w:num w:numId="22">
    <w:abstractNumId w:val="20"/>
  </w:num>
  <w:num w:numId="23">
    <w:abstractNumId w:val="35"/>
  </w:num>
  <w:num w:numId="24">
    <w:abstractNumId w:val="1"/>
  </w:num>
  <w:num w:numId="25">
    <w:abstractNumId w:val="9"/>
  </w:num>
  <w:num w:numId="26">
    <w:abstractNumId w:val="32"/>
  </w:num>
  <w:num w:numId="2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24"/>
  </w:num>
  <w:num w:numId="30">
    <w:abstractNumId w:val="36"/>
  </w:num>
  <w:num w:numId="31">
    <w:abstractNumId w:val="31"/>
  </w:num>
  <w:num w:numId="32">
    <w:abstractNumId w:val="14"/>
  </w:num>
  <w:num w:numId="33">
    <w:abstractNumId w:val="26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6"/>
  </w:num>
  <w:num w:numId="37">
    <w:abstractNumId w:val="19"/>
  </w:num>
  <w:num w:numId="38">
    <w:abstractNumId w:val="7"/>
  </w:num>
  <w:num w:numId="39">
    <w:abstractNumId w:val="2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6">
    <w:name w:val="Heading 1"/>
    <w:basedOn w:val="955"/>
    <w:next w:val="955"/>
    <w:link w:val="7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7">
    <w:name w:val="Heading 1 Char"/>
    <w:basedOn w:val="959"/>
    <w:link w:val="786"/>
    <w:uiPriority w:val="9"/>
    <w:rPr>
      <w:rFonts w:ascii="Arial" w:hAnsi="Arial" w:eastAsia="Arial" w:cs="Arial"/>
      <w:sz w:val="40"/>
      <w:szCs w:val="40"/>
    </w:rPr>
  </w:style>
  <w:style w:type="character" w:styleId="788">
    <w:name w:val="Heading 2 Char"/>
    <w:basedOn w:val="959"/>
    <w:link w:val="956"/>
    <w:uiPriority w:val="9"/>
    <w:rPr>
      <w:rFonts w:ascii="Arial" w:hAnsi="Arial" w:eastAsia="Arial" w:cs="Arial"/>
      <w:sz w:val="34"/>
    </w:rPr>
  </w:style>
  <w:style w:type="character" w:styleId="789">
    <w:name w:val="Heading 3 Char"/>
    <w:basedOn w:val="959"/>
    <w:link w:val="957"/>
    <w:uiPriority w:val="9"/>
    <w:rPr>
      <w:rFonts w:ascii="Arial" w:hAnsi="Arial" w:eastAsia="Arial" w:cs="Arial"/>
      <w:sz w:val="30"/>
      <w:szCs w:val="30"/>
    </w:rPr>
  </w:style>
  <w:style w:type="paragraph" w:styleId="790">
    <w:name w:val="Heading 4"/>
    <w:basedOn w:val="955"/>
    <w:next w:val="955"/>
    <w:link w:val="79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1">
    <w:name w:val="Heading 4 Char"/>
    <w:basedOn w:val="959"/>
    <w:link w:val="790"/>
    <w:uiPriority w:val="9"/>
    <w:rPr>
      <w:rFonts w:ascii="Arial" w:hAnsi="Arial" w:eastAsia="Arial" w:cs="Arial"/>
      <w:b/>
      <w:bCs/>
      <w:sz w:val="26"/>
      <w:szCs w:val="26"/>
    </w:rPr>
  </w:style>
  <w:style w:type="paragraph" w:styleId="792">
    <w:name w:val="Heading 5"/>
    <w:basedOn w:val="955"/>
    <w:next w:val="955"/>
    <w:link w:val="7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3">
    <w:name w:val="Heading 5 Char"/>
    <w:basedOn w:val="959"/>
    <w:link w:val="792"/>
    <w:uiPriority w:val="9"/>
    <w:rPr>
      <w:rFonts w:ascii="Arial" w:hAnsi="Arial" w:eastAsia="Arial" w:cs="Arial"/>
      <w:b/>
      <w:bCs/>
      <w:sz w:val="24"/>
      <w:szCs w:val="24"/>
    </w:rPr>
  </w:style>
  <w:style w:type="paragraph" w:styleId="794">
    <w:name w:val="Heading 6"/>
    <w:basedOn w:val="955"/>
    <w:next w:val="955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5">
    <w:name w:val="Heading 6 Char"/>
    <w:basedOn w:val="959"/>
    <w:link w:val="794"/>
    <w:uiPriority w:val="9"/>
    <w:rPr>
      <w:rFonts w:ascii="Arial" w:hAnsi="Arial" w:eastAsia="Arial" w:cs="Arial"/>
      <w:b/>
      <w:bCs/>
      <w:sz w:val="22"/>
      <w:szCs w:val="22"/>
    </w:rPr>
  </w:style>
  <w:style w:type="character" w:styleId="796">
    <w:name w:val="Heading 7 Char"/>
    <w:basedOn w:val="959"/>
    <w:link w:val="9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7">
    <w:name w:val="Heading 8"/>
    <w:basedOn w:val="955"/>
    <w:next w:val="955"/>
    <w:link w:val="7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8">
    <w:name w:val="Heading 8 Char"/>
    <w:basedOn w:val="959"/>
    <w:link w:val="797"/>
    <w:uiPriority w:val="9"/>
    <w:rPr>
      <w:rFonts w:ascii="Arial" w:hAnsi="Arial" w:eastAsia="Arial" w:cs="Arial"/>
      <w:i/>
      <w:iCs/>
      <w:sz w:val="22"/>
      <w:szCs w:val="22"/>
    </w:rPr>
  </w:style>
  <w:style w:type="paragraph" w:styleId="799">
    <w:name w:val="Heading 9"/>
    <w:basedOn w:val="955"/>
    <w:next w:val="955"/>
    <w:link w:val="8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0">
    <w:name w:val="Heading 9 Char"/>
    <w:basedOn w:val="959"/>
    <w:link w:val="799"/>
    <w:uiPriority w:val="9"/>
    <w:rPr>
      <w:rFonts w:ascii="Arial" w:hAnsi="Arial" w:eastAsia="Arial" w:cs="Arial"/>
      <w:i/>
      <w:iCs/>
      <w:sz w:val="21"/>
      <w:szCs w:val="21"/>
    </w:rPr>
  </w:style>
  <w:style w:type="paragraph" w:styleId="801">
    <w:name w:val="Title"/>
    <w:basedOn w:val="955"/>
    <w:next w:val="955"/>
    <w:link w:val="8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2">
    <w:name w:val="Title Char"/>
    <w:basedOn w:val="959"/>
    <w:link w:val="801"/>
    <w:uiPriority w:val="10"/>
    <w:rPr>
      <w:sz w:val="48"/>
      <w:szCs w:val="48"/>
    </w:rPr>
  </w:style>
  <w:style w:type="paragraph" w:styleId="803">
    <w:name w:val="Subtitle"/>
    <w:basedOn w:val="955"/>
    <w:next w:val="955"/>
    <w:link w:val="804"/>
    <w:uiPriority w:val="11"/>
    <w:qFormat/>
    <w:pPr>
      <w:spacing w:before="200" w:after="200"/>
    </w:pPr>
    <w:rPr>
      <w:sz w:val="24"/>
      <w:szCs w:val="24"/>
    </w:rPr>
  </w:style>
  <w:style w:type="character" w:styleId="804">
    <w:name w:val="Subtitle Char"/>
    <w:basedOn w:val="959"/>
    <w:link w:val="803"/>
    <w:uiPriority w:val="11"/>
    <w:rPr>
      <w:sz w:val="24"/>
      <w:szCs w:val="24"/>
    </w:rPr>
  </w:style>
  <w:style w:type="paragraph" w:styleId="805">
    <w:name w:val="Quote"/>
    <w:basedOn w:val="955"/>
    <w:next w:val="955"/>
    <w:link w:val="806"/>
    <w:uiPriority w:val="29"/>
    <w:qFormat/>
    <w:pPr>
      <w:ind w:left="720" w:right="720"/>
    </w:pPr>
    <w:rPr>
      <w:i/>
    </w:rPr>
  </w:style>
  <w:style w:type="character" w:styleId="806">
    <w:name w:val="Quote Char"/>
    <w:link w:val="805"/>
    <w:uiPriority w:val="29"/>
    <w:rPr>
      <w:i/>
    </w:rPr>
  </w:style>
  <w:style w:type="paragraph" w:styleId="807">
    <w:name w:val="Intense Quote"/>
    <w:basedOn w:val="955"/>
    <w:next w:val="955"/>
    <w:link w:val="8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8">
    <w:name w:val="Intense Quote Char"/>
    <w:link w:val="807"/>
    <w:uiPriority w:val="30"/>
    <w:rPr>
      <w:i/>
    </w:rPr>
  </w:style>
  <w:style w:type="character" w:styleId="809">
    <w:name w:val="Header Char"/>
    <w:basedOn w:val="959"/>
    <w:link w:val="974"/>
    <w:uiPriority w:val="99"/>
  </w:style>
  <w:style w:type="character" w:styleId="810">
    <w:name w:val="Footer Char"/>
    <w:basedOn w:val="959"/>
    <w:link w:val="969"/>
    <w:uiPriority w:val="99"/>
  </w:style>
  <w:style w:type="paragraph" w:styleId="811">
    <w:name w:val="Caption"/>
    <w:basedOn w:val="955"/>
    <w:next w:val="9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2">
    <w:name w:val="Caption Char"/>
    <w:basedOn w:val="811"/>
    <w:link w:val="969"/>
    <w:uiPriority w:val="99"/>
  </w:style>
  <w:style w:type="table" w:styleId="813">
    <w:name w:val="Table Grid Light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4">
    <w:name w:val="Plain Table 1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>
    <w:name w:val="Plain Table 2"/>
    <w:basedOn w:val="9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>
    <w:name w:val="Plain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7">
    <w:name w:val="Plain Table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Plain Table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9">
    <w:name w:val="Grid Table 1 Light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4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1">
    <w:name w:val="Grid Table 4 - Accent 1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2">
    <w:name w:val="Grid Table 4 - Accent 2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3">
    <w:name w:val="Grid Table 4 - Accent 3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4">
    <w:name w:val="Grid Table 4 - Accent 4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5">
    <w:name w:val="Grid Table 4 - Accent 5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6">
    <w:name w:val="Grid Table 4 - Accent 6"/>
    <w:basedOn w:val="9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7">
    <w:name w:val="Grid Table 5 Dark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8">
    <w:name w:val="Grid Table 5 Dark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0">
    <w:name w:val="Grid Table 5 Dark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1">
    <w:name w:val="Grid Table 5 Dark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3">
    <w:name w:val="Grid Table 5 Dark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4">
    <w:name w:val="Grid Table 6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5">
    <w:name w:val="Grid Table 6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6">
    <w:name w:val="Grid Table 6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7">
    <w:name w:val="Grid Table 6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8">
    <w:name w:val="Grid Table 6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9">
    <w:name w:val="Grid Table 6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0">
    <w:name w:val="Grid Table 6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1">
    <w:name w:val="Grid Table 7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6">
    <w:name w:val="List Table 2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7">
    <w:name w:val="List Table 2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8">
    <w:name w:val="List Table 2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9">
    <w:name w:val="List Table 2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0">
    <w:name w:val="List Table 2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1">
    <w:name w:val="List Table 2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2">
    <w:name w:val="List Table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5 Dark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6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4">
    <w:name w:val="List Table 6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5">
    <w:name w:val="List Table 6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6">
    <w:name w:val="List Table 6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7">
    <w:name w:val="List Table 6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8">
    <w:name w:val="List Table 6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9">
    <w:name w:val="List Table 6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0">
    <w:name w:val="List Table 7 Colorful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1">
    <w:name w:val="List Table 7 Colorful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2">
    <w:name w:val="List Table 7 Colorful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3">
    <w:name w:val="List Table 7 Colorful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4">
    <w:name w:val="List Table 7 Colorful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5">
    <w:name w:val="List Table 7 Colorful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6">
    <w:name w:val="List Table 7 Colorful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7">
    <w:name w:val="Lined - Accent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8">
    <w:name w:val="Lined - Accent 1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9">
    <w:name w:val="Lined - Accent 2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0">
    <w:name w:val="Lined - Accent 3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1">
    <w:name w:val="Lined - Accent 4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2">
    <w:name w:val="Lined - Accent 5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3">
    <w:name w:val="Lined - Accent 6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4">
    <w:name w:val="Bordered &amp; Lined - Accent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5">
    <w:name w:val="Bordered &amp; Lined - Accent 1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6">
    <w:name w:val="Bordered &amp; Lined - Accent 2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7">
    <w:name w:val="Bordered &amp; Lined - Accent 3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8">
    <w:name w:val="Bordered &amp; Lined - Accent 4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9">
    <w:name w:val="Bordered &amp; Lined - Accent 5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0">
    <w:name w:val="Bordered &amp; Lined - Accent 6"/>
    <w:basedOn w:val="9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1">
    <w:name w:val="Bordered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2">
    <w:name w:val="Bordered - Accent 1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3">
    <w:name w:val="Bordered - Accent 2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4">
    <w:name w:val="Bordered - Accent 3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5">
    <w:name w:val="Bordered - Accent 4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6">
    <w:name w:val="Bordered - Accent 5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7">
    <w:name w:val="Bordered - Accent 6"/>
    <w:basedOn w:val="9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8">
    <w:name w:val="footnote text"/>
    <w:basedOn w:val="955"/>
    <w:link w:val="939"/>
    <w:uiPriority w:val="99"/>
    <w:semiHidden/>
    <w:unhideWhenUsed/>
    <w:pPr>
      <w:spacing w:after="40" w:line="240" w:lineRule="auto"/>
    </w:pPr>
    <w:rPr>
      <w:sz w:val="18"/>
    </w:rPr>
  </w:style>
  <w:style w:type="character" w:styleId="939">
    <w:name w:val="Footnote Text Char"/>
    <w:link w:val="938"/>
    <w:uiPriority w:val="99"/>
    <w:rPr>
      <w:sz w:val="18"/>
    </w:rPr>
  </w:style>
  <w:style w:type="character" w:styleId="940">
    <w:name w:val="footnote reference"/>
    <w:basedOn w:val="959"/>
    <w:uiPriority w:val="99"/>
    <w:unhideWhenUsed/>
    <w:rPr>
      <w:vertAlign w:val="superscript"/>
    </w:rPr>
  </w:style>
  <w:style w:type="paragraph" w:styleId="941">
    <w:name w:val="endnote text"/>
    <w:basedOn w:val="955"/>
    <w:link w:val="942"/>
    <w:uiPriority w:val="99"/>
    <w:semiHidden/>
    <w:unhideWhenUsed/>
    <w:pPr>
      <w:spacing w:after="0" w:line="240" w:lineRule="auto"/>
    </w:pPr>
    <w:rPr>
      <w:sz w:val="20"/>
    </w:rPr>
  </w:style>
  <w:style w:type="character" w:styleId="942">
    <w:name w:val="Endnote Text Char"/>
    <w:link w:val="941"/>
    <w:uiPriority w:val="99"/>
    <w:rPr>
      <w:sz w:val="20"/>
    </w:rPr>
  </w:style>
  <w:style w:type="character" w:styleId="943">
    <w:name w:val="endnote reference"/>
    <w:basedOn w:val="959"/>
    <w:uiPriority w:val="99"/>
    <w:semiHidden/>
    <w:unhideWhenUsed/>
    <w:rPr>
      <w:vertAlign w:val="superscript"/>
    </w:rPr>
  </w:style>
  <w:style w:type="paragraph" w:styleId="944">
    <w:name w:val="toc 1"/>
    <w:basedOn w:val="955"/>
    <w:next w:val="955"/>
    <w:uiPriority w:val="39"/>
    <w:unhideWhenUsed/>
    <w:pPr>
      <w:ind w:left="0" w:right="0" w:firstLine="0"/>
      <w:spacing w:after="57"/>
    </w:pPr>
  </w:style>
  <w:style w:type="paragraph" w:styleId="945">
    <w:name w:val="toc 2"/>
    <w:basedOn w:val="955"/>
    <w:next w:val="955"/>
    <w:uiPriority w:val="39"/>
    <w:unhideWhenUsed/>
    <w:pPr>
      <w:ind w:left="283" w:right="0" w:firstLine="0"/>
      <w:spacing w:after="57"/>
    </w:pPr>
  </w:style>
  <w:style w:type="paragraph" w:styleId="946">
    <w:name w:val="toc 3"/>
    <w:basedOn w:val="955"/>
    <w:next w:val="955"/>
    <w:uiPriority w:val="39"/>
    <w:unhideWhenUsed/>
    <w:pPr>
      <w:ind w:left="567" w:right="0" w:firstLine="0"/>
      <w:spacing w:after="57"/>
    </w:pPr>
  </w:style>
  <w:style w:type="paragraph" w:styleId="947">
    <w:name w:val="toc 4"/>
    <w:basedOn w:val="955"/>
    <w:next w:val="955"/>
    <w:uiPriority w:val="39"/>
    <w:unhideWhenUsed/>
    <w:pPr>
      <w:ind w:left="850" w:right="0" w:firstLine="0"/>
      <w:spacing w:after="57"/>
    </w:pPr>
  </w:style>
  <w:style w:type="paragraph" w:styleId="948">
    <w:name w:val="toc 5"/>
    <w:basedOn w:val="955"/>
    <w:next w:val="955"/>
    <w:uiPriority w:val="39"/>
    <w:unhideWhenUsed/>
    <w:pPr>
      <w:ind w:left="1134" w:right="0" w:firstLine="0"/>
      <w:spacing w:after="57"/>
    </w:pPr>
  </w:style>
  <w:style w:type="paragraph" w:styleId="949">
    <w:name w:val="toc 6"/>
    <w:basedOn w:val="955"/>
    <w:next w:val="955"/>
    <w:uiPriority w:val="39"/>
    <w:unhideWhenUsed/>
    <w:pPr>
      <w:ind w:left="1417" w:right="0" w:firstLine="0"/>
      <w:spacing w:after="57"/>
    </w:pPr>
  </w:style>
  <w:style w:type="paragraph" w:styleId="950">
    <w:name w:val="toc 7"/>
    <w:basedOn w:val="955"/>
    <w:next w:val="955"/>
    <w:uiPriority w:val="39"/>
    <w:unhideWhenUsed/>
    <w:pPr>
      <w:ind w:left="1701" w:right="0" w:firstLine="0"/>
      <w:spacing w:after="57"/>
    </w:pPr>
  </w:style>
  <w:style w:type="paragraph" w:styleId="951">
    <w:name w:val="toc 8"/>
    <w:basedOn w:val="955"/>
    <w:next w:val="955"/>
    <w:uiPriority w:val="39"/>
    <w:unhideWhenUsed/>
    <w:pPr>
      <w:ind w:left="1984" w:right="0" w:firstLine="0"/>
      <w:spacing w:after="57"/>
    </w:pPr>
  </w:style>
  <w:style w:type="paragraph" w:styleId="952">
    <w:name w:val="toc 9"/>
    <w:basedOn w:val="955"/>
    <w:next w:val="955"/>
    <w:uiPriority w:val="39"/>
    <w:unhideWhenUsed/>
    <w:pPr>
      <w:ind w:left="2268" w:right="0" w:firstLine="0"/>
      <w:spacing w:after="57"/>
    </w:pPr>
  </w:style>
  <w:style w:type="paragraph" w:styleId="953">
    <w:name w:val="TOC Heading"/>
    <w:uiPriority w:val="39"/>
    <w:unhideWhenUsed/>
  </w:style>
  <w:style w:type="paragraph" w:styleId="954">
    <w:name w:val="table of figures"/>
    <w:basedOn w:val="955"/>
    <w:next w:val="955"/>
    <w:uiPriority w:val="99"/>
    <w:unhideWhenUsed/>
    <w:pPr>
      <w:spacing w:after="0" w:afterAutospacing="0"/>
    </w:pPr>
  </w:style>
  <w:style w:type="paragraph" w:styleId="955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56">
    <w:name w:val="Heading 2"/>
    <w:basedOn w:val="955"/>
    <w:next w:val="955"/>
    <w:link w:val="994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57">
    <w:name w:val="Heading 3"/>
    <w:basedOn w:val="955"/>
    <w:link w:val="992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958">
    <w:name w:val="Heading 7"/>
    <w:basedOn w:val="955"/>
    <w:next w:val="955"/>
    <w:link w:val="995"/>
    <w:semiHidden/>
    <w:unhideWhenUsed/>
    <w:qFormat/>
    <w:pPr>
      <w:keepLines/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959" w:default="1">
    <w:name w:val="Default Paragraph Font"/>
    <w:uiPriority w:val="1"/>
    <w:semiHidden/>
    <w:unhideWhenUsed/>
  </w:style>
  <w:style w:type="table" w:styleId="9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1" w:default="1">
    <w:name w:val="No List"/>
    <w:uiPriority w:val="99"/>
    <w:semiHidden/>
    <w:unhideWhenUsed/>
  </w:style>
  <w:style w:type="paragraph" w:styleId="96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63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64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65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966" w:customStyle="1">
    <w:name w:val="Абзац списка1"/>
    <w:basedOn w:val="955"/>
    <w:pPr>
      <w:ind w:left="720"/>
    </w:pPr>
  </w:style>
  <w:style w:type="paragraph" w:styleId="967" w:customStyle="1">
    <w:name w:val="Содержимое таблицы"/>
    <w:basedOn w:val="955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968">
    <w:name w:val="Normal (Web)"/>
    <w:basedOn w:val="95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9">
    <w:name w:val="Footer"/>
    <w:basedOn w:val="955"/>
    <w:link w:val="970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970" w:customStyle="1">
    <w:name w:val="Нижний колонтитул Знак"/>
    <w:link w:val="969"/>
    <w:rPr>
      <w:rFonts w:ascii="Arial" w:hAnsi="Arial" w:cs="Arial"/>
      <w:sz w:val="20"/>
      <w:szCs w:val="20"/>
      <w:lang w:eastAsia="ru-RU"/>
    </w:rPr>
  </w:style>
  <w:style w:type="character" w:styleId="971">
    <w:name w:val="page number"/>
    <w:basedOn w:val="959"/>
  </w:style>
  <w:style w:type="paragraph" w:styleId="972" w:customStyle="1">
    <w:name w:val="Абзац списка1"/>
    <w:basedOn w:val="955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73">
    <w:name w:val="Table Grid"/>
    <w:basedOn w:val="960"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4">
    <w:name w:val="Header"/>
    <w:basedOn w:val="955"/>
    <w:link w:val="975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959"/>
    <w:link w:val="974"/>
  </w:style>
  <w:style w:type="paragraph" w:styleId="976">
    <w:name w:val="Balloon Text"/>
    <w:basedOn w:val="955"/>
    <w:link w:val="977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77" w:customStyle="1">
    <w:name w:val="Текст выноски Знак"/>
    <w:link w:val="976"/>
    <w:semiHidden/>
    <w:rPr>
      <w:rFonts w:ascii="Tahoma" w:hAnsi="Tahoma" w:cs="Tahoma"/>
      <w:sz w:val="16"/>
      <w:szCs w:val="16"/>
    </w:rPr>
  </w:style>
  <w:style w:type="character" w:styleId="978" w:customStyle="1">
    <w:name w:val="МОН Знак"/>
    <w:link w:val="979"/>
    <w:rPr>
      <w:sz w:val="24"/>
      <w:szCs w:val="24"/>
    </w:rPr>
  </w:style>
  <w:style w:type="paragraph" w:styleId="979" w:customStyle="1">
    <w:name w:val="МОН"/>
    <w:basedOn w:val="955"/>
    <w:link w:val="978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980">
    <w:name w:val="Strong"/>
    <w:qFormat/>
    <w:rPr>
      <w:b/>
      <w:bCs/>
    </w:rPr>
  </w:style>
  <w:style w:type="character" w:styleId="981">
    <w:name w:val="Hyperlink"/>
    <w:semiHidden/>
    <w:rPr>
      <w:color w:val="0000ff"/>
      <w:u w:val="single"/>
    </w:rPr>
  </w:style>
  <w:style w:type="paragraph" w:styleId="982">
    <w:name w:val="Body Text Indent"/>
    <w:basedOn w:val="955"/>
    <w:link w:val="983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3" w:customStyle="1">
    <w:name w:val="Основной текст с отступом Знак"/>
    <w:link w:val="982"/>
    <w:rPr>
      <w:rFonts w:ascii="Times New Roman" w:hAnsi="Times New Roman" w:eastAsia="Times New Roman"/>
      <w:sz w:val="24"/>
      <w:szCs w:val="24"/>
    </w:rPr>
  </w:style>
  <w:style w:type="paragraph" w:styleId="984" w:customStyle="1">
    <w:name w:val="Знак Знак Знак Знак"/>
    <w:basedOn w:val="955"/>
    <w:pPr>
      <w:spacing w:after="160" w:line="240" w:lineRule="exact"/>
    </w:pPr>
    <w:rPr>
      <w:rFonts w:ascii="Arial" w:hAnsi="Arial" w:eastAsia="Times New Roman" w:cs="Arial"/>
      <w:sz w:val="20"/>
      <w:szCs w:val="20"/>
      <w:lang w:val="en-US"/>
    </w:rPr>
  </w:style>
  <w:style w:type="paragraph" w:styleId="985">
    <w:name w:val="Body Text Indent 2"/>
    <w:basedOn w:val="955"/>
    <w:link w:val="986"/>
    <w:pPr>
      <w:ind w:left="283"/>
      <w:spacing w:after="120" w:line="480" w:lineRule="auto"/>
    </w:pPr>
  </w:style>
  <w:style w:type="character" w:styleId="986" w:customStyle="1">
    <w:name w:val="Основной текст с отступом 2 Знак"/>
    <w:link w:val="985"/>
    <w:rPr>
      <w:rFonts w:cs="Calibri"/>
      <w:sz w:val="22"/>
      <w:szCs w:val="22"/>
      <w:lang w:eastAsia="en-US"/>
    </w:rPr>
  </w:style>
  <w:style w:type="paragraph" w:styleId="987">
    <w:name w:val="List Paragraph"/>
    <w:basedOn w:val="955"/>
    <w:link w:val="991"/>
    <w:uiPriority w:val="99"/>
    <w:qFormat/>
    <w:pPr>
      <w:contextualSpacing/>
      <w:ind w:left="720"/>
    </w:pPr>
    <w:rPr>
      <w:rFonts w:cs="Times New Roman"/>
    </w:rPr>
  </w:style>
  <w:style w:type="paragraph" w:styleId="988">
    <w:name w:val="Body Text 2"/>
    <w:basedOn w:val="955"/>
    <w:link w:val="989"/>
    <w:uiPriority w:val="99"/>
    <w:unhideWhenUsed/>
    <w:pPr>
      <w:spacing w:after="120" w:line="480" w:lineRule="auto"/>
    </w:pPr>
    <w:rPr>
      <w:rFonts w:cs="Times New Roman"/>
    </w:rPr>
  </w:style>
  <w:style w:type="character" w:styleId="989" w:customStyle="1">
    <w:name w:val="Основной текст 2 Знак"/>
    <w:link w:val="988"/>
    <w:uiPriority w:val="99"/>
    <w:rPr>
      <w:sz w:val="22"/>
      <w:szCs w:val="22"/>
      <w:lang w:eastAsia="en-US"/>
    </w:rPr>
  </w:style>
  <w:style w:type="paragraph" w:styleId="990" w:customStyle="1">
    <w:name w:val="Знак Знак2"/>
    <w:basedOn w:val="9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 w:customStyle="1">
    <w:name w:val="Абзац списка Знак"/>
    <w:link w:val="987"/>
    <w:uiPriority w:val="99"/>
    <w:rPr>
      <w:sz w:val="22"/>
      <w:szCs w:val="22"/>
      <w:lang w:eastAsia="en-US"/>
    </w:rPr>
  </w:style>
  <w:style w:type="character" w:styleId="992" w:customStyle="1">
    <w:name w:val="Заголовок 3 Знак"/>
    <w:link w:val="957"/>
    <w:uiPriority w:val="9"/>
    <w:rPr>
      <w:rFonts w:ascii="Times New Roman" w:hAnsi="Times New Roman" w:eastAsia="Times New Roman"/>
      <w:b/>
      <w:bCs/>
      <w:sz w:val="27"/>
      <w:szCs w:val="27"/>
    </w:rPr>
  </w:style>
  <w:style w:type="paragraph" w:styleId="993">
    <w:name w:val="No Spacing"/>
    <w:uiPriority w:val="1"/>
    <w:qFormat/>
    <w:rPr>
      <w:rFonts w:cs="Calibri"/>
      <w:sz w:val="22"/>
      <w:szCs w:val="22"/>
      <w:lang w:eastAsia="en-US"/>
    </w:rPr>
  </w:style>
  <w:style w:type="character" w:styleId="994" w:customStyle="1">
    <w:name w:val="Заголовок 2 Знак"/>
    <w:basedOn w:val="959"/>
    <w:link w:val="956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n-US"/>
    </w:rPr>
  </w:style>
  <w:style w:type="character" w:styleId="995" w:customStyle="1">
    <w:name w:val="Заголовок 7 Знак"/>
    <w:basedOn w:val="959"/>
    <w:link w:val="958"/>
    <w:uiPriority w:val="9"/>
    <w:rPr>
      <w:rFonts w:asciiTheme="majorHAnsi" w:hAnsiTheme="majorHAnsi" w:eastAsiaTheme="majorEastAsia" w:cstheme="majorBidi"/>
      <w:i/>
      <w:iCs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1.png"/><Relationship Id="rId15" Type="http://schemas.openxmlformats.org/officeDocument/2006/relationships/hyperlink" Target="http://docs.cntd.ru/document/90218628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9</cp:revision>
  <dcterms:created xsi:type="dcterms:W3CDTF">2025-11-12T15:05:00Z</dcterms:created>
  <dcterms:modified xsi:type="dcterms:W3CDTF">2025-11-19T09:50:38Z</dcterms:modified>
</cp:coreProperties>
</file>