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  <w:lang w:val="en-US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  <w:lang w:val="en-US"/>
        </w:rPr>
      </w:r>
      <w:r>
        <w:rPr>
          <w:b/>
          <w:color w:val="000000"/>
          <w:sz w:val="24"/>
          <w:szCs w:val="24"/>
          <w:lang w:val="en-US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21.11.2025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        </w:t>
      </w:r>
      <w:r>
        <w:rPr>
          <w:b/>
          <w:color w:val="000000"/>
          <w:sz w:val="24"/>
        </w:rPr>
        <w:t xml:space="preserve"> № 1923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Об утверждении Перечней главных администраторов доходов и источников финансирования дефицита бюджета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пунктом 3.2 статьи 160.1 и пунктом 4 статьи 160.2 Бюджетного кодекса Российской Федерации, постановлением Правительства Российской Федерации</w:t>
      </w:r>
      <w:r>
        <w:rPr>
          <w:sz w:val="24"/>
          <w:szCs w:val="24"/>
        </w:rPr>
        <w:br/>
        <w:t xml:space="preserve">от 16.09.2021 № 1568 «Об утверждении общих требований к закреплению за органами государственной власти (государственными органами) субъекта Российской Федера</w:t>
      </w:r>
      <w:r>
        <w:rPr>
          <w:sz w:val="24"/>
          <w:szCs w:val="24"/>
        </w:rPr>
        <w:t xml:space="preserve">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источников финансирования дефицита бюджета и к утверждению перечня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главных администраторов источников финансирования дефицита бюджета субъекта Российской Федерации, бюджет</w:t>
      </w:r>
      <w:r>
        <w:rPr>
          <w:sz w:val="24"/>
          <w:szCs w:val="24"/>
        </w:rPr>
        <w:t xml:space="preserve">а территориального фонда обязательного медицинского страхования, местного бюджета», постановлением Правительства Российской Федерации от 16.09.2021 № 1569 «Об утверждении общих требований к закреплению за органами государственной власти (государственными о</w:t>
      </w:r>
      <w:r>
        <w:rPr>
          <w:sz w:val="24"/>
          <w:szCs w:val="24"/>
        </w:rPr>
        <w:t xml:space="preserve">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</w:t>
      </w:r>
      <w:r>
        <w:rPr>
          <w:sz w:val="24"/>
          <w:szCs w:val="24"/>
        </w:rPr>
        <w:t xml:space="preserve">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tabs>
          <w:tab w:val="left" w:pos="567" w:leader="none"/>
          <w:tab w:val="left" w:pos="993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 Утвердить: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567" w:leader="none"/>
          <w:tab w:val="left" w:pos="993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 Перечень главных администраторов доходов бюджета Печенгского муниципального округа согласно приложению № 1;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567" w:leader="none"/>
          <w:tab w:val="left" w:pos="993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 Перечень главных администраторов источников финансирования дефицита бюджета Печенгского муниципального округа согласно приложению № 2.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1134" w:leader="none"/>
        </w:tabs>
        <w:rPr>
          <w:rStyle w:val="948"/>
          <w:b w:val="0"/>
          <w:color w:val="auto"/>
          <w:sz w:val="24"/>
          <w:szCs w:val="24"/>
        </w:rPr>
      </w:pPr>
      <w:r>
        <w:rPr>
          <w:sz w:val="24"/>
          <w:szCs w:val="24"/>
        </w:rPr>
        <w:t xml:space="preserve">2. </w:t>
      </w:r>
      <w:r>
        <w:rPr>
          <w:rStyle w:val="948"/>
          <w:b w:val="0"/>
          <w:color w:val="auto"/>
          <w:sz w:val="24"/>
          <w:szCs w:val="24"/>
        </w:rPr>
        <w:t xml:space="preserve">Установить, что в случае изменения состава и (или) функци</w:t>
      </w:r>
      <w:r>
        <w:rPr>
          <w:rStyle w:val="948"/>
          <w:b w:val="0"/>
          <w:color w:val="auto"/>
          <w:sz w:val="24"/>
          <w:szCs w:val="24"/>
        </w:rPr>
        <w:t xml:space="preserve">й главных администраторов доходов бюджета Печенгского муниципального округа (далее - бюджет округа), изменения в перечень главных администраторов доходов бюджета округа, а также в состав закрепленных за ними кодов классификации доходов, в течение текущего </w:t>
      </w:r>
      <w:r>
        <w:rPr>
          <w:rStyle w:val="948"/>
          <w:b w:val="0"/>
          <w:color w:val="auto"/>
          <w:sz w:val="24"/>
          <w:szCs w:val="24"/>
        </w:rPr>
        <w:t xml:space="preserve">финансового года вносятся на основании приказов финансового управления администрации Печенгского муниципального округа.</w:t>
      </w:r>
      <w:r>
        <w:rPr>
          <w:rStyle w:val="948"/>
          <w:b w:val="0"/>
          <w:color w:val="auto"/>
          <w:sz w:val="24"/>
          <w:szCs w:val="24"/>
        </w:rPr>
      </w:r>
      <w:r>
        <w:rPr>
          <w:rStyle w:val="948"/>
          <w:b w:val="0"/>
          <w:color w:val="auto"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1134" w:leader="none"/>
        </w:tabs>
        <w:rPr>
          <w:bCs/>
          <w:sz w:val="24"/>
          <w:szCs w:val="24"/>
        </w:rPr>
      </w:pPr>
      <w:r>
        <w:rPr>
          <w:rStyle w:val="948"/>
          <w:b w:val="0"/>
          <w:color w:val="auto"/>
          <w:sz w:val="24"/>
          <w:szCs w:val="24"/>
        </w:rPr>
        <w:t xml:space="preserve">3. Актуализация </w:t>
      </w:r>
      <w:r>
        <w:rPr>
          <w:rStyle w:val="948"/>
          <w:b w:val="0"/>
          <w:color w:val="auto"/>
          <w:sz w:val="24"/>
          <w:szCs w:val="24"/>
        </w:rPr>
        <w:t xml:space="preserve">перечня главных администраторов доходов бюджета округа</w:t>
      </w:r>
      <w:r>
        <w:rPr>
          <w:rStyle w:val="948"/>
          <w:b w:val="0"/>
          <w:color w:val="auto"/>
          <w:sz w:val="24"/>
          <w:szCs w:val="24"/>
        </w:rPr>
        <w:t xml:space="preserve"> и перечня источников финансирования дефицита бюджета округа на очередной финансовый год и на плановый период осуществляется путем внесения изменений в настоящее постановление до начала очередного финансового года.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 Признать утратившими силу:</w:t>
      </w:r>
      <w: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</w:t>
      </w:r>
      <w:r>
        <w:rPr>
          <w:sz w:val="24"/>
          <w:szCs w:val="24"/>
        </w:rPr>
        <w:t xml:space="preserve">05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1962</w:t>
      </w:r>
      <w:r>
        <w:rPr>
          <w:sz w:val="24"/>
          <w:szCs w:val="24"/>
        </w:rPr>
        <w:t xml:space="preserve"> «Об утверждении Перечней главных администраторов доходов и источников финансирования дефицита бюджета Печенгского муниципального округа».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 Настоящее постановление вступает в силу с 1 января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6. Настоящее постановление подлежит размещению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r/>
      <w:r/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  <w:r>
        <w:rPr>
          <w:sz w:val="18"/>
          <w:szCs w:val="18"/>
        </w:rPr>
      </w:r>
    </w:p>
    <w:p>
      <w:pPr>
        <w:rPr>
          <w:sz w:val="18"/>
          <w:szCs w:val="18"/>
          <w:highlight w:val="none"/>
        </w:rPr>
      </w:pP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</w:p>
    <w:p>
      <w:pPr>
        <w:rPr>
          <w:sz w:val="18"/>
          <w:szCs w:val="18"/>
          <w:highlight w:val="none"/>
        </w:rPr>
      </w:pP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</w:p>
    <w:p>
      <w:pPr>
        <w:rPr>
          <w:sz w:val="18"/>
          <w:szCs w:val="18"/>
          <w:highlight w:val="none"/>
        </w:rPr>
      </w:pP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</w:p>
    <w:p>
      <w:pPr>
        <w:rPr>
          <w:sz w:val="18"/>
          <w:szCs w:val="18"/>
          <w:highlight w:val="none"/>
        </w:rPr>
      </w:pP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Ионова</w:t>
      </w:r>
      <w:r>
        <w:rPr>
          <w:sz w:val="20"/>
          <w:szCs w:val="20"/>
        </w:rPr>
        <w:t xml:space="preserve"> О.В.,</w:t>
      </w:r>
      <w:r>
        <w:rPr>
          <w:sz w:val="20"/>
          <w:szCs w:val="20"/>
        </w:rPr>
        <w:t xml:space="preserve"> 8 (81554) 50270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9"/>
        <w:jc w:val="both"/>
        <w:shd w:val="clear" w:color="auto" w:fill="ffffff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Приложение №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left="5529"/>
        <w:jc w:val="both"/>
        <w:shd w:val="clear" w:color="auto" w:fill="ffffff"/>
        <w:tabs>
          <w:tab w:val="left" w:pos="5812" w:leader="none"/>
          <w:tab w:val="left" w:pos="6237" w:leader="none"/>
          <w:tab w:val="left" w:pos="9356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 xml:space="preserve">21.11.2025 </w:t>
      </w:r>
      <w:r>
        <w:rPr>
          <w:color w:val="000000"/>
          <w:sz w:val="24"/>
          <w:szCs w:val="24"/>
        </w:rPr>
        <w:t xml:space="preserve">№ 1923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left="5529"/>
        <w:jc w:val="both"/>
        <w:shd w:val="clear" w:color="auto" w:fill="ffffff"/>
        <w:tabs>
          <w:tab w:val="left" w:pos="5812" w:leader="none"/>
          <w:tab w:val="left" w:pos="6237" w:leader="none"/>
          <w:tab w:val="left" w:pos="9356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left="5529"/>
        <w:jc w:val="both"/>
        <w:shd w:val="clear" w:color="auto" w:fill="ffffff"/>
        <w:tabs>
          <w:tab w:val="left" w:pos="5812" w:leader="none"/>
          <w:tab w:val="left" w:pos="6237" w:leader="none"/>
          <w:tab w:val="left" w:pos="9356" w:leader="none"/>
        </w:tabs>
        <w:rPr>
          <w:b/>
          <w:i/>
          <w:color w:val="0000ff"/>
        </w:rPr>
      </w:pPr>
      <w:r>
        <w:rPr>
          <w:b/>
          <w:i/>
          <w:color w:val="0000ff"/>
        </w:rPr>
      </w:r>
      <w:r>
        <w:rPr>
          <w:b/>
          <w:i/>
          <w:color w:val="0000ff"/>
        </w:rPr>
      </w:r>
      <w:r>
        <w:rPr>
          <w:b/>
          <w:i/>
          <w:color w:val="0000ff"/>
        </w:rPr>
      </w:r>
    </w:p>
    <w:p>
      <w:pPr>
        <w:jc w:val="center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 xml:space="preserve">ПЕРЕЧЕНЬ </w:t>
      </w:r>
      <w:r>
        <w:rPr>
          <w:rFonts w:eastAsiaTheme="minorHAnsi"/>
          <w:b/>
          <w:sz w:val="24"/>
          <w:szCs w:val="24"/>
          <w:lang w:eastAsia="en-US"/>
        </w:rPr>
      </w:r>
      <w:r>
        <w:rPr>
          <w:rFonts w:eastAsiaTheme="minorHAnsi"/>
          <w:b/>
          <w:sz w:val="24"/>
          <w:szCs w:val="24"/>
          <w:lang w:eastAsia="en-US"/>
        </w:rPr>
      </w:r>
    </w:p>
    <w:p>
      <w:pPr>
        <w:jc w:val="center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главных администраторов доходов бюджета Печенгского муниципального округа</w:t>
      </w:r>
      <w:r>
        <w:rPr>
          <w:rFonts w:eastAsiaTheme="minorHAnsi"/>
          <w:sz w:val="24"/>
          <w:szCs w:val="24"/>
          <w:lang w:eastAsia="en-US"/>
        </w:rPr>
      </w:r>
      <w:r>
        <w:rPr>
          <w:rFonts w:eastAsiaTheme="minorHAnsi"/>
          <w:sz w:val="24"/>
          <w:szCs w:val="24"/>
          <w:lang w:eastAsia="en-US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0065" w:type="dxa"/>
        <w:tblInd w:w="-50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993"/>
        <w:gridCol w:w="2268"/>
        <w:gridCol w:w="6804"/>
      </w:tblGrid>
      <w:tr>
        <w:tblPrEx/>
        <w:trPr>
          <w:trHeight w:val="170"/>
        </w:trPr>
        <w:tc>
          <w:tcPr>
            <w:gridSpan w:val="2"/>
            <w:tcW w:w="3261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Код бюджетной классификации Российской Федерации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6804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Наименование главного администратора доходов бюджета,  наименование кода вида (подвида) доходов  бюджета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главного администратора доходов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бюджета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Вида (подвида) дохода бюджета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6804" w:type="dxa"/>
            <w:vMerge w:val="continue"/>
            <w:textDirection w:val="lrTb"/>
            <w:noWrap w:val="false"/>
          </w:tcPr>
          <w:p>
            <w:pPr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</w:r>
            <w:r>
              <w:rPr>
                <w:rFonts w:eastAsiaTheme="minorHAnsi"/>
                <w:b/>
                <w:lang w:eastAsia="en-US"/>
              </w:rPr>
            </w:r>
            <w:r>
              <w:rPr>
                <w:rFonts w:eastAsiaTheme="minorHAnsi"/>
                <w:b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001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 xml:space="preserve">Администрация Печенгского муниципального округа</w:t>
            </w:r>
            <w:r>
              <w:rPr>
                <w:rFonts w:eastAsiaTheme="minorHAnsi"/>
                <w:b/>
                <w:lang w:eastAsia="en-US"/>
              </w:rPr>
            </w:r>
            <w:r>
              <w:rPr>
                <w:rFonts w:eastAsiaTheme="minorHAnsi"/>
                <w:b/>
                <w:lang w:eastAsia="en-US"/>
              </w:rPr>
            </w:r>
          </w:p>
        </w:tc>
      </w:tr>
      <w:tr>
        <w:tblPrEx/>
        <w:trPr>
          <w:trHeight w:val="453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1 13 01994 14 0000 130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доходы от оказания платных услуг (работ) получателями средств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13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1 13 02994 14 0000 130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доходы от компенсации затрат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13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1 16 07010 14 0000 140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13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1 16 07090 14 0000 140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1 16 10031 14 0000 140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Возмещение ущерба при возникновении страховых случаев, когда выгодоприобретателями выступают получатели средств бюджета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1 16 10032 14 0000 140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Прочее возмещение ущерба, причиненного муниципальному имуществу муниципального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1 16 10061 14 0000 140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Платежи в целях </w:t>
            </w:r>
            <w:r>
              <w:rPr>
                <w:rFonts w:eastAsiaTheme="minorHAnsi"/>
                <w:lang w:eastAsia="en-US"/>
              </w:rPr>
              <w:t xml:space="preserve">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а также иные денежные средства, подлежащие зачислению в бюджет муниципального округа за на</w:t>
            </w:r>
            <w:r>
              <w:rPr>
                <w:rFonts w:eastAsiaTheme="minorHAnsi"/>
                <w:lang w:eastAsia="en-US"/>
              </w:rPr>
              <w:t xml:space="preserve">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r>
              <w:rPr>
                <w:rFonts w:eastAsiaTheme="minorHAnsi"/>
                <w:lang w:eastAsia="en-US"/>
              </w:rPr>
              <w:t xml:space="preserve"> фонда)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1 16 10062 14 0000 140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Платежи в целях 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финанси</w:t>
            </w:r>
            <w:r>
              <w:rPr>
                <w:rFonts w:eastAsiaTheme="minorHAnsi"/>
                <w:lang w:eastAsia="en-US"/>
              </w:rPr>
              <w:t xml:space="preserve">руемого за счет средств муниципального дорожного фонда, а также иные денежные средства, подлежащие зачислению в бюджет муниципального округа за нарушение законодательства Российской Федерации о контрактной системе в сфере закупок товаров, работ, услуг для </w:t>
            </w:r>
            <w:r>
              <w:rPr>
                <w:rFonts w:eastAsiaTheme="minorHAnsi"/>
                <w:lang w:eastAsia="en-US"/>
              </w:rPr>
              <w:t xml:space="preserve">обеспечения государственных и муниципальных нужд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1 16 10081 14 0000 140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Платежи в целях возмещения ущерба при расторжении муниципального контракта, заключенного с муниц</w:t>
            </w:r>
            <w:r>
              <w:rPr>
                <w:rFonts w:eastAsiaTheme="minorHAnsi"/>
                <w:lang w:eastAsia="en-US"/>
              </w:rPr>
              <w:t xml:space="preserve">ипальным органом муниципального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1 16 10082 14 0000 140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Платежи в целях возмещения ущерба при расторжении муниципального контракта, финансируемого за счет средств муниципального дорожного фонда муниципального округа, в связи с односторонним отказом исполнителя (подрядчика) от его исполнения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1 16 10100 14 0000 140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округов)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1 16 10123 01 0000 140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1 17 01040 14 0000 180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Невыясненные поступления, зачисляемые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1 17 05040 14 0000 180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неналоговые доходы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1 17 15020 14 0000 150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Инициативные платежи, зачисляемые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1 17 16000 14 0000 180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неналоговые доходы бюджетов муниципальных округов в части невыясненных поступлений, по которым не осуществлен возврат (уточнение) не позднее трех лет со дня их зачисления на единый счет бюджета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2 04 04099 14 0000 150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безвозмездные поступления от негосударственных организаций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2 07 04050 14 0000 150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безвозмездные поступления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2 18 04010 14 0000 150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бюджетов муниципальных округов от возврата бюджетными учреждениями остатков субсидий прошлых лет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2 18 04020 14 0000 150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бюджетов муниципальных округов от возврата автономными учреждениями остатков субсидий прошлых лет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2 18 04030 14 0000 150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бюджетов муниципальных округов от возврата иными организациями, индивидуальными предпринимателями, физическими лицами - производителями товаров, работ, услуг остатков субсидий прошлых лет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2 19 60010 14 0000 150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002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 xml:space="preserve">Финансовое управление администрации Печенгского муниципального округа</w:t>
            </w:r>
            <w:r>
              <w:rPr>
                <w:rFonts w:eastAsiaTheme="minorHAnsi"/>
                <w:b/>
                <w:lang w:eastAsia="en-US"/>
              </w:rPr>
            </w:r>
            <w:r>
              <w:rPr>
                <w:rFonts w:eastAsiaTheme="minorHAnsi"/>
                <w:b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1 13 02994 14 0000 130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доходы от компенсации затрат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1 16 07010 14 0000 140</w:t>
            </w:r>
            <w:r/>
          </w:p>
          <w:p>
            <w:pPr>
              <w:jc w:val="center"/>
              <w:widowControl w:val="off"/>
            </w:pPr>
            <w:r/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1 16 07090 14 0000 140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1 16 10031 14 0000 140</w:t>
            </w:r>
            <w:r/>
          </w:p>
          <w:p>
            <w:pPr>
              <w:jc w:val="center"/>
              <w:widowControl w:val="off"/>
            </w:pPr>
            <w:r/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Возмещение ущерба при возникновении страховых случаев, когда выгодоприобретателями выступают получатели средств бюджета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1 16 10032 14 0000 140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Прочее возмещение ущерба, причиненного муниципальному имуществу муниципального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1 16 10123 01 0000 140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1 17 01040 14 0000 180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Невыясненные поступления, зачисляемые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1 17 05040 14 0000 180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неналоговые доходы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1 17 16000 14 0000 180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color w:val="0000ff"/>
              </w:rPr>
            </w:pPr>
            <w:r>
              <w:t xml:space="preserve">Прочие неналоговые доходы бюджетов муниципальных округов в части невыясненных поступлений, по которым не осуществлен возврат (уточнение) не позднее трех лет со дня их зачисления на единый счет бюджета муниципального округа </w:t>
            </w:r>
            <w:r>
              <w:rPr>
                <w:color w:val="0000ff"/>
              </w:rPr>
            </w:r>
            <w:r>
              <w:rPr>
                <w:color w:val="0000ff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2 02 15001 14 0000 150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Дотации бюджетам муниципальных округов на выравнивание бюджетной обеспеченности из бюджета субъекта Российской Федерации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2 02 15002 14 0000 150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Дотации бюджетам муниципальных округов на поддержку мер по обеспечению сбалансированности бюджетов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2 02 16549 14 0000 150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Дотации (гранты) бюджетам муниципальных округов за достижение показателей деятельности органов местного самоуправления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2 02 19999 14 0000 150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highlight w:val="red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дотации бюджетам муниципальных округов</w:t>
            </w:r>
            <w:r>
              <w:rPr>
                <w:rFonts w:eastAsiaTheme="minorHAnsi"/>
                <w:highlight w:val="red"/>
                <w:lang w:eastAsia="en-US"/>
              </w:rPr>
            </w:r>
            <w:r>
              <w:rPr>
                <w:rFonts w:eastAsiaTheme="minorHAnsi"/>
                <w:highlight w:val="red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2 02 20041 14 0000 150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Субсидии бюджетам муниципальных округов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2 02 20077 14 0000 150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Субсидии бюджетам муниципальных округов на софинансирование капитальных вложений в объекты муниципальной собственности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2 02 20216 14 0000 150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Субсидии бюджетам муниципальн</w:t>
            </w:r>
            <w:r>
              <w:rPr>
                <w:rFonts w:eastAsiaTheme="minorHAnsi"/>
                <w:lang w:eastAsia="en-US"/>
              </w:rPr>
              <w:t xml:space="preserve">ых округов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2 02 25098 14 0000 150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t xml:space="preserve">Субсидии бюджетам муниципальных округов на обновление материально-технической базы для организации учебно-исследовательской, научно-практической, творческой деятельности, занятий физической культурой и спортом в образовательных организациях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888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2 02 25299 14 0000 150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Субсидии бюджетам муниципальных округов на </w:t>
            </w:r>
            <w:r>
              <w:rPr>
                <w:rFonts w:eastAsiaTheme="minorHAnsi"/>
                <w:lang w:eastAsia="en-US"/>
              </w:rPr>
              <w:t xml:space="preserve">софинансирование</w:t>
            </w:r>
            <w:r>
              <w:rPr>
                <w:rFonts w:eastAsiaTheme="minorHAnsi"/>
                <w:lang w:eastAsia="en-US"/>
              </w:rPr>
              <w:t xml:space="preserve"> расходных обязательств субъектов Российской Федерации, связанных с реализацией федеральной целевой программы "Увековечение памяти погибших при защите Отечества на 2019 - 2024 годы"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2 02 25304 14 0000 150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Субсидии бюджетам муниципальных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2 02 25305 14 0000 150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Субсидии бюджетам муниципальных округов на создание новых мест в общеобразовательных организациях в связи с ростом числа обучающихся, вызванным демографическим фактором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29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lang w:val="en-US"/>
              </w:rPr>
            </w:pPr>
            <w:r>
              <w:rPr>
                <w:lang w:val="en-US"/>
              </w:rPr>
              <w:t xml:space="preserve">002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t xml:space="preserve">2 02 25453 14 0000 1</w:t>
            </w:r>
            <w:r>
              <w:rPr>
                <w:lang w:val="en-US"/>
              </w:rPr>
              <w:t xml:space="preserve">50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Субсидии бюджетам муниципальных округов на создание виртуальных концертных залов</w:t>
            </w:r>
            <w:r/>
          </w:p>
        </w:tc>
      </w:tr>
      <w:tr>
        <w:tblPrEx/>
        <w:trPr>
          <w:trHeight w:val="29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lang w:val="en-US"/>
              </w:rPr>
            </w:pPr>
            <w:r>
              <w:rPr>
                <w:lang w:val="en-US"/>
              </w:rPr>
              <w:t xml:space="preserve">002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  <w:rPr>
                <w:lang w:val="en-US"/>
              </w:rPr>
            </w:pPr>
            <w:r>
              <w:rPr>
                <w:lang w:val="en-US"/>
              </w:rPr>
              <w:t xml:space="preserve">2 02 25454 14 0000 150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Субсидии бюджетам муниципальных округов на создание модельных муниципальных библиотек </w:t>
            </w:r>
            <w:r/>
          </w:p>
        </w:tc>
      </w:tr>
      <w:tr>
        <w:tblPrEx/>
        <w:trPr>
          <w:trHeight w:val="29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2 02 25497 14 0000 150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Субсидии бюджетам муниципальных округов на реализацию мероприятий по обеспечению жильем молодых семей</w:t>
            </w:r>
            <w:r/>
          </w:p>
        </w:tc>
      </w:tr>
      <w:tr>
        <w:tblPrEx/>
        <w:trPr>
          <w:trHeight w:val="29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2 02 25506 14 0000 150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Субсидии бюджетам муниципальных округов на реализацию </w:t>
            </w:r>
            <w:r>
              <w:t xml:space="preserve">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/>
          </w:p>
        </w:tc>
      </w:tr>
      <w:tr>
        <w:tblPrEx/>
        <w:trPr>
          <w:trHeight w:val="29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2 02 25519 14 0000 150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t xml:space="preserve">Субсидии бюджетам муниципальных округов на поддержку отрасли культуры 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2 02 25527 14 0000 150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Субсидии бюджетам муниципальных округов на государственную поддержку малого и среднего предпринимательства в субъектах Российской Федерации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2 02 25555 14 0000 150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Субсидии бюджетам муниципальных округов на реализацию программ формирования современной городской среды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2 02 25576 14 0000 150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Субсидии бюджетам муниципальных округов на обеспечение комплексного развития сельских территорий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2 02 25590 14 0000 150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Субсидии бюджетам муниципальных округов на техническое оснащение региональных и муниципальных музеев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2 02 25750 14 0000 150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t xml:space="preserve">Субсидии бюджетам муниципальных округов на реализацию мероприятий по модернизации школьных систем образования 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2 02 29999 14 0000 150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субсидии бюджетам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2 02 30024 14 0000 150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Субвенции бюджетам муниципальных округов на выполнение передаваемых полномочий субъектов Российской Федерации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2 02 30027 14 0000 150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Субвенции бюджетам муниципальных округов на содержание ребенка, находящегося под опекой, попечительством, а также вознаграждение, причитающееся опекуну (попечителю), приемному родителю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2 02 30029 14 0000 150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Субвенции бюджетам муниципальных округов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2 02 35082 14 0000 150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Субвенции бюджетам муниципальных округов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2 02 35118 14 0000 150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Субвенции бюджетам муниципальных округов на осуществление первичного воинского учета органами местного самоуправления поселений, муниципальных и городских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2 02 35120 14 0000 150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Субвенции бюджетам муниципальных округов на осуществление </w:t>
            </w:r>
            <w:r>
              <w:rPr>
                <w:rFonts w:eastAsiaTheme="minorHAnsi"/>
                <w:lang w:eastAsia="en-US"/>
              </w:rPr>
              <w:t xml:space="preserve">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2 02 35930 14 0000 150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Субвенции бюджетам муниципальных округов на государственную регистрацию актов гражданского состояния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2 02 39998 14 0000 150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Единая субвенция бюджетам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2 02 45050 14 0000 150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Межбюджетные трансферты, передаваемые бюджетам муниципальных округов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</w:t>
            </w:r>
            <w:r>
              <w:t xml:space="preserve">х общеобразовательных организаций, профессиональных образовательных организаций субъектов Российской Федерации, города Байконура и федеральной территории "Сириус", муниципальных общеобразовательных организаций и профессиональных образовательных организаций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2 02 45179 14 0000 150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t xml:space="preserve">Межбюджетные трансферты, передаваемые бюджетам муниципальных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2 02 45303 14 0000 150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Межбюджетные трансферты, передаваемые бюджетам муниципальных округов на ежемесячное денежное вознаграждение за классное руководство педагогич</w:t>
            </w:r>
            <w:r>
              <w:rPr>
                <w:rFonts w:eastAsiaTheme="minorHAnsi"/>
                <w:lang w:eastAsia="en-US"/>
              </w:rPr>
              <w:t xml:space="preserve">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2 02 45424 14 0000 150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Межбюджетные трансферты, передаваемые бюджетам муниципальных округов на 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2 02 45575 14 0000 150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t xml:space="preserve">Межбюджетные трансферты, передаваемые бюджетам муниципальных округов на реализацию </w:t>
            </w:r>
            <w:r>
              <w:t xml:space="preserve">мероприятий планов социального развития центров экономического роста субъектов Российской</w:t>
            </w:r>
            <w:r>
              <w:t xml:space="preserve"> Федерации, входящих в состав Арктической зоны Российской Федерации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2 02 49999 14 0000 150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межбюджетные трансферты, передаваемые бюджетам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2 02 90023 14 0000 150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безвозмездные поступления в бюджеты муниципальных округов от бюджетов субъектов Российской Федерации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2 04 04099 14 0000 150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безвозмездные поступления от негосударственных организаций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2 07 04050 14 0000 150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безвозмездные поступления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2 08 04000 14 0000 150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Перечисления из бюджетов муниципальных округов (в бюджеты муницип</w:t>
            </w:r>
            <w:r>
              <w:rPr>
                <w:rFonts w:eastAsiaTheme="minorHAnsi"/>
                <w:lang w:eastAsia="en-US"/>
              </w:rPr>
              <w:t xml:space="preserve">альных округов)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2 18 04030 14 0000 150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бюджетов муниципальных округов от возврата иными организациями, индивидуальными предпринимателями, физическими лицами - производителями товаров, работ, услуг остатков субсидий прошлых лет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2 19 25304 14 0000 150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Возврат остатков субсидий на организацию бесплатного горячего питания </w:t>
            </w:r>
            <w:r>
              <w:rPr>
                <w:rFonts w:eastAsiaTheme="minorHAnsi"/>
                <w:lang w:eastAsia="en-US"/>
              </w:rPr>
              <w:t xml:space="preserve">обучающихся, получающих начальное общее образование в государственных и муниципальных образовательных организациях, из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2 19 25497 14 0000 150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Возврат остатков субсидий на реализацию мероприятий по обеспечению жильем молодых семей из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2 19 25506 14 0000 150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Возврат остатков субсидий на реализацию </w:t>
            </w:r>
            <w:r>
              <w:t xml:space="preserve">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t xml:space="preserve"> из бюджетов муниципальных округов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2 19 25555 14 0000 150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t xml:space="preserve">Возврат остатков субсидий на реализацию программ формирования современной городской среды из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2 19 45303 14 0000 150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Возврат остатков иных межбюджетных трансфертов на ежемесячное денежное вознаграждение за классное руководство педагогическим работникам государственных и </w:t>
            </w:r>
            <w:r>
              <w:rPr>
                <w:rFonts w:eastAsiaTheme="minorHAnsi"/>
                <w:lang w:eastAsia="en-US"/>
              </w:rPr>
              <w:t xml:space="preserve">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образования, из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2 19 60010 14 0000 150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003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 xml:space="preserve">Отдел образования администрации Печенгского муниципального округа</w:t>
            </w:r>
            <w:r>
              <w:rPr>
                <w:rFonts w:eastAsiaTheme="minorHAnsi"/>
                <w:b/>
                <w:lang w:eastAsia="en-US"/>
              </w:rPr>
            </w:r>
            <w:r>
              <w:rPr>
                <w:rFonts w:eastAsiaTheme="minorHAnsi"/>
                <w:b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003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1 13 02994 14 0000 130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доходы от компенсации затрат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003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1 16 07010 14 0000 140</w:t>
            </w:r>
            <w:r/>
          </w:p>
          <w:p>
            <w:pPr>
              <w:jc w:val="center"/>
              <w:widowControl w:val="off"/>
            </w:pPr>
            <w:r/>
            <w:r/>
          </w:p>
          <w:p>
            <w:pPr>
              <w:jc w:val="center"/>
              <w:widowControl w:val="off"/>
            </w:pPr>
            <w:r/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003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1 16 07090 14 0000 140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003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1 17 01040 14 0000 180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Невыясненные поступления, зачисляемые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003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1 17 05040 14 0000 180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Прочие неналоговые доходы бюджетов муниципальных округов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003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1 17 15020 14 0000 150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b/>
                <w:color w:val="0000ff"/>
                <w:lang w:eastAsia="en-US"/>
              </w:rPr>
            </w:pPr>
            <w:r>
              <w:t xml:space="preserve">Инициативные платежи, зачисляемые в бюджеты муниципальных округов</w:t>
            </w:r>
            <w:r>
              <w:rPr>
                <w:rFonts w:eastAsiaTheme="minorHAnsi"/>
                <w:b/>
                <w:color w:val="0000ff"/>
                <w:lang w:eastAsia="en-US"/>
              </w:rPr>
            </w:r>
            <w:r>
              <w:rPr>
                <w:rFonts w:eastAsiaTheme="minorHAnsi"/>
                <w:b/>
                <w:color w:val="0000ff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003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1 17 16000 14 0000 180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неналоговые доходы бюджетов муниципальных округов в части невыясненных поступлений, по которым не осуществлен возврат (уточнение) не позднее трех лет со дня их зачисления на единый счет бюджета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003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2 18 04010 14 0000 150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бюджетов муниципальных округов от возврата бюджетными учреждениями остатков субсидий прошлых лет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004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 xml:space="preserve">Комитет по управлению имуществом администрации Печенгского муниципального округа</w:t>
            </w:r>
            <w:r>
              <w:rPr>
                <w:rFonts w:eastAsiaTheme="minorHAnsi"/>
                <w:b/>
                <w:lang w:eastAsia="en-US"/>
              </w:rPr>
            </w:r>
            <w:r>
              <w:rPr>
                <w:rFonts w:eastAsiaTheme="minorHAnsi"/>
                <w:b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1 08 07150 01 0000 110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Государственная пошлина за выдачу разрешения на установку рекламной конструкции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1 11 05012 14 0000 120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</w:t>
            </w:r>
            <w:r>
              <w:rPr>
                <w:rFonts w:eastAsiaTheme="minorHAnsi"/>
                <w:lang w:eastAsia="en-US"/>
              </w:rPr>
              <w:t xml:space="preserve">расположены в границах муниципальных округов, а также средства от продажи права на заключение договоров аренды указанных земельных участков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1 11 05024 14 0000 120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округов (за исключением земельных участков муниципальных бюджетных и автономных учреждений)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1 11 05074 14 0000 120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сдачи в аренду имущества, составляющего казну муниципальных округов (за исключением земельных участков)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1 11 05312 14 0000 120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t xml:space="preserve">Плата по соглашениям об установлении сервитута, заключенным органами местного самоуправления муниципальных </w:t>
            </w:r>
            <w:r>
              <w:t xml:space="preserve">округов, государственными или муниципальными предприятиями либо государственными или муниципальными учреждениями в отношении земельных участков, государственная собственность на которые не разграничена и которые расположены в границах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1 11 07014 14 0000 120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перечисления части прибыли, остающейся после уплаты налогов и иных обязательных платежей муниципальных унитарных предприятий, созданных муниципальными округами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1 11 09044 14 0000 120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поступления от использования имущества, находящегося в собственности муниципальных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1 13 02064 14 0000 130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Доходы, поступающие в порядке возмещения расходов, понесенных в связи с эксплуатацией имущества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1 13 02994 14 0000 130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доходы от компенсации затрат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1 14 01040 14 0000 410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продажи квартир, находящихся в собственности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1 14 02042 14 0000 410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реализации иму</w:t>
            </w:r>
            <w:r>
              <w:rPr>
                <w:rFonts w:eastAsiaTheme="minorHAnsi"/>
                <w:lang w:eastAsia="en-US"/>
              </w:rPr>
              <w:t xml:space="preserve">щества, находящегося в оперативном управлении учреждений, находящихся в ведении органов управления муниципальных округов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1 14 02043 14 0000 410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реализации иного имущества, находящ</w:t>
            </w:r>
            <w:r>
              <w:rPr>
                <w:rFonts w:eastAsiaTheme="minorHAnsi"/>
                <w:lang w:eastAsia="en-US"/>
              </w:rPr>
              <w:t xml:space="preserve">егося в собственности муниципальных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1 14 02048 14 0000 410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реализации недвижимого имущества бюджетных, автономных учреждений, находящегося в собственности муниципальных округов, в части реализации основных средств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1 14 06012 14 0000 430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продажи земельных участков, государственная собственность на которые не разграничена и которые расположены в границах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1 14 06024 14 0000 430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продажи земельных участков, находящихся в собственности муниципальных округов (за исключением земельных участков муниципальных бюджетных и автономных учреждений)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1 16 07010 14 0000 140</w:t>
            </w:r>
            <w:r/>
          </w:p>
          <w:p>
            <w:pPr>
              <w:jc w:val="center"/>
              <w:widowControl w:val="off"/>
            </w:pPr>
            <w:r/>
            <w:r/>
          </w:p>
          <w:p>
            <w:pPr>
              <w:jc w:val="center"/>
              <w:widowControl w:val="off"/>
            </w:pPr>
            <w:r/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</w:t>
            </w:r>
            <w:r>
              <w:rPr>
                <w:rFonts w:eastAsiaTheme="minorHAnsi"/>
                <w:lang w:eastAsia="en-US"/>
              </w:rPr>
              <w:t xml:space="preserve">казенным учреждением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1 16 07090 14 0000 140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 (муниципальным казенным учреждением)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1 16 10032 14 0000 140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Прочее возмещение ущерба, причиненного муниципальному имуществу муниципального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1 16 10061 14 0000 140</w:t>
            </w:r>
            <w:r/>
          </w:p>
          <w:p>
            <w:pPr>
              <w:jc w:val="center"/>
              <w:widowControl w:val="off"/>
            </w:pPr>
            <w:r/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Платежи в целях </w:t>
            </w:r>
            <w:r>
              <w:rPr>
                <w:rFonts w:eastAsiaTheme="minorHAnsi"/>
                <w:lang w:eastAsia="en-US"/>
              </w:rPr>
              <w:t xml:space="preserve">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а также иные денежные средства, подлежащие зачислению в бюджет муниципального округа за на</w:t>
            </w:r>
            <w:r>
              <w:rPr>
                <w:rFonts w:eastAsiaTheme="minorHAnsi"/>
                <w:lang w:eastAsia="en-US"/>
              </w:rPr>
              <w:t xml:space="preserve">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r>
              <w:rPr>
                <w:rFonts w:eastAsiaTheme="minorHAnsi"/>
                <w:lang w:eastAsia="en-US"/>
              </w:rPr>
              <w:t xml:space="preserve"> фонда)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1 16 10062 14 0000 140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Платежи в целях 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финансируемого за счет средств муниципального дорожного</w:t>
            </w:r>
            <w:r>
              <w:rPr>
                <w:rFonts w:eastAsiaTheme="minorHAnsi"/>
                <w:lang w:eastAsia="en-US"/>
              </w:rPr>
              <w:t xml:space="preserve"> фонда, а также иные денежные средства, подлежащие зачислению в бюджет муниципального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1 16 10081 14 0000 140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Платежи в целях возмещения ущерба при расторжении муниципального контракта, заключенного с муниц</w:t>
            </w:r>
            <w:r>
              <w:rPr>
                <w:rFonts w:eastAsiaTheme="minorHAnsi"/>
                <w:lang w:eastAsia="en-US"/>
              </w:rPr>
              <w:t xml:space="preserve">ипальным органом муниципального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1 16 10082 14 0000 140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Платежи в целях возмещения ущерба при расторжении муниципального контракта, финансируемого за счет средств муниципального дорожного фонда муниципального округа, в связи с односторонним отказом исполнителя (подрядчика) от его исполнения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1 16 10123 01 0000 140</w:t>
            </w:r>
            <w:r/>
          </w:p>
          <w:p>
            <w:pPr>
              <w:jc w:val="center"/>
              <w:widowControl w:val="off"/>
            </w:pPr>
            <w:r/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1 17 01040 14 0000 180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Невыясненные поступления, зачисляемые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1 17 05040 14 0000 180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неналоговые доходы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005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b/>
              </w:rPr>
              <w:t xml:space="preserve">Совет депутатов Печенгского муниципального округа Мурманской области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005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1 13 02994 14 0000 130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Прочие доходы от компенсации затрат бюджетов муниципальных округов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006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rFonts w:eastAsia="Calibri"/>
                <w:b/>
                <w:lang w:eastAsia="en-US"/>
              </w:rPr>
              <w:t xml:space="preserve">Контрольно-счетная палата Печенгского муниципального округа Мурманской области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006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1 16 01154 01 0000 140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Административ</w:t>
            </w:r>
            <w:r>
              <w:rPr>
                <w:rFonts w:eastAsia="Calibri"/>
                <w:lang w:eastAsia="en-US"/>
              </w:rPr>
              <w:t xml:space="preserve">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бумаг, добычи, производства, использования и обращения </w:t>
            </w:r>
            <w:r>
              <w:rPr>
                <w:rFonts w:eastAsia="Calibri"/>
                <w:lang w:eastAsia="en-US"/>
              </w:rPr>
              <w:t xml:space="preserve">драгоценных металлов и драгоценных камней (за исключением штрафов, указанных в пункте 6 статьи 46 Бюджетного кодекса Российской Федерации), выявленные должностными лицами органов муниципального контроля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006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1 16 01157 01 0000 140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</w:t>
            </w:r>
            <w:r>
              <w:t xml:space="preserve">енные главой 15 Кодекса Российской Федерации об административных правонарушениях, за административные правонарушения в области финансов, связанные с нецелевым использованием бюджетных средств, невозвратом либо несвоевременным возвратом бюджетного кредита, </w:t>
            </w:r>
            <w:r>
              <w:t xml:space="preserve">неперечислением</w:t>
            </w:r>
            <w:r>
              <w:t xml:space="preserve"> либо несвоевременным перечислением платы за пол</w:t>
            </w:r>
            <w:r>
              <w:t xml:space="preserve">ьзование бюджетным кредитом, нарушением условий предоставления бюджетного кредита, нарушением порядка и (или) условий предоставления (расходования) межбюджетных трансфертов, нарушением условий предоставления бюджетных инвестиций, субсидий юридическим лицам</w:t>
            </w:r>
            <w:r>
              <w:t xml:space="preserve">, индивидуальным предпринимателям и физическим лицам, подлежащие зачислению в бюджет муниципального образования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006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1 16 01194 01 0000 140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выявленные должностными лицами органов муниципального контроля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007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 xml:space="preserve">Отдел культуры, спорта и молодежной политики администрации Печенгского муниципального округа</w:t>
            </w:r>
            <w:r>
              <w:rPr>
                <w:rFonts w:eastAsiaTheme="minorHAnsi"/>
                <w:b/>
                <w:lang w:eastAsia="en-US"/>
              </w:rPr>
            </w:r>
            <w:r>
              <w:rPr>
                <w:rFonts w:eastAsiaTheme="minorHAnsi"/>
                <w:b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1 13 02994 14 0000 130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доходы от компенсации затрат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1 16 07010 14 0000 140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1 16 07090 14 0000 140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1 16 10031 14 0000 140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Возмещение ущерба при возникновении страховых случаев, когда выгодоприобретателями выступают получатели средств бюджета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1 16 10032 14 0000 140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Прочее возмещение ущерба, причиненного муниципальному имуществу муниципального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1 16 10061 14 0000 140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Платежи в целях </w:t>
            </w:r>
            <w:r>
              <w:rPr>
                <w:rFonts w:eastAsiaTheme="minorHAnsi"/>
                <w:lang w:eastAsia="en-US"/>
              </w:rPr>
              <w:t xml:space="preserve">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а также иные денежные средства, подлежащие зачислению в бюджет муниципального округа за на</w:t>
            </w:r>
            <w:r>
              <w:rPr>
                <w:rFonts w:eastAsiaTheme="minorHAnsi"/>
                <w:lang w:eastAsia="en-US"/>
              </w:rPr>
              <w:t xml:space="preserve">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r>
              <w:rPr>
                <w:rFonts w:eastAsiaTheme="minorHAnsi"/>
                <w:lang w:eastAsia="en-US"/>
              </w:rPr>
              <w:t xml:space="preserve"> фонда)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1 16 10081 14 0000 140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Платежи в целях возмещения ущерба при расторжении муниципального контракта, заключенного с муниц</w:t>
            </w:r>
            <w:r>
              <w:rPr>
                <w:rFonts w:eastAsiaTheme="minorHAnsi"/>
                <w:lang w:eastAsia="en-US"/>
              </w:rPr>
              <w:t xml:space="preserve">ипальным органом муниципального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1 17 01040 14 0000 180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Невыясненные поступления, зачисляемые в бюджеты муниципальных </w:t>
            </w:r>
            <w:r>
              <w:rPr>
                <w:rFonts w:eastAsiaTheme="minorHAnsi"/>
                <w:lang w:eastAsia="en-US"/>
              </w:rPr>
              <w:t xml:space="preserve">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1 17 05040 14 0000 180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неналоговые доходы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2 04 04099 14 0000 150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безвозмездные поступления от негосударственных организаций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2 07 04050 14 0000 150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безвозмездные поступления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2 18 04010 14 0000 150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t xml:space="preserve">Доходы бюджетов муниципальных округов от возврата бюджетными учреждениями остатков субсидий прошлых лет 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048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b/>
              </w:rPr>
              <w:t xml:space="preserve">Федеральная служба по надзору в сфере природопользования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048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1 12 01010 01 2100 120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Плата за выбросы загрязняющих веществ в атмосферный воздух стационарными объектами (пени по соответствующему платежу)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048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1 12 01010 01 6000 120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Плата за выбросы загрязняющих веществ в атмосферный воздух стационарными объектами (федеральные государственные органы, Банк России, органы управления государственными внебюджетными фондами Российской Федерации)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048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1 12 01030 01 2100 120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widowControl w:val="off"/>
            </w:pPr>
            <w:r>
              <w:t xml:space="preserve">Плата за сбросы загрязняющих веществ в водные объекты (пени по соответствующему платежу)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048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1 12 01030 01 6000 120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Плата за сбросы загрязняющих веществ в водные объекты (федеральные государственные органы, Банк России, органы управления государственными внебюджетными фондами Российской Федерации)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048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1 12 01041 01 2100 120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Плата за размещение отходов производства (пени по соответствующему платежу)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048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1 12 01041 01 6000 120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Плата за размещение отходов производства (федеральные государственные органы, Банк России, органы управления государственными внебюджетными фондами Российской Федерации)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048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1 12 01042 01 6000 120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t xml:space="preserve">Плата за размещение твердых коммунальных отходов (федеральные государственные органы, Банк России, органы управления государственными внебюджетными фондами Российской Федерации)</w:t>
            </w:r>
            <w:r>
              <w:rPr>
                <w:b/>
                <w:color w:val="0000ff"/>
              </w:rPr>
              <w:t xml:space="preserve"> 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141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rPr>
                <w:b/>
              </w:rPr>
              <w:t xml:space="preserve">Федеральная служба по надзору в сфере защиты прав потребителей и благополучия человека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141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1 16 10123 01 0141 140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</w:t>
            </w:r>
            <w:r>
              <w:t xml:space="preserve">году (доходы бюджетов муниципальных округов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182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b/>
              </w:rPr>
              <w:t xml:space="preserve">Федеральная налоговая служба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1 01 02010 01 1000 110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</w:t>
            </w:r>
            <w:r>
              <w:t xml:space="preserve">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r>
              <w:t xml:space="preserve"> </w:t>
            </w:r>
            <w:r>
              <w:t xml:space="preserve"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</w:t>
            </w:r>
            <w:r>
              <w:t xml:space="preserve">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</w:t>
            </w:r>
            <w:r>
              <w:t xml:space="preserve"> </w:t>
            </w:r>
            <w:r>
              <w:t xml:space="preserve">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1 01 02010 01 3000 110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</w:t>
            </w:r>
            <w:r>
              <w:t xml:space="preserve">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r>
              <w:t xml:space="preserve"> </w:t>
            </w:r>
            <w:r>
              <w:t xml:space="preserve">тысяч рублей за налоговые периоды до 1 января 2025 года, а также в части суммы налога, не превышающей 312 тысяч рублей за налоговые периоды пос</w:t>
            </w:r>
            <w:r>
              <w:t xml:space="preserve">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(суммы денежных взысканий (штрафов</w:t>
            </w:r>
            <w:r>
              <w:t xml:space="preserve">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1 01 02020 01 1000 110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</w:t>
            </w:r>
            <w:r>
              <w:t xml:space="preserve">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</w:t>
            </w:r>
            <w:r>
              <w:t xml:space="preserve"> </w:t>
            </w:r>
            <w:r>
              <w:t xml:space="preserve">в части суммы налога, не превышающей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1 01 02020 01 3000 110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</w:t>
            </w:r>
            <w:r>
              <w:t xml:space="preserve">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</w:t>
            </w:r>
            <w:r>
              <w:t xml:space="preserve"> в части суммы налога, не превышающей 312 тысяч рублей за налоговые периоды после 1 января 2025 года)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1 01 02021 01 1000 110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</w:t>
            </w:r>
            <w:r>
              <w:t xml:space="preserve">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312 тысяч рублей, относящейся к части налоговой базы, превышающей 2,4 миллиона рублей и составляющей</w:t>
            </w:r>
            <w:r>
              <w:t xml:space="preserve"> </w:t>
            </w:r>
            <w:r>
              <w:t xml:space="preserve">не более 5 миллионов рублей) (сумма платежа (перерасчеты, недоимка и задолженность по соответствующему платежу, в том числе по отмененному)</w:t>
            </w:r>
            <w:r>
              <w:t xml:space="preserve">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1 01 02022 01 1000 110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</w:t>
            </w:r>
            <w:r>
              <w:t xml:space="preserve">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702 тысячи рублей, относящейся к части налоговой базы, превышающей 5 миллионов рублей и составляющей</w:t>
            </w:r>
            <w:r>
              <w:t xml:space="preserve"> </w:t>
            </w:r>
            <w:r>
              <w:t xml:space="preserve">не более 20 миллионов рублей) (сумма </w:t>
            </w:r>
            <w:r>
              <w:t xml:space="preserve">платежа (перерасчеты, недоимка и задолженность по соответствующему платежу, в том числе по отмененному)</w:t>
            </w:r>
            <w:r>
              <w:t xml:space="preserve">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1 01 02030 01 1000 110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</w:t>
            </w:r>
            <w:r>
              <w:t xml:space="preserve">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r>
              <w:t xml:space="preserve">, не </w:t>
            </w:r>
            <w:r>
              <w:t xml:space="preserve">превышающей</w:t>
            </w:r>
            <w:r>
              <w:t xml:space="preserve">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1 01 02030 01 3000 110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</w:t>
            </w:r>
            <w:r>
              <w:t xml:space="preserve">одов от долевого участия в организации, полученных физическим лицом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r>
              <w:t xml:space="preserve">, не превышающей 312 тысяч рублей за налоговые периоды после 1 января 2025 года)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1 01 02040 01 1000 110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 на доходы физических лиц в виде фиксированных авансовых платежей с доходов, полученных физическими лицами, являющимися иностранными гражда</w:t>
            </w:r>
            <w:r>
              <w:t xml:space="preserve">нами, осуществляющими трудовую деятельность по найму на основании патента в соответствии со статьей 227.1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1 01 02080 01 1000 110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</w:t>
            </w:r>
            <w:r>
              <w:t xml:space="preserve">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r>
              <w:t xml:space="preserve"> </w:t>
            </w:r>
            <w:r>
              <w:t xml:space="preserve">физическим лицом - налоговым резидентом Российской Федерации в виде дивидендов) за налоговые периоды до 1 января 2025 года, а также налог на доходы фи</w:t>
            </w:r>
            <w:r>
              <w:t xml:space="preserve">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 (за исключением налога на доходы физических лиц в отношении доходов, указанных в</w:t>
            </w:r>
            <w:r>
              <w:t xml:space="preserve"> </w:t>
            </w:r>
            <w:r>
              <w:t xml:space="preserve">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</w:t>
            </w:r>
            <w:r>
              <w:t xml:space="preserve">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</w:t>
            </w:r>
            <w:r>
              <w:t xml:space="preserve"> </w:t>
            </w:r>
            <w:r>
              <w:t xml:space="preserve">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</w:t>
            </w:r>
            <w:r>
              <w:t xml:space="preserve">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за налоговые периоды после 1 января 2025 года</w:t>
            </w:r>
            <w:r>
              <w:t xml:space="preserve"> (</w:t>
            </w:r>
            <w:r>
              <w:t xml:space="preserve">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  <w:p>
            <w:pPr>
              <w:jc w:val="center"/>
              <w:widowControl w:val="off"/>
            </w:pPr>
            <w:r/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1 01 02080 01 3000 110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</w:t>
            </w:r>
            <w:r>
              <w:t xml:space="preserve">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r>
              <w:t xml:space="preserve"> </w:t>
            </w:r>
            <w:r>
              <w:t xml:space="preserve">физическим лицом - налоговым резидентом Российской Федерации в виде дивидендов) за налоговые периоды до 1 января 2025 года, а также налог на доходы фи</w:t>
            </w:r>
            <w:r>
              <w:t xml:space="preserve">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 (за исключением налога на доходы физических лиц в отношении доходов, указанных в</w:t>
            </w:r>
            <w:r>
              <w:t xml:space="preserve"> </w:t>
            </w:r>
            <w:r>
              <w:t xml:space="preserve">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</w:t>
            </w:r>
            <w:r>
              <w:t xml:space="preserve">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</w:t>
            </w:r>
            <w:r>
              <w:t xml:space="preserve"> </w:t>
            </w:r>
            <w:r>
              <w:t xml:space="preserve">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</w:t>
            </w:r>
            <w:r>
              <w:t xml:space="preserve">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за налоговые периоды после 1 января 2025 года</w:t>
            </w:r>
            <w:r>
              <w:t xml:space="preserve">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1 01 02090 01 1000 110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 на доходы физических лиц с сумм прибыли контролируемой иностранной компании, полученной физическими лицами, признаваемыми контролирующими лицами этой компании, перешедш</w:t>
            </w:r>
            <w:r>
              <w:t xml:space="preserve">ими на особый порядок уплаты на основании подачи в налоговый орган соответствующего уведомления (в части суммы налога, не превышающей 650 тысяч рублей за налоговые периоды до 1 января 2025 года, а также в части суммы налога, не превышающей 312 тысяч рублей</w:t>
            </w:r>
            <w:r>
              <w:t xml:space="preserve"> </w:t>
            </w:r>
            <w:r>
              <w:t xml:space="preserve">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1 01 02100 01 1000 110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 на доходы физических лиц с сумм прибыли контролируемой иностранной компании, полученной физическими лицами, признаваемыми контролирующими лицами этой компании, за исключ</w:t>
            </w:r>
            <w:r>
              <w:t xml:space="preserve">ением уплачиваемого в связи с переходом на особый порядок уплаты на основании подачи в налоговый орган соответствующего уведомления (в части суммы налога, превышающей 650 тысяч рублей за налоговые периоды до 1 января 2025 года, а также в части суммы налога</w:t>
            </w:r>
            <w:r>
              <w:t xml:space="preserve">, </w:t>
            </w:r>
            <w:r>
              <w:t xml:space="preserve">превышающей</w:t>
            </w:r>
            <w:r>
              <w:t xml:space="preserve"> 312 тысяч рублей, но не более 702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1 01 02130 01 1000 110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Налог на доходы физических лиц в отношении доходов от долевого участия в организации, полученных физическим лицом - налоговым резидент</w:t>
            </w:r>
            <w:r>
              <w:t xml:space="preserve">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 (сумма</w:t>
            </w:r>
            <w:r>
              <w:t xml:space="preserve"> </w:t>
            </w:r>
            <w:r>
              <w:t xml:space="preserve">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</w:pPr>
            <w:r>
              <w:t xml:space="preserve">1 01 02140 01 1000 110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Налог на доходы физических лиц в отношении доходов от долевого участия в организации, полученных физическим лицом - налоговым резидентом Российской Ф</w:t>
            </w:r>
            <w:r>
              <w:t xml:space="preserve">едерации в виде дивидендов (в части суммы налога, превышающей 650 тысяч рублей за налоговые периоды до 1 января 2025 года, а также в части суммы налога, превышающей 312 тысяч рублей за налоговые периоды после 1 января 2025 года) (сумма платежа (перерасчеты</w:t>
            </w:r>
            <w:r>
              <w:t xml:space="preserve">, </w:t>
            </w:r>
            <w:r>
              <w:t xml:space="preserve">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</w:pPr>
            <w:r>
              <w:t xml:space="preserve">1 01 02150 01 1000 110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</w:t>
            </w:r>
            <w:r>
              <w:t xml:space="preserve">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</w:t>
            </w:r>
            <w:r>
              <w:t xml:space="preserve"> </w:t>
            </w:r>
            <w:r>
              <w:t xml:space="preserve">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</w:t>
            </w:r>
            <w:r>
              <w:t xml:space="preserve">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</w:t>
            </w:r>
            <w:r>
              <w:t xml:space="preserve"> </w:t>
            </w:r>
            <w:r>
              <w:t xml:space="preserve">налоговыми резидентами Российской Федерации, указанных в абзаце девятом пункта 3 статьи 224 Налогового кодекс</w:t>
            </w:r>
            <w:r>
              <w:t xml:space="preserve">а Российской Федерации, в части суммы налога, превышающей 312 тысяч рублей, относящейся к части налоговой базы, превышающей 2,4 миллиона рублей) (сумма платежа (перерасчеты, недоимка и задолженность по соответствующему платежу, в том числе по отмененному)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r>
              <w:t xml:space="preserve">1 01 02160 01 1000 110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r>
              <w:t xml:space="preserve">Налог на доходы физических лиц в части суммы налога, превышающей 3 402 тысячи рублей, относящейся к части налоговой базы, превышающей 20 миллионов руб</w:t>
            </w:r>
            <w:r>
              <w:t xml:space="preserve">лей и составляющей не более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</w:t>
            </w:r>
            <w:r>
              <w:t xml:space="preserve">, </w:t>
            </w:r>
            <w:r>
              <w:t xml:space="preserve">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</w:t>
            </w:r>
            <w:r>
              <w:t xml:space="preserve">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</w:t>
            </w:r>
            <w:r>
              <w:t xml:space="preserve"> </w:t>
            </w:r>
            <w:r>
              <w:t xml:space="preserve">являющихся налоговыми резидентами Российской Федерации, указанных в абзаце девятом пункта 3 статьи 224 Налогового кодек</w:t>
            </w:r>
            <w:r>
              <w:t xml:space="preserve">са Российской Федерации, в части суммы налога, превышающей 312 тысяч рублей, относящейся к части налоговой базы, превышающей 2,4 миллиона рублей)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</w:pPr>
            <w:r>
              <w:t xml:space="preserve">1 01 02210 01 1000 110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Налог на доходы физических лиц в части суммы н</w:t>
            </w:r>
            <w:r>
              <w:t xml:space="preserve">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  <w:r>
              <w:t xml:space="preserve">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</w:pPr>
            <w:r>
              <w:t xml:space="preserve">1 01 02230 01 1000 110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Налог на доходы физических лиц в части суммы налога, превышающей 650 тысяч</w:t>
            </w:r>
            <w:r>
              <w:t xml:space="preserve"> рублей, относящейся к налоговой базе, указанной в пункте 6.2 статьи 210 Налогового кодекса Российской Федерации, превышающей 5 миллионов рублей (сумма платежа (перерасчеты, недоимка и задолженность по соответствующему платежу, в том числе по отмененному)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1 03 02231 01 0000 110</w:t>
            </w:r>
            <w:r/>
          </w:p>
          <w:p>
            <w:pPr>
              <w:jc w:val="center"/>
              <w:widowControl w:val="off"/>
            </w:pPr>
            <w:r/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Доходы от уплаты акцизов на дизельное топливо, подлежащие распределению между бюджетами субъектов Российск</w:t>
            </w:r>
            <w:r>
              <w:t xml:space="preserve">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1 03 02241 01 0000 110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Доходы от уплаты акцизов на моторные масла для дизельных и (или) карбюраторных (</w:t>
            </w:r>
            <w:r>
              <w:t xml:space="preserve">инжекторных</w:t>
            </w:r>
            <w:r>
              <w:t xml:space="preserve">) двигателей, подлежащие распределению </w:t>
            </w:r>
            <w:r>
              <w:t xml:space="preserve">между бюджетами субъектов Российск</w:t>
            </w:r>
            <w:r>
              <w:t xml:space="preserve">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1 03 02251 01 0000 110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Доходы от уплаты акцизов на автомобильный бензин, подлежащие распределению между бюджетами субъектов Российск</w:t>
            </w:r>
            <w:r>
              <w:t xml:space="preserve">ой Федерации и местными бюджетами с учетом остановленных дифференцированных нормативов отчислений в местные бюджеты (по нормативам, остановленным федеральным законом о федеральном бюджете в целях формирования дорожных фондов субъектов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1 03 02261 01 0000 110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Доходы от уплаты акцизов на прямогонный бензин, подлежащие распределению между бюджетами субъектов Российск</w:t>
            </w:r>
            <w:r>
              <w:t xml:space="preserve">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  <w:r>
              <w:t xml:space="preserve">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1 03 03000 01 1000 110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Туристический налог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1 05 01011 01 1000 110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Налог, взимаемый с налогоплательщиков, выбравших в качестве объекта налогообложения доходы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1 05 01011 01 3000 110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Налог, взимаемый с налогоплательщиков, выбравших в качестве объекта налогообложения доходы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1 05 01012 01 1000 110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Налог, взимаемый с налогоплательщиков, выбравших в качестве объекта налогообложения доходы (за налоговые периоды, истекшие до 1 января 2011 года)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1 05 01012 01 3000 110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</w:t>
            </w:r>
            <w:r>
              <w:t xml:space="preserve">алог, взимаемый с налогоплательщиков, выбравших в качестве объекта налогообложения доходы (за налоговые периоды, истекшие до 1 января 2011 года)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1 05 01021 01 1000 110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Налог, взимаемый с налогоплательщиков, выбравших в качестве объек</w:t>
            </w:r>
            <w:r>
              <w:t xml:space="preserve">та налогообложения доходы, уменьшенные на величину расходов (в том числе минимальный налог, зачисляемый в бюджеты субъектов Российской Федерации)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1 05 01021 01 3000 110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Налог, взимаемый с налогоплательщиков, выбравших в качестве объект</w:t>
            </w:r>
            <w:r>
              <w:t xml:space="preserve">а налогообложения доходы, уменьшенные на величину расходов (в том числе минимальный налог, зачисляемый в бюджеты субъектов Российской Федерации)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1 05 02010 02 1000 110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Единый налог на вмененный доход для отдельных видов деятельности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1 05 02010 02 3000 110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Единый налог на вмененный доход для отдельных видов деятельности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1 05 02020 02 1000 110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Единый налог на вмененный доход для отдельных видов деятельности (за </w:t>
            </w:r>
            <w:r>
              <w:t xml:space="preserve">налоговые периоды, истекшие до 1 января 2011 года)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1 05 02020 02 3000 110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Единый налог на вмененный доход для отдельных видов деятельности (за налоговые периоды, истекшие до 1 января 2011 года)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1 05 04060 02 1000 110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Налог, взимаемый в связи с применением патентной системы налогообложения, зачисляемый в бюджеты муниципальных округов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1 05 04060 02 3000 110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Налог, взимаемый в связи с применением патентной системы налогообложения, зачисляемый в бюджеты муниципальных округов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1 06 01020 14 1000 110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 на имущество физических лиц, взимаемый по ставкам, применяемым к объектам налогообложения, расположенным в границах муниципальных округов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1 06 01020 14 3000 110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 на имущество физических лиц, взимаемый по ставкам, применяемым к объектам налогообложения, расположенным в границах муниципальных округов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1 06 06032 14 1000 110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Земельный налог с организаций, обладающих земельным участком, расположенным в границах муниципальных округов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1 06 06032 14 3000 110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Земельный налог с организаций, обладающих земельным участком, расположенным в границах муниципальных округов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1 06 06042 14 1000 110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Земельный налог с физических лиц, обладающих земельным участком, расположенным в границах муниципальных округов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1 06 06042 14 3000 110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Земельный налог с физических лиц, обладающих земельным участком, расположенным в границах муниципальных округов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1 08 03010 01 1050 110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Государственная пошлина по делам, рассматриваемым в судах общей юрисдикции, мировыми судьями (за исключением Верховного Суда Российской Федерации) (государственная пошлина, уплачиваемая при обращении в суды)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1 08 03010 01 1060 110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Го</w:t>
            </w:r>
            <w:r>
              <w:t xml:space="preserve">сударственная пошлина по делам, рассматриваемым в судах общей юрисдикции, мировыми судьями (за исключением Верховного Суда Российской Федерации) (государственная пошлина, уплачиваемая на основании судебных актов по результатам рассмотрения дел по существу)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lang w:val="en-US"/>
              </w:rPr>
              <w:t xml:space="preserve">1 09 04052 14 0000 110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Земельный налог (по обязательствам, возникшим до 1 января 2006 года), мобилизуемый на территориях муниципальных округов</w:t>
            </w:r>
            <w:r>
              <w:rPr>
                <w:b/>
                <w:color w:val="0000ff"/>
              </w:rPr>
              <w:t xml:space="preserve">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1 16 10123 01 0141 140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Доходы от денежных взысканий (штрафов), поступающие в счет погашения </w:t>
            </w:r>
            <w:r>
              <w:t xml:space="preserve">задолженности, образовавшейся до 1 января 2020 года, подлежащие зачислению в бюджет муниципального образования по нормативам, действовавшим в 2019 г</w:t>
            </w:r>
            <w:r>
              <w:t xml:space="preserve">оду (доходы бюджетов муниципальных округов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1 16 10129 01 0000 140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1 16 10129 01 9000 140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 (иные штрафы)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188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b/>
              </w:rPr>
              <w:t xml:space="preserve">Министерство внутренних дел Российской Федерации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188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1 16 10123 01 0141 140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</w:t>
            </w:r>
            <w:r>
              <w:t xml:space="preserve">году (доходы бюджетов муниципальных округов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809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b/>
              </w:rPr>
              <w:t xml:space="preserve">Министерство развития Арктики и экономики Мурманской области 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809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1 16 01333 01 0000 140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Кодексом Российской Федерации об административных правонарушениях, за административные правонарушения в области производства и оборота этилового спирта, алкогольной и спиртосоде</w:t>
            </w:r>
            <w:r>
              <w:t xml:space="preserve">ржащей продукции, а также за административные правонарушения порядка ценообразования в части регулирования цен на этиловый спирт, алкогольную и спиртосодержащую продукцию, налагаемые мировыми судьями, комиссиями по делам несовершеннолетних и защите их прав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811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rFonts w:eastAsia="Calibri"/>
                <w:b/>
                <w:lang w:eastAsia="en-US"/>
              </w:rPr>
              <w:t xml:space="preserve">Министерство природных ресурсов, экологии и рыбного хозяйства Мурманской области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811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1 16 11050 01 0000 140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</w:t>
            </w:r>
            <w:r>
              <w:t xml:space="preserve">риродных территориях, вреда, причиненного водным объектам, водным биологическим ресурсам, атмосферному воздуху, почвам, недрам, объектам животного мира, занесенным в Красную книгу Российской Федерации, а также иным объектам животного мира, не относящимся к</w:t>
            </w:r>
            <w:r>
              <w:t xml:space="preserve"> объектам охоты и рыболовства и среде их обитания), подлежащие зачислению в бюджет муниципального образования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821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b/>
              </w:rPr>
              <w:t xml:space="preserve">Министерство юстиции Мурманской области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1 16 01053 01 0059 140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</w:t>
            </w:r>
            <w:r>
              <w:t xml:space="preserve">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  <w:r/>
          </w:p>
          <w:p>
            <w:pPr>
              <w:jc w:val="both"/>
              <w:widowControl w:val="off"/>
            </w:pPr>
            <w:r>
              <w:t xml:space="preserve">(штрафы за нарушение порядка рассмотрения обращений граждан)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1 16 01053 01 0035 140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</w:t>
            </w:r>
            <w:r>
              <w:t xml:space="preserve">судьями, комиссиями по делам несовершеннолетних и защите их прав </w:t>
            </w:r>
            <w:r>
              <w:t xml:space="preserve">(штрафы за неисполнение родителями или иными законными представителями несовершеннолетних обязанностей по содержанию и воспитанию несовершеннолетних)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1 16 01053 01 0351 140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</w:t>
            </w:r>
            <w:r>
              <w:t xml:space="preserve">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</w:t>
            </w:r>
            <w:r>
              <w:t xml:space="preserve">(штрафы за неуплату средств на содержание детей или нетрудоспособных родителей)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1 16 01053 01 9000 140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</w:t>
            </w:r>
            <w:r>
              <w:t xml:space="preserve">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  <w:r>
              <w:t xml:space="preserve"> (иные штрафы)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1 16 01063 01 0008 140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6 Кодекса Российской Федерации об админ</w:t>
            </w:r>
            <w:r>
              <w:t xml:space="preserve">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  <w:r>
              <w:t xml:space="preserve"> (</w:t>
            </w:r>
            <w:r>
              <w:t xml:space="preserve">штрафы за незаконный оборот наркотических средств, психотропных веществ или их аналогов и незаконные приобретение, хранение, перевозку растений, содержащих наркотические средства или психотропные вещества, либо их частей</w:t>
            </w:r>
            <w:r>
              <w:t xml:space="preserve">, </w:t>
            </w:r>
            <w:r>
              <w:t xml:space="preserve">содержащих</w:t>
            </w:r>
            <w:r>
              <w:t xml:space="preserve"> наркотические средства или психотропные вещества</w:t>
            </w:r>
            <w:r>
              <w:t xml:space="preserve">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1 16 01063 01 0009 140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6 Кодекса Российской Федерации об админ</w:t>
            </w:r>
            <w:r>
              <w:t xml:space="preserve">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  <w:r>
              <w:t xml:space="preserve"> (</w:t>
            </w:r>
            <w:r>
              <w:t xml:space="preserve">штрафы за потребление наркотических средств или психотропных веществ без назначения врача либо новых потенциально опасных </w:t>
            </w:r>
            <w:r>
              <w:t xml:space="preserve">психоактивных</w:t>
            </w:r>
            <w:r>
              <w:t xml:space="preserve"> веществ</w:t>
            </w:r>
            <w:r>
              <w:t xml:space="preserve">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1 16 01063 01 0017 140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6 Кодекса Российской Федерации об админ</w:t>
            </w:r>
            <w:r>
              <w:t xml:space="preserve">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  <w:r>
              <w:t xml:space="preserve"> (</w:t>
            </w:r>
            <w:r>
              <w:t xml:space="preserve">штрафы за нарушение законодательства Российской Федерации о защите детей от информации, причиняющей вред их здоровью и (или) развитию</w:t>
            </w:r>
            <w:r>
              <w:t xml:space="preserve">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1 16 01063 01 0091 140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6 Кодекса Российской Федерации об админи</w:t>
            </w:r>
            <w:r>
              <w:t xml:space="preserve">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</w:t>
            </w:r>
            <w:r>
              <w:t xml:space="preserve">(</w:t>
            </w:r>
            <w:r>
              <w:t xml:space="preserve">штрафы за уклонение от прохождения диагностики, профилактических мероприятий, лечения от наркомании и (или) медицинской и (или) социальной реабилитации в связи с потреблением наркотических средств или психотропных</w:t>
            </w:r>
            <w:r>
              <w:t xml:space="preserve"> веществ без назначения врача либо новых потенциально опасных </w:t>
            </w:r>
            <w:r>
              <w:t xml:space="preserve">психоактивных</w:t>
            </w:r>
            <w:r>
              <w:t xml:space="preserve"> веществ</w:t>
            </w:r>
            <w:r>
              <w:t xml:space="preserve">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1 16 01063 01 0101 140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</w:t>
            </w:r>
            <w:r>
              <w:t xml:space="preserve">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</w:t>
            </w:r>
            <w:r>
              <w:t xml:space="preserve">мировыми судьями, комиссиями по делам несовершеннолетних и защите их прав </w:t>
            </w:r>
            <w:r>
              <w:t xml:space="preserve">(штрафы за побои)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1 16 01063 01 9000 140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6 Кодекса Российской Федерации об админи</w:t>
            </w:r>
            <w:r>
              <w:t xml:space="preserve">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</w:t>
            </w:r>
            <w:r>
              <w:t xml:space="preserve">(иные штрафы)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1 16 01073 01 0017 140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7 Кодекса Российской</w:t>
            </w:r>
            <w:r>
              <w:t xml:space="preserve">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уничтожение или повреждение чужого имущества)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1 16 01073 01 0019 140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7 Кодекса Российской Федерации об административных правонарушен</w:t>
            </w:r>
            <w:r>
              <w:t xml:space="preserve">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самовольное подключение и использование электрической, тепловой энергии, нефти или газа)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1 16 01073 01 0027 140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</w:t>
            </w:r>
            <w:r>
              <w:t xml:space="preserve">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мелкое хищение)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</w:pPr>
            <w:r>
              <w:t xml:space="preserve">1 16 01073 01 9000 140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Административные штрафы</w:t>
            </w:r>
            <w:r>
              <w:t xml:space="preserve">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(иные штрафы)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1 16 01083 01 0037 140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8 Кодекса Р</w:t>
            </w:r>
            <w:r>
              <w:t xml:space="preserve">оссийской Федерации об административных правонарушениях, за административные правонарушения в области охраны окружающей среды, природопользования и обращения с животными, налагаемые мировыми судьями, комиссиями по делам несовершеннолетних и защите их прав </w:t>
            </w:r>
            <w:r>
              <w:t xml:space="preserve">(штрафы за нарушение правил охоты, правил, регламентирующих рыболовство и другие виды пользования объектами животного мира)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1 16 01093 01 9000 140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</w:t>
            </w:r>
            <w:r>
              <w:t xml:space="preserve">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</w:t>
            </w:r>
            <w:r>
              <w:t xml:space="preserve"> (иные штрафы)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1 16 01103 01 0006 140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</w:t>
            </w:r>
            <w:r>
              <w:t xml:space="preserve">нные главой 10 Кодекса Российской Федерации об административных правонарушениях, за административные правонарушения в сельском хозяйстве, ветеринарии и мелиорации земель, налагаемые мировыми судьями, комиссиями по делам несовершеннолетних и защите их прав </w:t>
            </w:r>
            <w:r>
              <w:t xml:space="preserve">(штрафы за нарушение правил карантина животных или других ветеринарно-санитарных правил)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1 16 01103 01 9000 140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1</w:t>
            </w:r>
            <w:r>
              <w:t xml:space="preserve">0 Кодекса Российской Федерации об административных правонарушениях, за административные правонарушения в сельском хозяйстве, ветеринарии и мелиорации земель, налагаемые мировыми судьями, комиссиями по делам несовершеннолетних и защите их прав (иные штрафы)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1 16 01133 01 0005 140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13 Кодекса Российской </w:t>
            </w:r>
            <w:r>
              <w:t xml:space="preserve">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 </w:t>
            </w:r>
            <w:r>
              <w:t xml:space="preserve">(штрафы за нарушение правил охраны линий или сооружений связи)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1 16 01143 01 0016 140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14 Кодекса Российской</w:t>
            </w:r>
            <w:r>
              <w:t xml:space="preserve">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</w:t>
            </w:r>
            <w:r>
              <w:t xml:space="preserve">(штрафы за нарушение правил продажи этилового спирта, алкогольной и спиртосодержащей продукции)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1 16 01143 01 0102 140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14 Кодекса Российской</w:t>
            </w:r>
            <w:r>
              <w:t xml:space="preserve">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</w:t>
            </w:r>
            <w:r>
              <w:t xml:space="preserve">(штрафы за осуществление предпринимательской деятельности в области транспорта без лицензии)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1 16 01143 01 0171 140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t xml:space="preserve">Административные штрафы, установленные главой 14 Кодекса Российской</w:t>
            </w:r>
            <w:r>
              <w:t xml:space="preserve">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</w:t>
            </w:r>
            <w:r>
              <w:t xml:space="preserve">(штрафы за незаконную розничную продажу алкогольной и спиртосодержащей пищевой продукции физическими лицами)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1 16 01143 01 9000 140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b/>
              </w:rPr>
              <w:t xml:space="preserve"> </w:t>
            </w:r>
            <w:r>
              <w:t xml:space="preserve">Административные штрафы, установленные главой 14 Кодекса Российской</w:t>
            </w:r>
            <w:r>
              <w:t xml:space="preserve">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</w:t>
            </w:r>
            <w:r>
              <w:t xml:space="preserve">(иные штрафы)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 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1 16 01153 01 0005 140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бумаг, добычи, производс</w:t>
            </w:r>
            <w:r>
              <w:t xml:space="preserve">тва, использования и обращения драгоценных металлов и драгоценных камней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 </w:t>
            </w:r>
            <w:r>
              <w:t xml:space="preserve">(штрафы за</w:t>
            </w:r>
            <w:r>
              <w:t xml:space="preserve"> нарушение сроков представления налоговой декларации (расчета по страховым взносам))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1 16 01153 01 0006 140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бумаг, добычи, производс</w:t>
            </w:r>
            <w:r>
              <w:t xml:space="preserve">тва, использования и обращения драгоценных металлов и драгоценных камней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 </w:t>
            </w:r>
            <w:r>
              <w:t xml:space="preserve">(штрафы за</w:t>
            </w:r>
            <w:r>
              <w:t xml:space="preserve"> непредставление (несообщение) сведений, необходимых для осуществления налогового контроля)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1 16 01153 01 9000 140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</w:t>
            </w:r>
            <w:r>
              <w:t xml:space="preserve">бласти финансов, налогов и сборов, страхования, рынка ценных бумаг, добычи, производства, использования и обращения драгоценных металлов и драгоценных камней (за исключением штрафов, указанных в пункте 6 статьи 46 Бюджетного кодекса Российской Федерации), </w:t>
            </w:r>
            <w:r>
              <w:t xml:space="preserve">налагаемые мировыми судьями, комиссиями по делам несовершеннолетних и защите их прав </w:t>
            </w:r>
            <w:r>
              <w:t xml:space="preserve">(иные штрафы)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1 16 01173 01 0007 140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</w:t>
            </w:r>
            <w:r>
              <w:t xml:space="preserve">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 </w:t>
            </w:r>
            <w:r>
              <w:t xml:space="preserve">(штрафы за невыполнение законных требований прокурора, следователя, дознавателя или должностного лица, осуществляющего производство по делу об административном правонарушении)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1 16 01173 01 0008 140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</w:t>
            </w:r>
            <w:r>
              <w:t xml:space="preserve">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 </w:t>
            </w:r>
            <w:r>
              <w:t xml:space="preserve">(штрафы за воспрепятствование законной деятельности должностного лица органа,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1 16 01173 01 9000 140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</w:t>
            </w:r>
            <w:r>
              <w:t xml:space="preserve">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 </w:t>
            </w:r>
            <w:r>
              <w:t xml:space="preserve">(иные штрафы)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1 16 01183 01 0000 140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18 Кодекса Российской Федерации об административных правонарушениях, за административные правонарушения в о</w:t>
            </w:r>
            <w:r>
              <w:t xml:space="preserve">бласти защиты Государственной границы Российской Федерации и обеспечения режима пребывания иностранных граждан или лиц без гражданства на территории Российской Федерации, налагаемые мировыми судьями, комиссиями по делам несовершеннолетних и защите их прав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1 16 01193 01 0005 140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</w:t>
            </w:r>
            <w:r>
              <w:t xml:space="preserve">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  <w:r>
              <w:t xml:space="preserve"> (</w:t>
            </w:r>
            <w:r>
              <w:t xml:space="preserve">штрафы за невыполнение в срок законного предписания (постановлени</w:t>
            </w:r>
            <w:r>
              <w:t xml:space="preserve">я, представления, решения) органа (должностного лица), осуществляющего государственный надзор (контроль), организации, уполномоченной в соответствии с федеральными законами на осуществление государственного надзора (должностного лица), органа (должностного</w:t>
            </w:r>
            <w:r>
              <w:t xml:space="preserve"> </w:t>
            </w:r>
            <w:r>
              <w:t xml:space="preserve">лица), осуществляющего муниципальный контроль</w:t>
            </w:r>
            <w:r>
              <w:t xml:space="preserve">)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1 16 01193 01 0007 140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</w:t>
            </w:r>
            <w:r>
              <w:t xml:space="preserve">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  <w:r>
              <w:t xml:space="preserve"> (штрафы за непредставление сведений (информации))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1 16 01193 01 0013 140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</w:t>
            </w:r>
            <w:r>
              <w:t xml:space="preserve">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</w:t>
            </w:r>
            <w:r>
              <w:t xml:space="preserve">(штрафы за заведомо ложный вызов специализированных служб)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1 16 01193 01 0028 140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</w:t>
            </w:r>
            <w:r>
              <w:t xml:space="preserve">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</w:t>
            </w:r>
            <w:r>
              <w:t xml:space="preserve">(штрафы за незаконное вознаграждение от имени юридического лица)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1 16 01193 01 0029 140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</w:t>
            </w:r>
            <w:r>
              <w:t xml:space="preserve">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  <w:r>
              <w:t xml:space="preserve"> (</w:t>
            </w:r>
            <w:r>
              <w:t xml:space="preserve">штрафы за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</w:t>
            </w:r>
            <w:r>
              <w:t xml:space="preserve">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1 16 01193 01 0401 140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</w:t>
            </w:r>
            <w:r>
              <w:t xml:space="preserve">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</w:t>
            </w:r>
            <w:r>
              <w:t xml:space="preserve">(</w:t>
            </w:r>
            <w:r>
              <w:t xml:space="preserve">штрафы за воспрепятствование зако</w:t>
            </w:r>
            <w:r>
              <w:t xml:space="preserve">нной деятельности должностного лица органа государственного контроля (надзора), должностного лица организации, уполномоченной в соответствии с федеральными законами на осуществление государственного надзора, должностного лица органа муниципального контроля</w:t>
            </w:r>
            <w:r>
              <w:t xml:space="preserve">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1 16 01193 01 9000 140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</w:t>
            </w:r>
            <w:r>
              <w:t xml:space="preserve">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</w:t>
            </w:r>
            <w:r>
              <w:t xml:space="preserve">( </w:t>
            </w:r>
            <w:r>
              <w:t xml:space="preserve">иные штрафы)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1 16 01203 01 0007 140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</w:t>
            </w:r>
            <w:r>
              <w:t xml:space="preserve">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</w:t>
            </w:r>
            <w:r>
              <w:t xml:space="preserve">(штрафы за невыполнение требований и мероприятий в области гражданской обороны)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1 16 01203 01 0008 140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</w:t>
            </w:r>
            <w:r>
              <w:t xml:space="preserve">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</w:t>
            </w:r>
            <w:r>
              <w:t xml:space="preserve">(</w:t>
            </w:r>
            <w:r>
              <w:t xml:space="preserve">штрафы за нарушение правил производства, приобретения, продажи, передачи, хранения, перевозки, ношения, коллекционирования, экспонирования, уничтожения или учета оружия и патронов к нему, а также нарушение правил производства, продажи, хранения</w:t>
            </w:r>
            <w:r>
              <w:t xml:space="preserve">, уничтожения или учета взрывчатых веществ и взрывных устройств, пироте</w:t>
            </w:r>
            <w:r>
              <w:t xml:space="preserve">хнических изделий,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</w:t>
            </w:r>
            <w:r>
              <w:t xml:space="preserve">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lang w:val="en-US"/>
              </w:rPr>
            </w:pPr>
            <w:r>
              <w:rPr>
                <w:lang w:val="en-US"/>
              </w:rPr>
              <w:t xml:space="preserve">821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  <w:rPr>
                <w:lang w:val="en-US"/>
              </w:rPr>
            </w:pPr>
            <w:r>
              <w:rPr>
                <w:lang w:val="en-US"/>
              </w:rPr>
              <w:t xml:space="preserve">1 16 01203 01 0013 140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</w:t>
            </w:r>
            <w:r>
              <w:t xml:space="preserve">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</w:t>
            </w:r>
            <w:r>
              <w:t xml:space="preserve">(штрафы за стрельбу из оружия в отведенных для этого местах с нарушением установленных правил или в не отведенных для этого местах)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1 16 01203 01 0021 140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</w:t>
            </w:r>
            <w:r>
              <w:t xml:space="preserve">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</w:t>
            </w:r>
            <w:r>
              <w:t xml:space="preserve">(штрафы за появление в общественных местах в состоянии опьянения)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1 16 01203 01 9000 140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</w:t>
            </w:r>
            <w:r>
              <w:t xml:space="preserve">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</w:t>
            </w:r>
            <w:r>
              <w:t xml:space="preserve">(иные штрафы)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1 16 02020 02 0000 140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830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b/>
                <w:color w:val="000000"/>
                <w:lang w:eastAsia="en-US"/>
              </w:rPr>
            </w:pPr>
            <w:r>
              <w:rPr>
                <w:rFonts w:eastAsia="Calibri"/>
                <w:b/>
                <w:color w:val="000000"/>
                <w:lang w:eastAsia="en-US"/>
              </w:rPr>
              <w:t xml:space="preserve">Комитет государственного и финансового контроля Мурманской области</w:t>
            </w:r>
            <w:r>
              <w:rPr>
                <w:rFonts w:eastAsia="Calibri"/>
                <w:b/>
                <w:color w:val="000000"/>
                <w:lang w:eastAsia="en-US"/>
              </w:rPr>
            </w:r>
            <w:r>
              <w:rPr>
                <w:rFonts w:eastAsia="Calibri"/>
                <w:b/>
                <w:color w:val="000000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830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1 16 01074 01 0000 140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830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1 16 01094 01 0000 140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</w:t>
            </w:r>
            <w:r>
              <w:t xml:space="preserve">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выявленные должностными лицами органов муниципального контроля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832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b/>
              </w:rPr>
              <w:t xml:space="preserve">Министерство региональной безопасности  Мурманской области 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832</w:t>
            </w:r>
            <w:r/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1 16 01053 01 0035 140</w:t>
            </w:r>
            <w:r/>
          </w:p>
        </w:tc>
        <w:tc>
          <w:tcPr>
            <w:shd w:val="clear" w:color="auto" w:fill="auto"/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</w:t>
            </w:r>
            <w:r>
              <w:t xml:space="preserve">щие на права граждан, налагаемые мировыми судьями, комиссиями по делам несовершеннолетних и защите их прав (штрафы за неисполнение родителями или иными законными представителями несовершеннолетних обязанностей по содержанию и воспитанию несовершеннолетних)</w:t>
            </w:r>
            <w:r/>
          </w:p>
        </w:tc>
      </w:tr>
      <w:tr>
        <w:tblPrEx/>
        <w:trPr>
          <w:trHeight w:val="170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832</w:t>
            </w:r>
            <w:r/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</w:pPr>
            <w:r>
              <w:t xml:space="preserve">1 16 01053 01 9000 140</w:t>
            </w:r>
            <w:r/>
          </w:p>
        </w:tc>
        <w:tc>
          <w:tcPr>
            <w:shd w:val="clear" w:color="auto" w:fill="auto"/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Административные штра</w:t>
            </w:r>
            <w:r>
              <w:t xml:space="preserve">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(иные штрафы)</w:t>
            </w:r>
            <w:r/>
          </w:p>
        </w:tc>
      </w:tr>
      <w:tr>
        <w:tblPrEx/>
        <w:trPr>
          <w:trHeight w:val="170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832</w:t>
            </w:r>
            <w:r/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</w:pPr>
            <w:r>
              <w:t xml:space="preserve">1 16 01063 01 0023 140</w:t>
            </w:r>
            <w:r/>
          </w:p>
        </w:tc>
        <w:tc>
          <w:tcPr>
            <w:shd w:val="clear" w:color="auto" w:fill="auto"/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</w:t>
            </w:r>
            <w:r>
              <w:t xml:space="preserve">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вовлечение несовершеннолетнего в процесс потребления табака)</w:t>
            </w:r>
            <w:r/>
          </w:p>
        </w:tc>
      </w:tr>
      <w:tr>
        <w:tblPrEx/>
        <w:trPr>
          <w:trHeight w:val="170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832</w:t>
            </w:r>
            <w:r/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1 16 01063 01 0101 140</w:t>
            </w:r>
            <w:r/>
          </w:p>
        </w:tc>
        <w:tc>
          <w:tcPr>
            <w:shd w:val="clear" w:color="auto" w:fill="auto"/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6 Кодекса Российской Федерации об административных правон</w:t>
            </w:r>
            <w:r>
              <w:t xml:space="preserve">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побои)</w:t>
            </w:r>
            <w:r/>
          </w:p>
        </w:tc>
      </w:tr>
      <w:tr>
        <w:tblPrEx/>
        <w:trPr>
          <w:trHeight w:val="170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832</w:t>
            </w:r>
            <w:r/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</w:pPr>
            <w:r>
              <w:t xml:space="preserve">1 16 01063 01 9000 140</w:t>
            </w:r>
            <w:r/>
          </w:p>
        </w:tc>
        <w:tc>
          <w:tcPr>
            <w:shd w:val="clear" w:color="auto" w:fill="auto"/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Административные штрафы, установленные главой 6 Кодекса Российской Федерации об административных пр</w:t>
            </w:r>
            <w:r>
              <w:t xml:space="preserve">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(иные штрафы)</w:t>
            </w:r>
            <w:r/>
          </w:p>
        </w:tc>
      </w:tr>
      <w:tr>
        <w:tblPrEx/>
        <w:trPr>
          <w:trHeight w:val="170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832</w:t>
            </w:r>
            <w:r/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1 16 01073 01 0027 140</w:t>
            </w:r>
            <w:r/>
          </w:p>
        </w:tc>
        <w:tc>
          <w:tcPr>
            <w:shd w:val="clear" w:color="auto" w:fill="auto"/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</w:t>
            </w:r>
            <w:r>
              <w:t xml:space="preserve">судьями, комиссиями по делам несовершеннолетних и защите их прав (штрафы за мелкое хищение)</w:t>
            </w:r>
            <w:r/>
          </w:p>
        </w:tc>
      </w:tr>
      <w:tr>
        <w:tblPrEx/>
        <w:trPr>
          <w:trHeight w:val="170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832</w:t>
            </w:r>
            <w:r/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1 16 01083 01 9000 140</w:t>
            </w:r>
            <w:r/>
          </w:p>
        </w:tc>
        <w:tc>
          <w:tcPr>
            <w:shd w:val="clear" w:color="auto" w:fill="auto"/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8</w:t>
            </w:r>
            <w:r>
              <w:t xml:space="preserve">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(иные штрафы)</w:t>
            </w:r>
            <w:r/>
          </w:p>
        </w:tc>
      </w:tr>
      <w:tr>
        <w:tblPrEx/>
        <w:trPr>
          <w:trHeight w:val="170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832</w:t>
            </w:r>
            <w:r/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1 16 01123 01 00</w:t>
            </w:r>
            <w:r>
              <w:t xml:space="preserve">1</w:t>
            </w:r>
            <w:r>
              <w:t xml:space="preserve">1 140</w:t>
            </w:r>
            <w:r/>
          </w:p>
        </w:tc>
        <w:tc>
          <w:tcPr>
            <w:shd w:val="clear" w:color="auto" w:fill="auto"/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12 Кодекса Российской Федерации об административных п</w:t>
            </w:r>
            <w:r>
              <w:t xml:space="preserve">равонарушениях, за административные правонарушения в области дорожного движения, налагаемые мировыми судьями, комиссиями по делам несовершеннолетних и защите их прав (штрафы за нарушение Правил дорожного движения, правил эксплуатации транспортного средства</w:t>
            </w:r>
            <w:r>
              <w:t xml:space="preserve">, налагаемые мировыми судьями, комиссиями по делам несовершеннолетних и защите их прав, администрируемые исполнительными органами Мурманской области</w:t>
            </w:r>
            <w:r>
              <w:t xml:space="preserve">) </w:t>
            </w:r>
            <w:r/>
          </w:p>
        </w:tc>
      </w:tr>
      <w:tr>
        <w:tblPrEx/>
        <w:trPr>
          <w:trHeight w:val="170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832</w:t>
            </w:r>
            <w:r/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</w:pPr>
            <w:r>
              <w:t xml:space="preserve">1 16 01193 01 9000 140</w:t>
            </w:r>
            <w:r/>
          </w:p>
        </w:tc>
        <w:tc>
          <w:tcPr>
            <w:shd w:val="clear" w:color="auto" w:fill="auto"/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Административные шт</w:t>
            </w:r>
            <w:r>
              <w:t xml:space="preserve">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(иные штрафы)</w:t>
            </w:r>
            <w:r/>
          </w:p>
        </w:tc>
      </w:tr>
      <w:tr>
        <w:tblPrEx/>
        <w:trPr>
          <w:trHeight w:val="170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832</w:t>
            </w:r>
            <w:r/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lang w:val="en-US"/>
              </w:rPr>
              <w:t xml:space="preserve">1 16 01203 01 0021 140</w:t>
            </w:r>
            <w:r/>
          </w:p>
        </w:tc>
        <w:tc>
          <w:tcPr>
            <w:shd w:val="clear" w:color="auto" w:fill="auto"/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20 Кодекса Российской Федерации об административных правонаруше</w:t>
            </w:r>
            <w:r>
              <w:t xml:space="preserve">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появление в общественных местах в состоянии опьянения)</w:t>
            </w:r>
            <w:r/>
          </w:p>
        </w:tc>
      </w:tr>
      <w:tr>
        <w:tblPrEx/>
        <w:trPr>
          <w:trHeight w:val="170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832</w:t>
            </w:r>
            <w:r/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1 16 01203 01 9000 140</w:t>
            </w:r>
            <w:r/>
          </w:p>
        </w:tc>
        <w:tc>
          <w:tcPr>
            <w:shd w:val="clear" w:color="auto" w:fill="auto"/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20 Кодекса </w:t>
            </w:r>
            <w:r>
              <w:t xml:space="preserve">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(иные штрафы)</w:t>
            </w:r>
            <w:r/>
          </w:p>
        </w:tc>
      </w:tr>
    </w:tbl>
    <w:tbl>
      <w:tblPr>
        <w:tblpPr w:horzAnchor="margin" w:tblpXSpec="left" w:vertAnchor="page" w:tblpY="1060" w:leftFromText="180" w:topFromText="0" w:rightFromText="180" w:bottomFromText="0"/>
        <w:tblW w:w="5070" w:type="dxa"/>
        <w:tblLook w:val="04A0" w:firstRow="1" w:lastRow="0" w:firstColumn="1" w:lastColumn="0" w:noHBand="0" w:noVBand="1"/>
      </w:tblPr>
      <w:tblGrid>
        <w:gridCol w:w="5070"/>
      </w:tblGrid>
      <w:tr>
        <w:tblPrEx/>
        <w:trPr/>
        <w:tc>
          <w:tcPr>
            <w:tcW w:w="5070" w:type="dxa"/>
            <w:textDirection w:val="lrTb"/>
            <w:noWrap w:val="false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ind w:left="552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 w:clear="all"/>
      </w:r>
      <w:r>
        <w:rPr>
          <w:bCs/>
          <w:sz w:val="24"/>
          <w:szCs w:val="24"/>
        </w:rPr>
        <w:t xml:space="preserve">Приложение № 2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8"/>
        <w:jc w:val="both"/>
        <w:shd w:val="clear" w:color="auto" w:fill="ffffff"/>
        <w:tabs>
          <w:tab w:val="left" w:pos="5812" w:leader="none"/>
          <w:tab w:val="left" w:pos="6237" w:leader="none"/>
          <w:tab w:val="left" w:pos="9356" w:leader="none"/>
        </w:tabs>
        <w:rPr>
          <w:b/>
          <w:i/>
          <w:color w:val="000000" w:themeColor="text1"/>
        </w:rPr>
      </w:pPr>
      <w:r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 xml:space="preserve">21.11.2025 № 1923</w:t>
      </w:r>
      <w:r>
        <w:rPr>
          <w:b/>
          <w:i/>
          <w:color w:val="000000" w:themeColor="text1"/>
        </w:rPr>
      </w:r>
      <w:r>
        <w:rPr>
          <w:b/>
          <w:i/>
          <w:color w:val="000000" w:themeColor="text1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ПЕРЕЧЕНЬ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главных администраторов источников финансирования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дефицита бюджета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Печенгского муниципального округа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10774" w:type="dxa"/>
        <w:tblInd w:w="-88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2268"/>
        <w:gridCol w:w="7087"/>
      </w:tblGrid>
      <w:tr>
        <w:tblPrEx/>
        <w:trPr>
          <w:trHeight w:val="255"/>
        </w:trPr>
        <w:tc>
          <w:tcPr>
            <w:shd w:val="clear" w:color="ffffff" w:fill="ffffff"/>
            <w:tcW w:w="141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Код главного администратора источников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ffffff" w:fill="ffffff"/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Код группы, подгруппы, статьи и вида источников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ffffff" w:fill="ffffff"/>
            <w:tcW w:w="708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>
          <w:trHeight w:val="249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002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2"/>
            <w:shd w:val="clear" w:color="ffffff" w:fill="ffffff"/>
            <w:tcW w:w="9355" w:type="dxa"/>
            <w:vAlign w:val="bottom"/>
            <w:textDirection w:val="lrTb"/>
            <w:noWrap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Финансовое  управление администрации Печенгского муниципального округа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>
          <w:trHeight w:val="418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pPr>
              <w:ind w:right="-108"/>
            </w:pPr>
            <w:r>
              <w:t xml:space="preserve">01 02 00 00 14 0000 710</w:t>
            </w:r>
            <w:r/>
          </w:p>
        </w:tc>
        <w:tc>
          <w:tcPr>
            <w:shd w:val="clear" w:color="ffffff" w:fill="ffffff"/>
            <w:tcW w:w="7087" w:type="dxa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Привлечение муниципальными округами кредитов от кредитных организаций в валюте Российской Федерации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24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01 02 00 00 14 0000 810</w:t>
            </w:r>
            <w:r/>
          </w:p>
        </w:tc>
        <w:tc>
          <w:tcPr>
            <w:shd w:val="clear" w:color="ffffff" w:fill="ffffff"/>
            <w:tcW w:w="708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Погашение муниципальными округами кредитов от кредитных организаций в валюте Российской Федерации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390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01 03 01 00 14 0000 710</w:t>
            </w:r>
            <w:r/>
          </w:p>
        </w:tc>
        <w:tc>
          <w:tcPr>
            <w:shd w:val="clear" w:color="ffffff" w:fill="ffffff"/>
            <w:tcW w:w="7087" w:type="dxa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Привлечение кредитов из других бюджетов бюджетной системы Российской Федерации бюджетами муниципальных округов в валюте Российской Федерации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08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01 03 01 00 14 0000 810</w:t>
            </w:r>
            <w:r/>
          </w:p>
        </w:tc>
        <w:tc>
          <w:tcPr>
            <w:shd w:val="clear" w:color="ffffff" w:fill="ffffff"/>
            <w:tcW w:w="7087" w:type="dxa"/>
            <w:vAlign w:val="bottom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Погашение бюджетами муниципальных округов кредитов из других бюджетов бюджетной системы Российской Федерации в валюте Российской Федерации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368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01 05 01 01 14 0000 510</w:t>
            </w:r>
            <w:r/>
          </w:p>
        </w:tc>
        <w:tc>
          <w:tcPr>
            <w:shd w:val="clear" w:color="ffffff" w:fill="ffffff"/>
            <w:tcW w:w="7087" w:type="dxa"/>
            <w:vAlign w:val="bottom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Увеличение </w:t>
            </w:r>
            <w:r>
              <w:rPr>
                <w:color w:val="000000"/>
              </w:rPr>
              <w:t xml:space="preserve">остатков денежных средств финансовых резервов бюджетов муниципальных округов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79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01 05 02 01 14 0000 510</w:t>
            </w:r>
            <w:r/>
          </w:p>
        </w:tc>
        <w:tc>
          <w:tcPr>
            <w:shd w:val="clear" w:color="ffffff" w:fill="ffffff"/>
            <w:tcW w:w="708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Увеличение прочих остатков денежных средств бюджетов муниципальных округов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12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01 05 01 01 14 0000 610</w:t>
            </w:r>
            <w:r/>
          </w:p>
        </w:tc>
        <w:tc>
          <w:tcPr>
            <w:shd w:val="clear" w:color="ffffff" w:fill="ffffff"/>
            <w:tcW w:w="7087" w:type="dxa"/>
            <w:vAlign w:val="bottom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Уменьшение </w:t>
            </w:r>
            <w:r>
              <w:rPr>
                <w:color w:val="000000"/>
              </w:rPr>
              <w:t xml:space="preserve">остатков денежных средств финансовых резервов бюджетов муниципальных округов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74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 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01 05 02 01 14 0000 610</w:t>
            </w:r>
            <w:r/>
          </w:p>
        </w:tc>
        <w:tc>
          <w:tcPr>
            <w:shd w:val="clear" w:color="ffffff" w:fill="ffffff"/>
            <w:tcW w:w="708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Уменьшение прочих остатков денежных средств бюджетов муниципальных округов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26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01 06 01 00 14 0000 630</w:t>
            </w:r>
            <w:r/>
          </w:p>
        </w:tc>
        <w:tc>
          <w:tcPr>
            <w:shd w:val="clear" w:color="ffffff" w:fill="ffffff"/>
            <w:tcW w:w="7087" w:type="dxa"/>
            <w:vAlign w:val="bottom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Средства от продажи акций и иных форм участия в капитале, находящихся в собственности муниципальных округов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696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01 06 04 01 14 0000 810</w:t>
            </w:r>
            <w:r/>
          </w:p>
        </w:tc>
        <w:tc>
          <w:tcPr>
            <w:shd w:val="clear" w:color="ffffff" w:fill="ffffff"/>
            <w:tcW w:w="7087" w:type="dxa"/>
            <w:vAlign w:val="bottom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Исполнение муниципальных гарантий </w:t>
            </w:r>
            <w:r>
              <w:rPr>
                <w:color w:val="000000"/>
              </w:rPr>
              <w:t xml:space="preserve">муниципальных округов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11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01 06 05 01 14 0000 640</w:t>
            </w:r>
            <w:r/>
          </w:p>
        </w:tc>
        <w:tc>
          <w:tcPr>
            <w:shd w:val="clear" w:color="ffffff" w:fill="ffffff"/>
            <w:tcW w:w="7087" w:type="dxa"/>
            <w:vAlign w:val="bottom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Возврат бюджетных кредитов, предоставленных юридическим лицам из бюджетов муниципальных округов в валюте Российской Федерации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16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01 06 05 01 14 0000 540</w:t>
            </w:r>
            <w:r/>
          </w:p>
        </w:tc>
        <w:tc>
          <w:tcPr>
            <w:shd w:val="clear" w:color="ffffff" w:fill="ffffff"/>
            <w:tcW w:w="7087" w:type="dxa"/>
            <w:vAlign w:val="bottom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Предоставление бюджетных кредитов юридическим лицам из бюджетов муниципальных округов в валюте Российской Федерации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66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01 06 06 01 14 0000 550</w:t>
            </w:r>
            <w:r/>
          </w:p>
        </w:tc>
        <w:tc>
          <w:tcPr>
            <w:shd w:val="clear" w:color="ffffff" w:fill="ffffff"/>
            <w:tcW w:w="7087" w:type="dxa"/>
            <w:vAlign w:val="bottom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Увеличение иных финансовых активов в собственности муниципальных округов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85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01 06 06 01 14 0000 650</w:t>
            </w:r>
            <w:r/>
          </w:p>
        </w:tc>
        <w:tc>
          <w:tcPr>
            <w:shd w:val="clear" w:color="ffffff" w:fill="ffffff"/>
            <w:tcW w:w="708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Уменьшение иных финансовых активов в собственности муниципальных округов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73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01 06 06 00 14 0000 710</w:t>
            </w:r>
            <w:r/>
          </w:p>
        </w:tc>
        <w:tc>
          <w:tcPr>
            <w:shd w:val="clear" w:color="ffffff" w:fill="ffffff"/>
            <w:tcW w:w="7087" w:type="dxa"/>
            <w:vAlign w:val="bottom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Привлечение</w:t>
            </w:r>
            <w:r>
              <w:rPr>
                <w:color w:val="000000"/>
              </w:rPr>
              <w:t xml:space="preserve"> (поступление)</w:t>
            </w:r>
            <w:r>
              <w:rPr>
                <w:color w:val="000000"/>
              </w:rPr>
              <w:t xml:space="preserve"> прочих источников внутреннего финансирования дефицитов бюджетов муниципальных округов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08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01 06 06 00 14 0000 810</w:t>
            </w:r>
            <w:r/>
          </w:p>
        </w:tc>
        <w:tc>
          <w:tcPr>
            <w:shd w:val="clear" w:color="ffffff" w:fill="ffffff"/>
            <w:tcW w:w="708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Погашение обязательств за счет прочих </w:t>
            </w:r>
            <w:r>
              <w:rPr>
                <w:color w:val="000000"/>
              </w:rPr>
              <w:t xml:space="preserve">источников внутреннего финансирования дефицитов бюджетов муниципальных округов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132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01 06 10 02 14 0000 550</w:t>
            </w:r>
            <w:r/>
          </w:p>
        </w:tc>
        <w:tc>
          <w:tcPr>
            <w:shd w:val="clear" w:color="ffffff" w:fill="ffffff"/>
            <w:tcW w:w="7087" w:type="dxa"/>
            <w:vAlign w:val="bottom"/>
            <w:textDirection w:val="lrTb"/>
            <w:noWrap w:val="false"/>
          </w:tcPr>
          <w:p>
            <w:pPr>
              <w:jc w:val="both"/>
            </w:pPr>
            <w:r>
              <w:t xml:space="preserve">Увеличение финансовых активов в собственности муниципальных округов за счет средств на казначейских счетах для осуществления и отражения операций с денежными средствами, поступающими во временное распоряжение получателей средств местного бюджета, казна</w:t>
            </w:r>
            <w:r>
              <w:t xml:space="preserve">чейских счетах для осуществления и отражения операций с денежными средствами бюджетных и автономных учреждений, казначейских счетах для осуществления и отражения операций с денежными средствами юридических лиц, не являющихся участниками бюджетного процесса</w:t>
            </w:r>
            <w:r>
              <w:t xml:space="preserve">, бюджетными и автономными учреждениями</w:t>
            </w:r>
            <w:r/>
          </w:p>
        </w:tc>
      </w:tr>
    </w:tbl>
    <w:p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Garamond">
    <w:panose1 w:val="02020404030301010803"/>
  </w:font>
  <w:font w:name="Tahoma">
    <w:panose1 w:val="020B060403050404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65" w:hanging="825"/>
        <w:tabs>
          <w:tab w:val="num" w:pos="1365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928" w:hanging="360"/>
        <w:tabs>
          <w:tab w:val="num" w:pos="928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5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7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9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1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3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5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7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9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18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07" w:hanging="84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9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0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79" w:hanging="825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818" w:hanging="82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693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41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13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85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57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29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01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73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453" w:hanging="180"/>
      </w:pPr>
    </w:lvl>
  </w:abstractNum>
  <w:abstractNum w:abstractNumId="12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56" w:hanging="1305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2036" w:hanging="118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036" w:hanging="118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036" w:hanging="118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36" w:hanging="1185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36" w:hanging="1185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291" w:hanging="144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10" w:hanging="810"/>
      </w:pPr>
      <w:rPr>
        <w:rFonts w:hint="default"/>
      </w:rPr>
    </w:lvl>
    <w:lvl w:ilvl="2">
      <w:start w:val="6"/>
      <w:numFmt w:val="decimal"/>
      <w:isLgl w:val="false"/>
      <w:suff w:val="tab"/>
      <w:lvlText w:val="%1.%2.%3."/>
      <w:lvlJc w:val="left"/>
      <w:pPr>
        <w:ind w:left="1945" w:hanging="81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7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6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6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93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01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108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115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122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129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137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1442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</w:lvl>
    <w:lvl w:ilvl="1">
      <w:start w:val="2"/>
      <w:numFmt w:val="decimal"/>
      <w:isLgl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-"/>
      <w:lvlJc w:val="left"/>
      <w:pPr>
        <w:ind w:left="1091" w:firstLine="709"/>
        <w:tabs>
          <w:tab w:val="num" w:pos="2083" w:leader="none"/>
        </w:tabs>
      </w:pPr>
      <w:rPr>
        <w:rFonts w:hint="default" w:ascii="Verdana" w:hAnsi="Verdana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6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14" w:hanging="660"/>
      </w:pPr>
      <w:rPr>
        <w:rFonts w:hint="default"/>
      </w:rPr>
    </w:lvl>
    <w:lvl w:ilvl="2">
      <w:start w:val="12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2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34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6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8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50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22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94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6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85" w:hanging="180"/>
      </w:pPr>
    </w:lvl>
  </w:abstractNum>
  <w:abstractNum w:abstractNumId="28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"/>
      <w:lvlJc w:val="left"/>
      <w:pPr>
        <w:ind w:left="1091" w:firstLine="709"/>
        <w:tabs>
          <w:tab w:val="num" w:pos="2083" w:leader="none"/>
        </w:tabs>
      </w:pPr>
      <w:rPr>
        <w:rFonts w:hint="default" w:ascii="Symbol" w:hAnsi="Symbol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num w:numId="1">
    <w:abstractNumId w:val="30"/>
  </w:num>
  <w:num w:numId="2">
    <w:abstractNumId w:val="13"/>
  </w:num>
  <w:num w:numId="3">
    <w:abstractNumId w:val="3"/>
  </w:num>
  <w:num w:numId="4">
    <w:abstractNumId w:val="7"/>
  </w:num>
  <w:num w:numId="5">
    <w:abstractNumId w:val="21"/>
  </w:num>
  <w:num w:numId="6">
    <w:abstractNumId w:val="2"/>
  </w:num>
  <w:num w:numId="7">
    <w:abstractNumId w:val="16"/>
  </w:num>
  <w:num w:numId="8">
    <w:abstractNumId w:val="17"/>
  </w:num>
  <w:num w:numId="9">
    <w:abstractNumId w:val="9"/>
  </w:num>
  <w:num w:numId="10">
    <w:abstractNumId w:val="18"/>
  </w:num>
  <w:num w:numId="11">
    <w:abstractNumId w:val="1"/>
  </w:num>
  <w:num w:numId="12">
    <w:abstractNumId w:val="23"/>
  </w:num>
  <w:num w:numId="13">
    <w:abstractNumId w:val="25"/>
  </w:num>
  <w:num w:numId="14">
    <w:abstractNumId w:val="24"/>
  </w:num>
  <w:num w:numId="15">
    <w:abstractNumId w:val="10"/>
  </w:num>
  <w:num w:numId="16">
    <w:abstractNumId w:val="15"/>
  </w:num>
  <w:num w:numId="17">
    <w:abstractNumId w:val="6"/>
  </w:num>
  <w:num w:numId="18">
    <w:abstractNumId w:val="28"/>
  </w:num>
  <w:num w:numId="19">
    <w:abstractNumId w:val="12"/>
  </w:num>
  <w:num w:numId="20">
    <w:abstractNumId w:val="31"/>
  </w:num>
  <w:num w:numId="21">
    <w:abstractNumId w:val="26"/>
  </w:num>
  <w:num w:numId="22">
    <w:abstractNumId w:val="20"/>
  </w:num>
  <w:num w:numId="23">
    <w:abstractNumId w:val="19"/>
  </w:num>
  <w:num w:numId="24">
    <w:abstractNumId w:val="5"/>
  </w:num>
  <w:num w:numId="25">
    <w:abstractNumId w:val="8"/>
  </w:num>
  <w:num w:numId="26">
    <w:abstractNumId w:val="22"/>
  </w:num>
  <w:num w:numId="27">
    <w:abstractNumId w:val="0"/>
  </w:num>
  <w:num w:numId="28">
    <w:abstractNumId w:val="29"/>
  </w:num>
  <w:num w:numId="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</w:num>
  <w:num w:numId="31">
    <w:abstractNumId w:val="27"/>
  </w:num>
  <w:num w:numId="32">
    <w:abstractNumId w:val="11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9" w:default="1">
    <w:name w:val="Normal"/>
    <w:qFormat/>
  </w:style>
  <w:style w:type="paragraph" w:styleId="720">
    <w:name w:val="Heading 1"/>
    <w:basedOn w:val="719"/>
    <w:next w:val="719"/>
    <w:link w:val="929"/>
    <w:qFormat/>
    <w:pPr>
      <w:ind w:firstLine="7655"/>
      <w:keepNext/>
      <w:outlineLvl w:val="0"/>
    </w:pPr>
    <w:rPr>
      <w:b/>
      <w:sz w:val="28"/>
    </w:rPr>
  </w:style>
  <w:style w:type="paragraph" w:styleId="721">
    <w:name w:val="Heading 2"/>
    <w:basedOn w:val="719"/>
    <w:next w:val="719"/>
    <w:link w:val="745"/>
    <w:qFormat/>
    <w:pPr>
      <w:jc w:val="center"/>
      <w:keepNext/>
      <w:outlineLvl w:val="1"/>
    </w:pPr>
    <w:rPr>
      <w:b/>
      <w:caps/>
      <w:sz w:val="22"/>
    </w:rPr>
  </w:style>
  <w:style w:type="paragraph" w:styleId="722">
    <w:name w:val="Heading 3"/>
    <w:basedOn w:val="719"/>
    <w:next w:val="719"/>
    <w:link w:val="746"/>
    <w:qFormat/>
    <w:pPr>
      <w:keepNext/>
      <w:outlineLvl w:val="2"/>
    </w:pPr>
    <w:rPr>
      <w:sz w:val="28"/>
    </w:rPr>
  </w:style>
  <w:style w:type="paragraph" w:styleId="723">
    <w:name w:val="Heading 4"/>
    <w:basedOn w:val="719"/>
    <w:next w:val="719"/>
    <w:link w:val="747"/>
    <w:qFormat/>
    <w:pPr>
      <w:ind w:firstLine="709"/>
      <w:keepNext/>
      <w:outlineLvl w:val="3"/>
    </w:pPr>
    <w:rPr>
      <w:sz w:val="28"/>
    </w:rPr>
  </w:style>
  <w:style w:type="paragraph" w:styleId="724">
    <w:name w:val="Heading 5"/>
    <w:basedOn w:val="719"/>
    <w:next w:val="719"/>
    <w:link w:val="748"/>
    <w:qFormat/>
    <w:pPr>
      <w:jc w:val="both"/>
      <w:keepNext/>
      <w:outlineLvl w:val="4"/>
    </w:pPr>
    <w:rPr>
      <w:b/>
      <w:sz w:val="28"/>
    </w:rPr>
  </w:style>
  <w:style w:type="paragraph" w:styleId="725">
    <w:name w:val="Heading 6"/>
    <w:basedOn w:val="719"/>
    <w:next w:val="719"/>
    <w:link w:val="74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6">
    <w:name w:val="Heading 7"/>
    <w:basedOn w:val="719"/>
    <w:next w:val="719"/>
    <w:link w:val="75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7">
    <w:name w:val="Heading 8"/>
    <w:basedOn w:val="719"/>
    <w:next w:val="719"/>
    <w:link w:val="751"/>
    <w:qFormat/>
    <w:pPr>
      <w:ind w:firstLine="5103"/>
      <w:jc w:val="both"/>
      <w:keepNext/>
      <w:outlineLvl w:val="7"/>
    </w:pPr>
    <w:rPr>
      <w:b/>
      <w:sz w:val="28"/>
    </w:rPr>
  </w:style>
  <w:style w:type="paragraph" w:styleId="728">
    <w:name w:val="Heading 9"/>
    <w:basedOn w:val="719"/>
    <w:next w:val="719"/>
    <w:link w:val="752"/>
    <w:qFormat/>
    <w:pPr>
      <w:ind w:left="4536"/>
      <w:jc w:val="center"/>
      <w:keepNext/>
      <w:outlineLvl w:val="8"/>
    </w:pPr>
    <w:rPr>
      <w:b/>
      <w:sz w:val="28"/>
    </w:rPr>
  </w:style>
  <w:style w:type="character" w:styleId="729" w:default="1">
    <w:name w:val="Default Paragraph Font"/>
    <w:uiPriority w:val="1"/>
    <w:semiHidden/>
    <w:unhideWhenUsed/>
  </w:style>
  <w:style w:type="table" w:styleId="73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1" w:default="1">
    <w:name w:val="No List"/>
    <w:uiPriority w:val="99"/>
    <w:semiHidden/>
    <w:unhideWhenUsed/>
  </w:style>
  <w:style w:type="character" w:styleId="732" w:customStyle="1">
    <w:name w:val="Heading 2 Char"/>
    <w:basedOn w:val="729"/>
    <w:uiPriority w:val="9"/>
    <w:rPr>
      <w:rFonts w:ascii="Arial" w:hAnsi="Arial" w:eastAsia="Arial" w:cs="Arial"/>
      <w:sz w:val="34"/>
    </w:rPr>
  </w:style>
  <w:style w:type="character" w:styleId="733" w:customStyle="1">
    <w:name w:val="Heading 3 Char"/>
    <w:basedOn w:val="729"/>
    <w:uiPriority w:val="9"/>
    <w:rPr>
      <w:rFonts w:ascii="Arial" w:hAnsi="Arial" w:eastAsia="Arial" w:cs="Arial"/>
      <w:sz w:val="30"/>
      <w:szCs w:val="30"/>
    </w:rPr>
  </w:style>
  <w:style w:type="character" w:styleId="734" w:customStyle="1">
    <w:name w:val="Heading 4 Char"/>
    <w:basedOn w:val="729"/>
    <w:uiPriority w:val="9"/>
    <w:rPr>
      <w:rFonts w:ascii="Arial" w:hAnsi="Arial" w:eastAsia="Arial" w:cs="Arial"/>
      <w:b/>
      <w:bCs/>
      <w:sz w:val="26"/>
      <w:szCs w:val="26"/>
    </w:rPr>
  </w:style>
  <w:style w:type="character" w:styleId="735" w:customStyle="1">
    <w:name w:val="Heading 5 Char"/>
    <w:basedOn w:val="729"/>
    <w:uiPriority w:val="9"/>
    <w:rPr>
      <w:rFonts w:ascii="Arial" w:hAnsi="Arial" w:eastAsia="Arial" w:cs="Arial"/>
      <w:b/>
      <w:bCs/>
      <w:sz w:val="24"/>
      <w:szCs w:val="24"/>
    </w:rPr>
  </w:style>
  <w:style w:type="character" w:styleId="736" w:customStyle="1">
    <w:name w:val="Heading 6 Char"/>
    <w:basedOn w:val="729"/>
    <w:uiPriority w:val="9"/>
    <w:rPr>
      <w:rFonts w:ascii="Arial" w:hAnsi="Arial" w:eastAsia="Arial" w:cs="Arial"/>
      <w:b/>
      <w:bCs/>
      <w:sz w:val="22"/>
      <w:szCs w:val="22"/>
    </w:rPr>
  </w:style>
  <w:style w:type="character" w:styleId="737" w:customStyle="1">
    <w:name w:val="Heading 7 Char"/>
    <w:basedOn w:val="72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8" w:customStyle="1">
    <w:name w:val="Heading 8 Char"/>
    <w:basedOn w:val="729"/>
    <w:uiPriority w:val="9"/>
    <w:rPr>
      <w:rFonts w:ascii="Arial" w:hAnsi="Arial" w:eastAsia="Arial" w:cs="Arial"/>
      <w:i/>
      <w:iCs/>
      <w:sz w:val="22"/>
      <w:szCs w:val="22"/>
    </w:rPr>
  </w:style>
  <w:style w:type="character" w:styleId="739" w:customStyle="1">
    <w:name w:val="Heading 9 Char"/>
    <w:basedOn w:val="729"/>
    <w:uiPriority w:val="9"/>
    <w:rPr>
      <w:rFonts w:ascii="Arial" w:hAnsi="Arial" w:eastAsia="Arial" w:cs="Arial"/>
      <w:i/>
      <w:iCs/>
      <w:sz w:val="21"/>
      <w:szCs w:val="21"/>
    </w:rPr>
  </w:style>
  <w:style w:type="character" w:styleId="740" w:customStyle="1">
    <w:name w:val="Title Char"/>
    <w:basedOn w:val="729"/>
    <w:uiPriority w:val="10"/>
    <w:rPr>
      <w:sz w:val="48"/>
      <w:szCs w:val="48"/>
    </w:rPr>
  </w:style>
  <w:style w:type="character" w:styleId="741" w:customStyle="1">
    <w:name w:val="Subtitle Char"/>
    <w:basedOn w:val="729"/>
    <w:uiPriority w:val="11"/>
    <w:rPr>
      <w:sz w:val="24"/>
      <w:szCs w:val="24"/>
    </w:rPr>
  </w:style>
  <w:style w:type="character" w:styleId="742" w:customStyle="1">
    <w:name w:val="Quote Char"/>
    <w:uiPriority w:val="29"/>
    <w:rPr>
      <w:i/>
    </w:rPr>
  </w:style>
  <w:style w:type="character" w:styleId="743" w:customStyle="1">
    <w:name w:val="Intense Quote Char"/>
    <w:uiPriority w:val="30"/>
    <w:rPr>
      <w:i/>
    </w:rPr>
  </w:style>
  <w:style w:type="character" w:styleId="744" w:customStyle="1">
    <w:name w:val="Heading 1 Char"/>
    <w:basedOn w:val="729"/>
    <w:uiPriority w:val="9"/>
    <w:rPr>
      <w:rFonts w:ascii="Arial" w:hAnsi="Arial" w:eastAsia="Arial" w:cs="Arial"/>
      <w:sz w:val="40"/>
      <w:szCs w:val="40"/>
    </w:rPr>
  </w:style>
  <w:style w:type="character" w:styleId="745" w:customStyle="1">
    <w:name w:val="Заголовок 2 Знак"/>
    <w:basedOn w:val="729"/>
    <w:link w:val="721"/>
    <w:uiPriority w:val="9"/>
    <w:rPr>
      <w:rFonts w:ascii="Arial" w:hAnsi="Arial" w:eastAsia="Arial" w:cs="Arial"/>
      <w:sz w:val="34"/>
    </w:rPr>
  </w:style>
  <w:style w:type="character" w:styleId="746" w:customStyle="1">
    <w:name w:val="Заголовок 3 Знак"/>
    <w:basedOn w:val="729"/>
    <w:link w:val="722"/>
    <w:uiPriority w:val="9"/>
    <w:rPr>
      <w:rFonts w:ascii="Arial" w:hAnsi="Arial" w:eastAsia="Arial" w:cs="Arial"/>
      <w:sz w:val="30"/>
      <w:szCs w:val="30"/>
    </w:rPr>
  </w:style>
  <w:style w:type="character" w:styleId="747" w:customStyle="1">
    <w:name w:val="Заголовок 4 Знак"/>
    <w:basedOn w:val="729"/>
    <w:link w:val="723"/>
    <w:uiPriority w:val="9"/>
    <w:rPr>
      <w:rFonts w:ascii="Arial" w:hAnsi="Arial" w:eastAsia="Arial" w:cs="Arial"/>
      <w:b/>
      <w:bCs/>
      <w:sz w:val="26"/>
      <w:szCs w:val="26"/>
    </w:rPr>
  </w:style>
  <w:style w:type="character" w:styleId="748" w:customStyle="1">
    <w:name w:val="Заголовок 5 Знак"/>
    <w:basedOn w:val="729"/>
    <w:link w:val="724"/>
    <w:uiPriority w:val="9"/>
    <w:rPr>
      <w:rFonts w:ascii="Arial" w:hAnsi="Arial" w:eastAsia="Arial" w:cs="Arial"/>
      <w:b/>
      <w:bCs/>
      <w:sz w:val="24"/>
      <w:szCs w:val="24"/>
    </w:rPr>
  </w:style>
  <w:style w:type="character" w:styleId="749" w:customStyle="1">
    <w:name w:val="Заголовок 6 Знак"/>
    <w:basedOn w:val="729"/>
    <w:link w:val="725"/>
    <w:uiPriority w:val="9"/>
    <w:rPr>
      <w:rFonts w:ascii="Arial" w:hAnsi="Arial" w:eastAsia="Arial" w:cs="Arial"/>
      <w:b/>
      <w:bCs/>
      <w:sz w:val="22"/>
      <w:szCs w:val="22"/>
    </w:rPr>
  </w:style>
  <w:style w:type="character" w:styleId="750" w:customStyle="1">
    <w:name w:val="Заголовок 7 Знак"/>
    <w:basedOn w:val="729"/>
    <w:link w:val="72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1" w:customStyle="1">
    <w:name w:val="Заголовок 8 Знак"/>
    <w:basedOn w:val="729"/>
    <w:link w:val="727"/>
    <w:uiPriority w:val="9"/>
    <w:rPr>
      <w:rFonts w:ascii="Arial" w:hAnsi="Arial" w:eastAsia="Arial" w:cs="Arial"/>
      <w:i/>
      <w:iCs/>
      <w:sz w:val="22"/>
      <w:szCs w:val="22"/>
    </w:rPr>
  </w:style>
  <w:style w:type="character" w:styleId="752" w:customStyle="1">
    <w:name w:val="Заголовок 9 Знак"/>
    <w:basedOn w:val="729"/>
    <w:link w:val="728"/>
    <w:uiPriority w:val="9"/>
    <w:rPr>
      <w:rFonts w:ascii="Arial" w:hAnsi="Arial" w:eastAsia="Arial" w:cs="Arial"/>
      <w:i/>
      <w:iCs/>
      <w:sz w:val="21"/>
      <w:szCs w:val="21"/>
    </w:rPr>
  </w:style>
  <w:style w:type="paragraph" w:styleId="753">
    <w:name w:val="No Spacing"/>
    <w:uiPriority w:val="1"/>
    <w:qFormat/>
  </w:style>
  <w:style w:type="paragraph" w:styleId="754">
    <w:name w:val="Title"/>
    <w:basedOn w:val="719"/>
    <w:next w:val="719"/>
    <w:link w:val="7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5" w:customStyle="1">
    <w:name w:val="Название Знак"/>
    <w:basedOn w:val="729"/>
    <w:link w:val="754"/>
    <w:uiPriority w:val="10"/>
    <w:rPr>
      <w:sz w:val="48"/>
      <w:szCs w:val="48"/>
    </w:rPr>
  </w:style>
  <w:style w:type="paragraph" w:styleId="756">
    <w:name w:val="Subtitle"/>
    <w:basedOn w:val="719"/>
    <w:next w:val="719"/>
    <w:link w:val="757"/>
    <w:uiPriority w:val="11"/>
    <w:qFormat/>
    <w:pPr>
      <w:spacing w:before="200" w:after="200"/>
    </w:pPr>
    <w:rPr>
      <w:sz w:val="24"/>
      <w:szCs w:val="24"/>
    </w:rPr>
  </w:style>
  <w:style w:type="character" w:styleId="757" w:customStyle="1">
    <w:name w:val="Подзаголовок Знак"/>
    <w:basedOn w:val="729"/>
    <w:link w:val="756"/>
    <w:uiPriority w:val="11"/>
    <w:rPr>
      <w:sz w:val="24"/>
      <w:szCs w:val="24"/>
    </w:rPr>
  </w:style>
  <w:style w:type="paragraph" w:styleId="758">
    <w:name w:val="Quote"/>
    <w:basedOn w:val="719"/>
    <w:next w:val="719"/>
    <w:link w:val="759"/>
    <w:uiPriority w:val="29"/>
    <w:qFormat/>
    <w:pPr>
      <w:ind w:left="720" w:right="720"/>
    </w:pPr>
    <w:rPr>
      <w:i/>
    </w:rPr>
  </w:style>
  <w:style w:type="character" w:styleId="759" w:customStyle="1">
    <w:name w:val="Цитата 2 Знак"/>
    <w:link w:val="758"/>
    <w:uiPriority w:val="29"/>
    <w:rPr>
      <w:i/>
    </w:rPr>
  </w:style>
  <w:style w:type="paragraph" w:styleId="760">
    <w:name w:val="Intense Quote"/>
    <w:basedOn w:val="719"/>
    <w:next w:val="719"/>
    <w:link w:val="76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1" w:customStyle="1">
    <w:name w:val="Выделенная цитата Знак"/>
    <w:link w:val="760"/>
    <w:uiPriority w:val="30"/>
    <w:rPr>
      <w:i/>
    </w:rPr>
  </w:style>
  <w:style w:type="character" w:styleId="762" w:customStyle="1">
    <w:name w:val="Header Char"/>
    <w:basedOn w:val="729"/>
    <w:uiPriority w:val="99"/>
  </w:style>
  <w:style w:type="character" w:styleId="763" w:customStyle="1">
    <w:name w:val="Footer Char"/>
    <w:basedOn w:val="729"/>
    <w:uiPriority w:val="99"/>
  </w:style>
  <w:style w:type="paragraph" w:styleId="764">
    <w:name w:val="Caption"/>
    <w:basedOn w:val="719"/>
    <w:next w:val="7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5" w:customStyle="1">
    <w:name w:val="Caption Char"/>
    <w:uiPriority w:val="99"/>
  </w:style>
  <w:style w:type="table" w:styleId="766" w:customStyle="1">
    <w:name w:val="Table Grid Light"/>
    <w:basedOn w:val="73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7" w:customStyle="1">
    <w:name w:val="Plain Table 1"/>
    <w:basedOn w:val="73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8" w:customStyle="1">
    <w:name w:val="Plain Table 2"/>
    <w:basedOn w:val="73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9" w:customStyle="1">
    <w:name w:val="Plain Table 3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0" w:customStyle="1">
    <w:name w:val="Plain Table 4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Plain Table 5"/>
    <w:basedOn w:val="73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1 Light"/>
    <w:basedOn w:val="73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1"/>
    <w:basedOn w:val="73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2"/>
    <w:basedOn w:val="73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3"/>
    <w:basedOn w:val="73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4"/>
    <w:basedOn w:val="73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5"/>
    <w:basedOn w:val="73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Grid Table 1 Light - Accent 6"/>
    <w:basedOn w:val="73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2"/>
    <w:basedOn w:val="73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1"/>
    <w:basedOn w:val="73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2"/>
    <w:basedOn w:val="73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3"/>
    <w:basedOn w:val="73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4"/>
    <w:basedOn w:val="73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5"/>
    <w:basedOn w:val="73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2 - Accent 6"/>
    <w:basedOn w:val="73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"/>
    <w:basedOn w:val="73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1"/>
    <w:basedOn w:val="73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2"/>
    <w:basedOn w:val="73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3"/>
    <w:basedOn w:val="73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4"/>
    <w:basedOn w:val="73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5"/>
    <w:basedOn w:val="73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 - Accent 6"/>
    <w:basedOn w:val="73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4"/>
    <w:basedOn w:val="73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4" w:customStyle="1">
    <w:name w:val="Grid Table 4 - Accent 1"/>
    <w:basedOn w:val="730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5" w:customStyle="1">
    <w:name w:val="Grid Table 4 - Accent 2"/>
    <w:basedOn w:val="730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6" w:customStyle="1">
    <w:name w:val="Grid Table 4 - Accent 3"/>
    <w:basedOn w:val="730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7" w:customStyle="1">
    <w:name w:val="Grid Table 4 - Accent 4"/>
    <w:basedOn w:val="730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8" w:customStyle="1">
    <w:name w:val="Grid Table 4 - Accent 5"/>
    <w:basedOn w:val="730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9" w:customStyle="1">
    <w:name w:val="Grid Table 4 - Accent 6"/>
    <w:basedOn w:val="730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0" w:customStyle="1">
    <w:name w:val="Grid Table 5 Dark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- Accent 1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 - Accent 2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 - Accent 3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- Accent 4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 - Accent 5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06" w:customStyle="1">
    <w:name w:val="Grid Table 5 Dark - Accent 6"/>
    <w:basedOn w:val="73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6 Colorful"/>
    <w:basedOn w:val="73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8" w:customStyle="1">
    <w:name w:val="Grid Table 6 Colorful - Accent 1"/>
    <w:basedOn w:val="730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9" w:customStyle="1">
    <w:name w:val="Grid Table 6 Colorful - Accent 2"/>
    <w:basedOn w:val="73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0" w:customStyle="1">
    <w:name w:val="Grid Table 6 Colorful - Accent 3"/>
    <w:basedOn w:val="730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1" w:customStyle="1">
    <w:name w:val="Grid Table 6 Colorful - Accent 4"/>
    <w:basedOn w:val="73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2" w:customStyle="1">
    <w:name w:val="Grid Table 6 Colorful - Accent 5"/>
    <w:basedOn w:val="730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3" w:customStyle="1">
    <w:name w:val="Grid Table 6 Colorful - Accent 6"/>
    <w:basedOn w:val="730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4" w:customStyle="1">
    <w:name w:val="Grid Table 7 Colorful"/>
    <w:basedOn w:val="73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Grid Table 7 Colorful - Accent 1"/>
    <w:basedOn w:val="730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Grid Table 7 Colorful - Accent 2"/>
    <w:basedOn w:val="730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Grid Table 7 Colorful - Accent 3"/>
    <w:basedOn w:val="730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Grid Table 7 Colorful - Accent 4"/>
    <w:basedOn w:val="730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Grid Table 7 Colorful - Accent 5"/>
    <w:basedOn w:val="730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Grid Table 7 Colorful - Accent 6"/>
    <w:basedOn w:val="730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1 Light"/>
    <w:basedOn w:val="73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1"/>
    <w:basedOn w:val="730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2"/>
    <w:basedOn w:val="730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3"/>
    <w:basedOn w:val="730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4"/>
    <w:basedOn w:val="730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5"/>
    <w:basedOn w:val="730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1 Light - Accent 6"/>
    <w:basedOn w:val="730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2"/>
    <w:basedOn w:val="73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1"/>
    <w:basedOn w:val="730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2"/>
    <w:basedOn w:val="730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3"/>
    <w:basedOn w:val="730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4"/>
    <w:basedOn w:val="730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5"/>
    <w:basedOn w:val="730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4" w:customStyle="1">
    <w:name w:val="List Table 2 - Accent 6"/>
    <w:basedOn w:val="730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5" w:customStyle="1">
    <w:name w:val="List Table 3"/>
    <w:basedOn w:val="73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1"/>
    <w:basedOn w:val="730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2"/>
    <w:basedOn w:val="73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3"/>
    <w:basedOn w:val="730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4"/>
    <w:basedOn w:val="73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5"/>
    <w:basedOn w:val="730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3 - Accent 6"/>
    <w:basedOn w:val="730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"/>
    <w:basedOn w:val="73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1"/>
    <w:basedOn w:val="730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2"/>
    <w:basedOn w:val="730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3"/>
    <w:basedOn w:val="730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4"/>
    <w:basedOn w:val="730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5"/>
    <w:basedOn w:val="730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 - Accent 6"/>
    <w:basedOn w:val="730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5 Dark"/>
    <w:basedOn w:val="73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0" w:customStyle="1">
    <w:name w:val="List Table 5 Dark - Accent 1"/>
    <w:basedOn w:val="730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1" w:customStyle="1">
    <w:name w:val="List Table 5 Dark - Accent 2"/>
    <w:basedOn w:val="730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2" w:customStyle="1">
    <w:name w:val="List Table 5 Dark - Accent 3"/>
    <w:basedOn w:val="730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3" w:customStyle="1">
    <w:name w:val="List Table 5 Dark - Accent 4"/>
    <w:basedOn w:val="730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List Table 5 Dark - Accent 5"/>
    <w:basedOn w:val="730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5" w:customStyle="1">
    <w:name w:val="List Table 5 Dark - Accent 6"/>
    <w:basedOn w:val="730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6" w:customStyle="1">
    <w:name w:val="List Table 6 Colorful"/>
    <w:basedOn w:val="73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7" w:customStyle="1">
    <w:name w:val="List Table 6 Colorful - Accent 1"/>
    <w:basedOn w:val="730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8" w:customStyle="1">
    <w:name w:val="List Table 6 Colorful - Accent 2"/>
    <w:basedOn w:val="730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9" w:customStyle="1">
    <w:name w:val="List Table 6 Colorful - Accent 3"/>
    <w:basedOn w:val="730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0" w:customStyle="1">
    <w:name w:val="List Table 6 Colorful - Accent 4"/>
    <w:basedOn w:val="730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1" w:customStyle="1">
    <w:name w:val="List Table 6 Colorful - Accent 5"/>
    <w:basedOn w:val="730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2" w:customStyle="1">
    <w:name w:val="List Table 6 Colorful - Accent 6"/>
    <w:basedOn w:val="730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3" w:customStyle="1">
    <w:name w:val="List Table 7 Colorful"/>
    <w:basedOn w:val="73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4" w:customStyle="1">
    <w:name w:val="List Table 7 Colorful - Accent 1"/>
    <w:basedOn w:val="730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List Table 7 Colorful - Accent 2"/>
    <w:basedOn w:val="730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6" w:customStyle="1">
    <w:name w:val="List Table 7 Colorful - Accent 3"/>
    <w:basedOn w:val="730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7" w:customStyle="1">
    <w:name w:val="List Table 7 Colorful - Accent 4"/>
    <w:basedOn w:val="730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List Table 7 Colorful - Accent 5"/>
    <w:basedOn w:val="730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9" w:customStyle="1">
    <w:name w:val="List Table 7 Colorful - Accent 6"/>
    <w:basedOn w:val="730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0" w:customStyle="1">
    <w:name w:val="Lined - Accent"/>
    <w:basedOn w:val="73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1" w:customStyle="1">
    <w:name w:val="Lined - Accent 1"/>
    <w:basedOn w:val="73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2" w:customStyle="1">
    <w:name w:val="Lined - Accent 2"/>
    <w:basedOn w:val="73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3" w:customStyle="1">
    <w:name w:val="Lined - Accent 3"/>
    <w:basedOn w:val="73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4" w:customStyle="1">
    <w:name w:val="Lined - Accent 4"/>
    <w:basedOn w:val="73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5" w:customStyle="1">
    <w:name w:val="Lined - Accent 5"/>
    <w:basedOn w:val="73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6" w:customStyle="1">
    <w:name w:val="Lined - Accent 6"/>
    <w:basedOn w:val="73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7" w:customStyle="1">
    <w:name w:val="Bordered &amp; Lined - Accent"/>
    <w:basedOn w:val="730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8" w:customStyle="1">
    <w:name w:val="Bordered &amp; Lined - Accent 1"/>
    <w:basedOn w:val="730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9" w:customStyle="1">
    <w:name w:val="Bordered &amp; Lined - Accent 2"/>
    <w:basedOn w:val="730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0" w:customStyle="1">
    <w:name w:val="Bordered &amp; Lined - Accent 3"/>
    <w:basedOn w:val="730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1" w:customStyle="1">
    <w:name w:val="Bordered &amp; Lined - Accent 4"/>
    <w:basedOn w:val="730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2" w:customStyle="1">
    <w:name w:val="Bordered &amp; Lined - Accent 5"/>
    <w:basedOn w:val="730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3" w:customStyle="1">
    <w:name w:val="Bordered &amp; Lined - Accent 6"/>
    <w:basedOn w:val="730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4" w:customStyle="1">
    <w:name w:val="Bordered"/>
    <w:basedOn w:val="730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5" w:customStyle="1">
    <w:name w:val="Bordered - Accent 1"/>
    <w:basedOn w:val="73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86" w:customStyle="1">
    <w:name w:val="Bordered - Accent 2"/>
    <w:basedOn w:val="73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87" w:customStyle="1">
    <w:name w:val="Bordered - Accent 3"/>
    <w:basedOn w:val="73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8" w:customStyle="1">
    <w:name w:val="Bordered - Accent 4"/>
    <w:basedOn w:val="73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9" w:customStyle="1">
    <w:name w:val="Bordered - Accent 5"/>
    <w:basedOn w:val="73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0" w:customStyle="1">
    <w:name w:val="Bordered - Accent 6"/>
    <w:basedOn w:val="73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91" w:customStyle="1">
    <w:name w:val="Footnote Text Char"/>
    <w:uiPriority w:val="99"/>
    <w:rPr>
      <w:sz w:val="18"/>
    </w:rPr>
  </w:style>
  <w:style w:type="character" w:styleId="892" w:customStyle="1">
    <w:name w:val="Endnote Text Char"/>
    <w:uiPriority w:val="99"/>
    <w:rPr>
      <w:sz w:val="20"/>
    </w:rPr>
  </w:style>
  <w:style w:type="paragraph" w:styleId="893">
    <w:name w:val="toc 3"/>
    <w:basedOn w:val="719"/>
    <w:next w:val="719"/>
    <w:uiPriority w:val="39"/>
    <w:unhideWhenUsed/>
    <w:pPr>
      <w:ind w:left="567"/>
      <w:spacing w:after="57"/>
    </w:pPr>
  </w:style>
  <w:style w:type="paragraph" w:styleId="894">
    <w:name w:val="toc 4"/>
    <w:basedOn w:val="719"/>
    <w:next w:val="719"/>
    <w:uiPriority w:val="39"/>
    <w:unhideWhenUsed/>
    <w:pPr>
      <w:ind w:left="850"/>
      <w:spacing w:after="57"/>
    </w:pPr>
  </w:style>
  <w:style w:type="paragraph" w:styleId="895">
    <w:name w:val="toc 5"/>
    <w:basedOn w:val="719"/>
    <w:next w:val="719"/>
    <w:uiPriority w:val="39"/>
    <w:unhideWhenUsed/>
    <w:pPr>
      <w:ind w:left="1134"/>
      <w:spacing w:after="57"/>
    </w:pPr>
  </w:style>
  <w:style w:type="paragraph" w:styleId="896">
    <w:name w:val="toc 6"/>
    <w:basedOn w:val="719"/>
    <w:next w:val="719"/>
    <w:uiPriority w:val="39"/>
    <w:unhideWhenUsed/>
    <w:pPr>
      <w:ind w:left="1417"/>
      <w:spacing w:after="57"/>
    </w:pPr>
  </w:style>
  <w:style w:type="paragraph" w:styleId="897">
    <w:name w:val="toc 7"/>
    <w:basedOn w:val="719"/>
    <w:next w:val="719"/>
    <w:uiPriority w:val="39"/>
    <w:unhideWhenUsed/>
    <w:pPr>
      <w:ind w:left="1701"/>
      <w:spacing w:after="57"/>
    </w:pPr>
  </w:style>
  <w:style w:type="paragraph" w:styleId="898">
    <w:name w:val="toc 8"/>
    <w:basedOn w:val="719"/>
    <w:next w:val="719"/>
    <w:uiPriority w:val="39"/>
    <w:unhideWhenUsed/>
    <w:pPr>
      <w:ind w:left="1984"/>
      <w:spacing w:after="57"/>
    </w:pPr>
  </w:style>
  <w:style w:type="paragraph" w:styleId="899">
    <w:name w:val="toc 9"/>
    <w:basedOn w:val="719"/>
    <w:next w:val="719"/>
    <w:uiPriority w:val="39"/>
    <w:unhideWhenUsed/>
    <w:pPr>
      <w:ind w:left="2268"/>
      <w:spacing w:after="57"/>
    </w:pPr>
  </w:style>
  <w:style w:type="paragraph" w:styleId="900">
    <w:name w:val="table of figures"/>
    <w:basedOn w:val="719"/>
    <w:next w:val="719"/>
    <w:uiPriority w:val="99"/>
    <w:unhideWhenUsed/>
  </w:style>
  <w:style w:type="paragraph" w:styleId="901">
    <w:name w:val="Body Text Indent"/>
    <w:basedOn w:val="719"/>
    <w:link w:val="931"/>
    <w:pPr>
      <w:ind w:firstLine="851"/>
      <w:jc w:val="both"/>
    </w:pPr>
    <w:rPr>
      <w:sz w:val="24"/>
    </w:rPr>
  </w:style>
  <w:style w:type="paragraph" w:styleId="902">
    <w:name w:val="Body Text Indent 2"/>
    <w:basedOn w:val="719"/>
    <w:link w:val="930"/>
    <w:pPr>
      <w:ind w:firstLine="851"/>
      <w:jc w:val="both"/>
    </w:pPr>
    <w:rPr>
      <w:sz w:val="28"/>
    </w:rPr>
  </w:style>
  <w:style w:type="paragraph" w:styleId="903">
    <w:name w:val="Document Map"/>
    <w:basedOn w:val="719"/>
    <w:semiHidden/>
    <w:pPr>
      <w:shd w:val="clear" w:color="auto" w:fill="000080"/>
    </w:pPr>
    <w:rPr>
      <w:rFonts w:ascii="Tahoma" w:hAnsi="Tahoma" w:cs="Tahoma"/>
    </w:rPr>
  </w:style>
  <w:style w:type="character" w:styleId="904">
    <w:name w:val="Strong"/>
    <w:qFormat/>
    <w:rPr>
      <w:b/>
      <w:bCs/>
    </w:rPr>
  </w:style>
  <w:style w:type="table" w:styleId="905">
    <w:name w:val="Table Grid"/>
    <w:basedOn w:val="73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6">
    <w:name w:val="Header"/>
    <w:basedOn w:val="719"/>
    <w:link w:val="907"/>
    <w:uiPriority w:val="99"/>
    <w:pPr>
      <w:tabs>
        <w:tab w:val="center" w:pos="4677" w:leader="none"/>
        <w:tab w:val="right" w:pos="9355" w:leader="none"/>
      </w:tabs>
    </w:pPr>
  </w:style>
  <w:style w:type="character" w:styleId="907" w:customStyle="1">
    <w:name w:val="Верхний колонтитул Знак"/>
    <w:basedOn w:val="729"/>
    <w:link w:val="906"/>
    <w:uiPriority w:val="99"/>
  </w:style>
  <w:style w:type="paragraph" w:styleId="908">
    <w:name w:val="Footer"/>
    <w:basedOn w:val="719"/>
    <w:link w:val="909"/>
    <w:uiPriority w:val="99"/>
    <w:pPr>
      <w:tabs>
        <w:tab w:val="center" w:pos="4677" w:leader="none"/>
        <w:tab w:val="right" w:pos="9355" w:leader="none"/>
      </w:tabs>
    </w:pPr>
  </w:style>
  <w:style w:type="character" w:styleId="909" w:customStyle="1">
    <w:name w:val="Нижний колонтитул Знак"/>
    <w:basedOn w:val="729"/>
    <w:link w:val="908"/>
    <w:uiPriority w:val="99"/>
  </w:style>
  <w:style w:type="paragraph" w:styleId="910">
    <w:name w:val="Message Header"/>
    <w:basedOn w:val="914"/>
    <w:link w:val="911"/>
    <w:pPr>
      <w:ind w:left="1080" w:hanging="1080"/>
      <w:keepLines/>
      <w:spacing w:line="240" w:lineRule="atLeast"/>
    </w:pPr>
    <w:rPr>
      <w:rFonts w:ascii="Garamond" w:hAnsi="Garamond"/>
      <w:caps/>
      <w:sz w:val="18"/>
      <w:lang w:eastAsia="en-US"/>
    </w:rPr>
  </w:style>
  <w:style w:type="character" w:styleId="911" w:customStyle="1">
    <w:name w:val="Шапка Знак"/>
    <w:link w:val="910"/>
    <w:rPr>
      <w:rFonts w:ascii="Garamond" w:hAnsi="Garamond"/>
      <w:caps/>
      <w:sz w:val="18"/>
      <w:lang w:eastAsia="en-US"/>
    </w:rPr>
  </w:style>
  <w:style w:type="paragraph" w:styleId="912" w:customStyle="1">
    <w:name w:val="Заголовок сообщения (первый)"/>
    <w:basedOn w:val="910"/>
    <w:next w:val="910"/>
    <w:pPr>
      <w:spacing w:before="360"/>
    </w:pPr>
  </w:style>
  <w:style w:type="character" w:styleId="913" w:customStyle="1">
    <w:name w:val="Заголовок сообщения (текст)"/>
    <w:rPr>
      <w:b/>
      <w:sz w:val="18"/>
      <w:lang w:bidi="ar-SA"/>
    </w:rPr>
  </w:style>
  <w:style w:type="paragraph" w:styleId="914">
    <w:name w:val="Body Text"/>
    <w:basedOn w:val="719"/>
    <w:link w:val="915"/>
    <w:pPr>
      <w:spacing w:after="120"/>
    </w:pPr>
  </w:style>
  <w:style w:type="character" w:styleId="915" w:customStyle="1">
    <w:name w:val="Основной текст Знак"/>
    <w:basedOn w:val="729"/>
    <w:link w:val="914"/>
  </w:style>
  <w:style w:type="paragraph" w:styleId="916">
    <w:name w:val="endnote text"/>
    <w:basedOn w:val="719"/>
    <w:link w:val="917"/>
  </w:style>
  <w:style w:type="character" w:styleId="917" w:customStyle="1">
    <w:name w:val="Текст концевой сноски Знак"/>
    <w:basedOn w:val="729"/>
    <w:link w:val="916"/>
  </w:style>
  <w:style w:type="character" w:styleId="918">
    <w:name w:val="endnote reference"/>
    <w:rPr>
      <w:vertAlign w:val="superscript"/>
    </w:rPr>
  </w:style>
  <w:style w:type="paragraph" w:styleId="919">
    <w:name w:val="footnote text"/>
    <w:basedOn w:val="719"/>
    <w:link w:val="920"/>
  </w:style>
  <w:style w:type="character" w:styleId="920" w:customStyle="1">
    <w:name w:val="Текст сноски Знак"/>
    <w:basedOn w:val="729"/>
    <w:link w:val="919"/>
  </w:style>
  <w:style w:type="character" w:styleId="921">
    <w:name w:val="footnote reference"/>
    <w:rPr>
      <w:vertAlign w:val="superscript"/>
    </w:rPr>
  </w:style>
  <w:style w:type="character" w:styleId="922" w:customStyle="1">
    <w:name w:val="ff2 fc2 fs14"/>
    <w:basedOn w:val="729"/>
  </w:style>
  <w:style w:type="paragraph" w:styleId="923" w:customStyle="1">
    <w:name w:val="imalign_justify"/>
    <w:basedOn w:val="719"/>
    <w:pPr>
      <w:spacing w:before="100" w:beforeAutospacing="1" w:after="100" w:afterAutospacing="1"/>
    </w:pPr>
    <w:rPr>
      <w:sz w:val="24"/>
      <w:szCs w:val="24"/>
    </w:rPr>
  </w:style>
  <w:style w:type="paragraph" w:styleId="924" w:customStyle="1">
    <w:name w:val="ConsNormal"/>
    <w:pPr>
      <w:ind w:firstLine="720"/>
      <w:widowControl w:val="off"/>
    </w:pPr>
    <w:rPr>
      <w:rFonts w:ascii="Arial" w:hAnsi="Arial" w:cs="Arial"/>
    </w:rPr>
  </w:style>
  <w:style w:type="paragraph" w:styleId="925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26">
    <w:name w:val="List Paragraph"/>
    <w:basedOn w:val="719"/>
    <w:uiPriority w:val="34"/>
    <w:qFormat/>
    <w:pPr>
      <w:contextualSpacing/>
      <w:ind w:left="720"/>
      <w:spacing w:after="200" w:line="276" w:lineRule="auto"/>
    </w:pPr>
    <w:rPr>
      <w:rFonts w:ascii="Calibri" w:hAnsi="Calibri"/>
      <w:sz w:val="22"/>
      <w:szCs w:val="22"/>
    </w:rPr>
  </w:style>
  <w:style w:type="paragraph" w:styleId="927" w:customStyle="1">
    <w:name w:val="printc"/>
    <w:basedOn w:val="719"/>
    <w:pPr>
      <w:spacing w:before="100" w:beforeAutospacing="1" w:after="100" w:afterAutospacing="1"/>
    </w:pPr>
    <w:rPr>
      <w:sz w:val="24"/>
      <w:szCs w:val="24"/>
    </w:rPr>
  </w:style>
  <w:style w:type="paragraph" w:styleId="928" w:customStyle="1">
    <w:name w:val="printj"/>
    <w:basedOn w:val="719"/>
    <w:pPr>
      <w:spacing w:before="100" w:beforeAutospacing="1" w:after="100" w:afterAutospacing="1"/>
    </w:pPr>
    <w:rPr>
      <w:sz w:val="24"/>
      <w:szCs w:val="24"/>
    </w:rPr>
  </w:style>
  <w:style w:type="character" w:styleId="929" w:customStyle="1">
    <w:name w:val="Заголовок 1 Знак"/>
    <w:link w:val="720"/>
    <w:rPr>
      <w:b/>
      <w:sz w:val="28"/>
    </w:rPr>
  </w:style>
  <w:style w:type="character" w:styleId="930" w:customStyle="1">
    <w:name w:val="Основной текст с отступом 2 Знак"/>
    <w:link w:val="902"/>
    <w:rPr>
      <w:sz w:val="28"/>
    </w:rPr>
  </w:style>
  <w:style w:type="character" w:styleId="931" w:customStyle="1">
    <w:name w:val="Основной текст с отступом Знак"/>
    <w:link w:val="901"/>
    <w:rPr>
      <w:sz w:val="24"/>
    </w:rPr>
  </w:style>
  <w:style w:type="paragraph" w:styleId="932">
    <w:name w:val="TOC Heading"/>
    <w:basedOn w:val="720"/>
    <w:next w:val="719"/>
    <w:uiPriority w:val="39"/>
    <w:qFormat/>
    <w:pPr>
      <w:ind w:firstLine="0"/>
      <w:keepLines/>
      <w:spacing w:before="480" w:line="276" w:lineRule="auto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styleId="933">
    <w:name w:val="toc 1"/>
    <w:basedOn w:val="719"/>
    <w:next w:val="719"/>
    <w:uiPriority w:val="39"/>
  </w:style>
  <w:style w:type="paragraph" w:styleId="934">
    <w:name w:val="toc 2"/>
    <w:basedOn w:val="719"/>
    <w:next w:val="719"/>
    <w:uiPriority w:val="39"/>
    <w:pPr>
      <w:ind w:left="200"/>
    </w:pPr>
  </w:style>
  <w:style w:type="character" w:styleId="935">
    <w:name w:val="Hyperlink"/>
    <w:uiPriority w:val="99"/>
    <w:unhideWhenUsed/>
    <w:rPr>
      <w:color w:val="0000ff"/>
      <w:u w:val="single"/>
    </w:rPr>
  </w:style>
  <w:style w:type="paragraph" w:styleId="936">
    <w:name w:val="Normal (Web)"/>
    <w:basedOn w:val="719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937">
    <w:name w:val="Balloon Text"/>
    <w:basedOn w:val="719"/>
    <w:link w:val="938"/>
    <w:rPr>
      <w:rFonts w:ascii="Tahoma" w:hAnsi="Tahoma"/>
      <w:sz w:val="16"/>
      <w:szCs w:val="16"/>
    </w:rPr>
  </w:style>
  <w:style w:type="character" w:styleId="938" w:customStyle="1">
    <w:name w:val="Текст выноски Знак"/>
    <w:link w:val="937"/>
    <w:rPr>
      <w:rFonts w:ascii="Tahoma" w:hAnsi="Tahoma" w:cs="Tahoma"/>
      <w:sz w:val="16"/>
      <w:szCs w:val="16"/>
    </w:rPr>
  </w:style>
  <w:style w:type="character" w:styleId="939" w:customStyle="1">
    <w:name w:val="b-mail-person__email"/>
    <w:basedOn w:val="729"/>
  </w:style>
  <w:style w:type="character" w:styleId="940" w:customStyle="1">
    <w:name w:val="Font Style12"/>
    <w:uiPriority w:val="99"/>
    <w:rPr>
      <w:rFonts w:ascii="Times New Roman" w:hAnsi="Times New Roman" w:cs="Times New Roman"/>
      <w:b/>
      <w:bCs/>
      <w:sz w:val="24"/>
      <w:szCs w:val="24"/>
    </w:rPr>
  </w:style>
  <w:style w:type="character" w:styleId="941" w:customStyle="1">
    <w:name w:val="Font Style13"/>
    <w:uiPriority w:val="99"/>
    <w:rPr>
      <w:rFonts w:ascii="Times New Roman" w:hAnsi="Times New Roman" w:cs="Times New Roman"/>
      <w:sz w:val="24"/>
      <w:szCs w:val="24"/>
    </w:rPr>
  </w:style>
  <w:style w:type="paragraph" w:styleId="942" w:customStyle="1">
    <w:name w:val="ConsPlusTitle"/>
    <w:pPr>
      <w:widowControl w:val="off"/>
    </w:pPr>
    <w:rPr>
      <w:b/>
      <w:bCs/>
      <w:sz w:val="28"/>
      <w:szCs w:val="28"/>
    </w:rPr>
  </w:style>
  <w:style w:type="character" w:styleId="943" w:customStyle="1">
    <w:name w:val="Основной текст_"/>
    <w:link w:val="944"/>
    <w:rPr>
      <w:sz w:val="26"/>
      <w:szCs w:val="26"/>
      <w:shd w:val="clear" w:color="auto" w:fill="ffffff"/>
    </w:rPr>
  </w:style>
  <w:style w:type="paragraph" w:styleId="944" w:customStyle="1">
    <w:name w:val="Основной текст2"/>
    <w:basedOn w:val="719"/>
    <w:link w:val="943"/>
    <w:pPr>
      <w:jc w:val="both"/>
      <w:spacing w:before="420" w:after="120" w:line="324" w:lineRule="exact"/>
      <w:shd w:val="clear" w:color="auto" w:fill="ffffff"/>
      <w:widowControl w:val="off"/>
    </w:pPr>
    <w:rPr>
      <w:sz w:val="26"/>
      <w:szCs w:val="26"/>
    </w:rPr>
  </w:style>
  <w:style w:type="paragraph" w:styleId="945">
    <w:name w:val="Body Text 2"/>
    <w:basedOn w:val="719"/>
    <w:link w:val="946"/>
    <w:pPr>
      <w:spacing w:after="120" w:line="480" w:lineRule="auto"/>
    </w:pPr>
  </w:style>
  <w:style w:type="character" w:styleId="946" w:customStyle="1">
    <w:name w:val="Основной текст 2 Знак"/>
    <w:basedOn w:val="729"/>
    <w:link w:val="945"/>
  </w:style>
  <w:style w:type="character" w:styleId="947" w:customStyle="1">
    <w:name w:val="Гипертекстовая ссылка"/>
    <w:uiPriority w:val="99"/>
    <w:rPr>
      <w:b/>
      <w:bCs/>
      <w:color w:val="008000"/>
    </w:rPr>
  </w:style>
  <w:style w:type="character" w:styleId="948" w:customStyle="1">
    <w:name w:val="Цветовое выделение"/>
    <w:uiPriority w:val="99"/>
    <w:rPr>
      <w:b/>
      <w:bCs/>
      <w:color w:val="000080"/>
    </w:rPr>
  </w:style>
  <w:style w:type="numbering" w:styleId="949" w:customStyle="1">
    <w:name w:val="Нет списка1"/>
    <w:next w:val="731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40C92-198E-4730-8D1F-93DCD9A08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barikina</dc:creator>
  <cp:revision>61</cp:revision>
  <dcterms:created xsi:type="dcterms:W3CDTF">2024-12-04T13:59:00Z</dcterms:created>
  <dcterms:modified xsi:type="dcterms:W3CDTF">2025-11-24T08:04:00Z</dcterms:modified>
</cp:coreProperties>
</file>