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color w:val="000000"/>
          <w:sz w:val="24"/>
          <w:szCs w:val="24"/>
          <w:lang w:val="en-US" w:eastAsia="ru-RU"/>
        </w:rPr>
      </w:pPr>
      <w:r>
        <w:rPr>
          <w:rFonts w:ascii="Times New Roman" w:hAnsi="Times New Roman" w:eastAsia="Times New Roman"/>
          <w:color w:val="000000"/>
          <w:sz w:val="24"/>
          <w:szCs w:val="24"/>
          <w:lang w:val="en-US" w:eastAsia="ru-RU"/>
        </w:rPr>
      </w:r>
      <w:r>
        <w:rPr>
          <w:rFonts w:ascii="Times New Roman" w:hAnsi="Times New Roman" w:eastAsia="Times New Roman"/>
          <w:color w:val="000000"/>
          <w:sz w:val="24"/>
          <w:szCs w:val="24"/>
          <w:lang w:val="en-US" w:eastAsia="ru-RU"/>
        </w:rPr>
      </w:r>
      <w:r>
        <w:rPr>
          <w:rFonts w:ascii="Times New Roman" w:hAnsi="Times New Roman" w:eastAsia="Times New Roman"/>
          <w:color w:val="000000"/>
          <w:sz w:val="24"/>
          <w:szCs w:val="24"/>
          <w:lang w:val="en-US"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4"/>
          <w:szCs w:val="24"/>
          <w:highlight w:val="yellow"/>
          <w:lang w:eastAsia="ru-RU"/>
        </w:rPr>
      </w:pPr>
      <w:r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2701925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Герб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Герб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alse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 w:eastAsia="Times New Roman"/>
          <w:b/>
          <w:color w:val="000000"/>
          <w:sz w:val="24"/>
          <w:szCs w:val="24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4"/>
          <w:highlight w:val="yellow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32"/>
          <w:szCs w:val="32"/>
          <w:highlight w:val="yellow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32"/>
          <w:szCs w:val="32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32"/>
          <w:szCs w:val="32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32"/>
          <w:szCs w:val="32"/>
          <w:highlight w:val="yellow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  <w:t xml:space="preserve">ПОСТАНОВЛЕНИЕ </w:t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о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т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 12.11.2025     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     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       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№ 1840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sz w:val="20"/>
          <w:szCs w:val="18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п.г.т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. Никель</w:t>
      </w:r>
      <w:r>
        <w:rPr>
          <w:rFonts w:ascii="Times New Roman" w:hAnsi="Times New Roman" w:eastAsia="Times New Roman"/>
          <w:sz w:val="20"/>
          <w:szCs w:val="18"/>
          <w:lang w:eastAsia="ru-RU"/>
        </w:rPr>
      </w:r>
      <w:r>
        <w:rPr>
          <w:rFonts w:ascii="Times New Roman" w:hAnsi="Times New Roman" w:eastAsia="Times New Roman"/>
          <w:sz w:val="20"/>
          <w:szCs w:val="18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sz w:val="20"/>
          <w:szCs w:val="18"/>
          <w:lang w:eastAsia="ru-RU"/>
        </w:rPr>
      </w:pPr>
      <w:r>
        <w:rPr>
          <w:rFonts w:ascii="Times New Roman" w:hAnsi="Times New Roman" w:eastAsia="Times New Roman"/>
          <w:sz w:val="20"/>
          <w:szCs w:val="18"/>
          <w:lang w:eastAsia="ru-RU"/>
        </w:rPr>
      </w:r>
      <w:r>
        <w:rPr>
          <w:rFonts w:ascii="Times New Roman" w:hAnsi="Times New Roman" w:eastAsia="Times New Roman"/>
          <w:sz w:val="20"/>
          <w:szCs w:val="18"/>
          <w:lang w:eastAsia="ru-RU"/>
        </w:rPr>
      </w:r>
      <w:r>
        <w:rPr>
          <w:rFonts w:ascii="Times New Roman" w:hAnsi="Times New Roman" w:eastAsia="Times New Roman"/>
          <w:sz w:val="20"/>
          <w:szCs w:val="18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sz w:val="20"/>
          <w:szCs w:val="18"/>
          <w:lang w:eastAsia="ru-RU"/>
        </w:rPr>
      </w:pPr>
      <w:r>
        <w:rPr>
          <w:rFonts w:ascii="Times New Roman" w:hAnsi="Times New Roman" w:eastAsia="Times New Roman"/>
          <w:sz w:val="20"/>
          <w:szCs w:val="18"/>
          <w:lang w:eastAsia="ru-RU"/>
        </w:rPr>
      </w:r>
      <w:r>
        <w:rPr>
          <w:rFonts w:ascii="Times New Roman" w:hAnsi="Times New Roman" w:eastAsia="Times New Roman"/>
          <w:sz w:val="20"/>
          <w:szCs w:val="18"/>
          <w:lang w:eastAsia="ru-RU"/>
        </w:rPr>
      </w:r>
      <w:r>
        <w:rPr>
          <w:rFonts w:ascii="Times New Roman" w:hAnsi="Times New Roman" w:eastAsia="Times New Roman"/>
          <w:sz w:val="20"/>
          <w:szCs w:val="18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Об утверждении муниципальной программы 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Печенгского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 муниципального округа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«</w:t>
      </w:r>
      <w:r>
        <w:rPr>
          <w:rFonts w:ascii="Times New Roman" w:hAnsi="Times New Roman"/>
          <w:b/>
          <w:bCs/>
          <w:color w:val="000000"/>
          <w:sz w:val="20"/>
          <w:szCs w:val="20"/>
        </w:rPr>
        <w:t xml:space="preserve">Образование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» на 202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6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 - 202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8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 годы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eastAsia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/>
          <w:b/>
          <w:bCs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eastAsia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/>
          <w:b/>
          <w:bCs/>
          <w:sz w:val="20"/>
          <w:szCs w:val="20"/>
          <w:lang w:eastAsia="ru-RU"/>
        </w:rPr>
      </w:r>
    </w:p>
    <w:p>
      <w:pPr>
        <w:ind w:right="-1" w:firstLine="709"/>
        <w:jc w:val="both"/>
        <w:spacing w:after="0" w:line="240" w:lineRule="auto"/>
        <w:tabs>
          <w:tab w:val="left" w:pos="0" w:leader="none"/>
          <w:tab w:val="left" w:pos="284" w:leader="none"/>
          <w:tab w:val="left" w:pos="426" w:leader="none"/>
        </w:tabs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Руководствуясь статьей 179 Бюджетного кодекса Российской Федерации, </w:t>
      </w:r>
      <w:r>
        <w:rPr>
          <w:rFonts w:ascii="Times New Roman" w:hAnsi="Times New Roman"/>
          <w:sz w:val="24"/>
          <w:szCs w:val="24"/>
        </w:rPr>
        <w:t xml:space="preserve">Федеральным З</w:t>
      </w:r>
      <w:r>
        <w:rPr>
          <w:rFonts w:ascii="Times New Roman" w:hAnsi="Times New Roman"/>
          <w:sz w:val="24"/>
          <w:szCs w:val="24"/>
        </w:rPr>
        <w:t xml:space="preserve">аконом </w:t>
      </w:r>
      <w:r>
        <w:rPr>
          <w:rFonts w:ascii="Times New Roman" w:hAnsi="Times New Roman"/>
          <w:sz w:val="24"/>
          <w:szCs w:val="24"/>
          <w:lang w:eastAsia="ru-RU"/>
        </w:rPr>
        <w:t xml:space="preserve">от 29.12.2012 № 273-ФЗ «Об образовании в Российской Федерации», Законом Мурманской области от 28.06.2013 № 1649-01-ЗМО </w:t>
        <w:br/>
        <w:t xml:space="preserve">«Об образовании в Мурманской области», </w:t>
      </w:r>
      <w:r>
        <w:rPr>
          <w:rFonts w:ascii="Times New Roman" w:hAnsi="Times New Roman"/>
          <w:sz w:val="24"/>
          <w:szCs w:val="24"/>
        </w:rPr>
        <w:t xml:space="preserve">в соответствии с </w:t>
      </w:r>
      <w:r>
        <w:rPr>
          <w:rFonts w:ascii="Times New Roman" w:hAnsi="Times New Roman"/>
          <w:sz w:val="24"/>
          <w:szCs w:val="24"/>
        </w:rPr>
        <w:t xml:space="preserve">Порядком разработки, </w:t>
      </w:r>
      <w:r>
        <w:rPr>
          <w:rFonts w:ascii="Times New Roman" w:hAnsi="Times New Roman"/>
          <w:sz w:val="24"/>
          <w:szCs w:val="24"/>
        </w:rPr>
        <w:t xml:space="preserve">реализации и оценки эффективности муниципальных программ </w:t>
      </w:r>
      <w:r>
        <w:rPr>
          <w:rFonts w:ascii="Times New Roman" w:hAnsi="Times New Roman"/>
          <w:sz w:val="24"/>
          <w:szCs w:val="24"/>
        </w:rPr>
        <w:t xml:space="preserve">Печенгского</w:t>
      </w:r>
      <w:r>
        <w:rPr>
          <w:rFonts w:ascii="Times New Roman" w:hAnsi="Times New Roman"/>
          <w:sz w:val="24"/>
          <w:szCs w:val="24"/>
        </w:rPr>
        <w:t xml:space="preserve"> муниципального округа</w:t>
      </w:r>
      <w:r>
        <w:rPr>
          <w:rFonts w:ascii="Times New Roman" w:hAnsi="Times New Roman"/>
          <w:sz w:val="24"/>
          <w:szCs w:val="24"/>
        </w:rPr>
        <w:t xml:space="preserve">, утвержденн</w:t>
      </w:r>
      <w:r>
        <w:rPr>
          <w:rFonts w:ascii="Times New Roman" w:hAnsi="Times New Roman"/>
          <w:sz w:val="24"/>
          <w:szCs w:val="24"/>
        </w:rPr>
        <w:t xml:space="preserve">ым</w:t>
      </w:r>
      <w:r>
        <w:rPr>
          <w:rFonts w:ascii="Times New Roman" w:hAnsi="Times New Roman"/>
          <w:sz w:val="24"/>
          <w:szCs w:val="24"/>
        </w:rPr>
        <w:t xml:space="preserve"> постановлением администрации </w:t>
      </w:r>
      <w:r>
        <w:rPr>
          <w:rFonts w:ascii="Times New Roman" w:hAnsi="Times New Roman"/>
          <w:sz w:val="24"/>
          <w:szCs w:val="24"/>
        </w:rPr>
        <w:t xml:space="preserve">Печенгского</w:t>
      </w:r>
      <w:r>
        <w:rPr>
          <w:rFonts w:ascii="Times New Roman" w:hAnsi="Times New Roman"/>
          <w:sz w:val="24"/>
          <w:szCs w:val="24"/>
        </w:rPr>
        <w:t xml:space="preserve"> муниципального округа от 1</w:t>
      </w:r>
      <w:r>
        <w:rPr>
          <w:rFonts w:ascii="Times New Roman" w:hAnsi="Times New Roman"/>
          <w:sz w:val="24"/>
          <w:szCs w:val="24"/>
        </w:rPr>
        <w:t xml:space="preserve">8</w:t>
      </w:r>
      <w:r>
        <w:rPr>
          <w:rFonts w:ascii="Times New Roman" w:hAnsi="Times New Roman"/>
          <w:sz w:val="24"/>
          <w:szCs w:val="24"/>
        </w:rPr>
        <w:t xml:space="preserve">.0</w:t>
      </w:r>
      <w:r>
        <w:rPr>
          <w:rFonts w:ascii="Times New Roman" w:hAnsi="Times New Roman"/>
          <w:sz w:val="24"/>
          <w:szCs w:val="24"/>
        </w:rPr>
        <w:t xml:space="preserve">9</w:t>
      </w:r>
      <w:r>
        <w:rPr>
          <w:rFonts w:ascii="Times New Roman" w:hAnsi="Times New Roman"/>
          <w:sz w:val="24"/>
          <w:szCs w:val="24"/>
        </w:rPr>
        <w:t xml:space="preserve">.202</w:t>
      </w:r>
      <w:r>
        <w:rPr>
          <w:rFonts w:ascii="Times New Roman" w:hAnsi="Times New Roman"/>
          <w:sz w:val="24"/>
          <w:szCs w:val="24"/>
        </w:rPr>
        <w:t xml:space="preserve">5</w:t>
      </w:r>
      <w:r>
        <w:rPr>
          <w:rFonts w:ascii="Times New Roman" w:hAnsi="Times New Roman"/>
          <w:sz w:val="24"/>
          <w:szCs w:val="24"/>
        </w:rPr>
        <w:t xml:space="preserve"> № </w:t>
      </w:r>
      <w:r>
        <w:rPr>
          <w:rFonts w:ascii="Times New Roman" w:hAnsi="Times New Roman"/>
          <w:sz w:val="24"/>
          <w:szCs w:val="24"/>
        </w:rPr>
        <w:t xml:space="preserve">1488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  <w:lang w:eastAsia="ru-RU"/>
        </w:rPr>
        <w:t xml:space="preserve">в целях осуществления комплекса мероприятий, направленных на создание условий для повышения качества, доступности и конкурентоспособности образования в </w:t>
      </w:r>
      <w:r>
        <w:rPr>
          <w:rFonts w:ascii="Times New Roman" w:hAnsi="Times New Roman"/>
          <w:sz w:val="24"/>
          <w:szCs w:val="24"/>
          <w:lang w:eastAsia="ru-RU"/>
        </w:rPr>
        <w:t xml:space="preserve">Печенгском</w:t>
      </w:r>
      <w:r>
        <w:rPr>
          <w:rFonts w:ascii="Times New Roman" w:hAnsi="Times New Roman"/>
          <w:sz w:val="24"/>
          <w:szCs w:val="24"/>
          <w:lang w:eastAsia="ru-RU"/>
        </w:rPr>
        <w:t xml:space="preserve"> муниципальн</w:t>
      </w:r>
      <w:r>
        <w:rPr>
          <w:rFonts w:ascii="Times New Roman" w:hAnsi="Times New Roman"/>
          <w:sz w:val="24"/>
          <w:szCs w:val="24"/>
          <w:lang w:eastAsia="ru-RU"/>
        </w:rPr>
        <w:t xml:space="preserve">ом</w:t>
      </w:r>
      <w:r>
        <w:rPr>
          <w:rFonts w:ascii="Times New Roman" w:hAnsi="Times New Roman"/>
          <w:sz w:val="24"/>
          <w:szCs w:val="24"/>
          <w:lang w:eastAsia="ru-RU"/>
        </w:rPr>
        <w:t xml:space="preserve"> округ</w:t>
      </w:r>
      <w:r>
        <w:rPr>
          <w:rFonts w:ascii="Times New Roman" w:hAnsi="Times New Roman"/>
          <w:sz w:val="24"/>
          <w:szCs w:val="24"/>
          <w:lang w:eastAsia="ru-RU"/>
        </w:rPr>
        <w:t xml:space="preserve">е,</w:t>
      </w: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0" w:leader="none"/>
          <w:tab w:val="left" w:pos="284" w:leader="none"/>
          <w:tab w:val="left" w:pos="426" w:leader="none"/>
        </w:tabs>
        <w:rPr>
          <w:rFonts w:ascii="Times New Roman" w:hAnsi="Times New Roman" w:eastAsia="Times New Roman"/>
          <w:sz w:val="24"/>
          <w:szCs w:val="18"/>
          <w:highlight w:val="yellow"/>
          <w:lang w:eastAsia="ru-RU"/>
        </w:rPr>
      </w:pPr>
      <w:r>
        <w:rPr>
          <w:rFonts w:ascii="Times New Roman" w:hAnsi="Times New Roman" w:eastAsia="Times New Roman"/>
          <w:sz w:val="24"/>
          <w:szCs w:val="18"/>
          <w:highlight w:val="yellow"/>
          <w:lang w:eastAsia="ru-RU"/>
        </w:rPr>
      </w:r>
      <w:r>
        <w:rPr>
          <w:rFonts w:ascii="Times New Roman" w:hAnsi="Times New Roman" w:eastAsia="Times New Roman"/>
          <w:sz w:val="24"/>
          <w:szCs w:val="18"/>
          <w:highlight w:val="yellow"/>
          <w:lang w:eastAsia="ru-RU"/>
        </w:rPr>
      </w:r>
      <w:r>
        <w:rPr>
          <w:rFonts w:ascii="Times New Roman" w:hAnsi="Times New Roman" w:eastAsia="Times New Roman"/>
          <w:sz w:val="24"/>
          <w:szCs w:val="18"/>
          <w:highlight w:val="yellow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ПОСТАНОВЛЯЮ: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sz w:val="24"/>
          <w:szCs w:val="18"/>
          <w:lang w:eastAsia="ru-RU"/>
        </w:rPr>
      </w:pPr>
      <w:r>
        <w:rPr>
          <w:rFonts w:ascii="Times New Roman" w:hAnsi="Times New Roman" w:eastAsia="Times New Roman"/>
          <w:sz w:val="24"/>
          <w:szCs w:val="18"/>
          <w:lang w:eastAsia="ru-RU"/>
        </w:rPr>
      </w:r>
      <w:r>
        <w:rPr>
          <w:rFonts w:ascii="Times New Roman" w:hAnsi="Times New Roman" w:eastAsia="Times New Roman"/>
          <w:sz w:val="24"/>
          <w:szCs w:val="18"/>
          <w:lang w:eastAsia="ru-RU"/>
        </w:rPr>
      </w:r>
      <w:r>
        <w:rPr>
          <w:rFonts w:ascii="Times New Roman" w:hAnsi="Times New Roman" w:eastAsia="Times New Roman"/>
          <w:sz w:val="24"/>
          <w:szCs w:val="18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993" w:leader="none"/>
          <w:tab w:val="left" w:pos="1134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1.</w:t>
      </w:r>
      <w:r>
        <w:rPr>
          <w:rFonts w:ascii="Times New Roman" w:hAnsi="Times New Roman" w:eastAsia="Times New Roman"/>
          <w:sz w:val="24"/>
          <w:szCs w:val="24"/>
          <w:lang w:eastAsia="ru-RU"/>
        </w:rPr>
        <w:tab/>
        <w:t xml:space="preserve">Утвердить муниципальную программу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Печенгского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муниципального округа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«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Образование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» на 202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6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-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202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8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годы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согласно приложению к настоящему постановлению.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0" w:leader="none"/>
          <w:tab w:val="left" w:pos="993" w:leader="none"/>
          <w:tab w:val="left" w:pos="1134" w:leader="none"/>
        </w:tabs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2.</w:t>
      </w:r>
      <w:r>
        <w:rPr>
          <w:rFonts w:ascii="Times New Roman" w:hAnsi="Times New Roman" w:eastAsia="Times New Roman"/>
          <w:sz w:val="24"/>
          <w:szCs w:val="24"/>
          <w:lang w:eastAsia="ru-RU"/>
        </w:rPr>
        <w:tab/>
      </w:r>
      <w:r>
        <w:rPr>
          <w:rFonts w:ascii="Times New Roman" w:hAnsi="Times New Roman" w:eastAsia="Times New Roman"/>
          <w:sz w:val="24"/>
          <w:szCs w:val="24"/>
        </w:rPr>
        <w:t xml:space="preserve">Настоящее постановление вступает в силу с 01 января 202</w:t>
      </w:r>
      <w:r>
        <w:rPr>
          <w:rFonts w:ascii="Times New Roman" w:hAnsi="Times New Roman" w:eastAsia="Times New Roman"/>
          <w:sz w:val="24"/>
          <w:szCs w:val="24"/>
        </w:rPr>
        <w:t xml:space="preserve">6</w:t>
      </w:r>
      <w:r>
        <w:rPr>
          <w:rFonts w:ascii="Times New Roman" w:hAnsi="Times New Roman" w:eastAsia="Times New Roman"/>
          <w:sz w:val="24"/>
          <w:szCs w:val="24"/>
        </w:rPr>
        <w:t xml:space="preserve"> года.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0" w:leader="none"/>
          <w:tab w:val="left" w:pos="993" w:leader="none"/>
          <w:tab w:val="left" w:pos="1134" w:leader="none"/>
        </w:tabs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</w:rPr>
        <w:t xml:space="preserve">3.</w:t>
      </w:r>
      <w:r>
        <w:rPr>
          <w:rFonts w:ascii="Times New Roman" w:hAnsi="Times New Roman" w:eastAsia="Times New Roman"/>
          <w:sz w:val="24"/>
          <w:szCs w:val="24"/>
        </w:rPr>
        <w:tab/>
        <w:t xml:space="preserve">Настоящее постановление опубликовать в официальном издании газета «Печенга» и разместить на с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айте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Печенгского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муниципального округа</w:t>
      </w:r>
      <w:r>
        <w:rPr>
          <w:rFonts w:ascii="Times New Roman" w:hAnsi="Times New Roman"/>
          <w:sz w:val="24"/>
          <w:szCs w:val="24"/>
          <w:lang w:eastAsia="ru-RU"/>
        </w:rPr>
        <w:t xml:space="preserve"> в сети Интернет.</w:t>
      </w: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993" w:leader="none"/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4.</w:t>
      </w:r>
      <w:r>
        <w:rPr>
          <w:rFonts w:ascii="Times New Roman" w:hAnsi="Times New Roman" w:eastAsia="Times New Roman"/>
          <w:sz w:val="24"/>
          <w:szCs w:val="24"/>
          <w:lang w:eastAsia="ru-RU"/>
        </w:rPr>
        <w:tab/>
      </w:r>
      <w:r>
        <w:rPr>
          <w:rFonts w:ascii="Times New Roman" w:hAnsi="Times New Roman" w:eastAsia="Times New Roman"/>
          <w:sz w:val="24"/>
          <w:szCs w:val="24"/>
        </w:rPr>
        <w:t xml:space="preserve">Кон</w:t>
      </w:r>
      <w:r>
        <w:rPr>
          <w:rFonts w:ascii="Times New Roman" w:hAnsi="Times New Roman"/>
          <w:sz w:val="24"/>
          <w:szCs w:val="24"/>
        </w:rPr>
        <w:t xml:space="preserve">троль за</w:t>
      </w:r>
      <w:r>
        <w:rPr>
          <w:rFonts w:ascii="Times New Roman" w:hAnsi="Times New Roman"/>
          <w:sz w:val="24"/>
          <w:szCs w:val="24"/>
        </w:rPr>
        <w:t xml:space="preserve"> исполнением настоящего постановления </w:t>
      </w:r>
      <w:r>
        <w:rPr>
          <w:rFonts w:ascii="Times New Roman" w:hAnsi="Times New Roman"/>
          <w:sz w:val="24"/>
          <w:szCs w:val="24"/>
        </w:rPr>
        <w:t xml:space="preserve">оставляю за собой.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-5"/>
        <w:jc w:val="both"/>
        <w:spacing w:after="0" w:line="240" w:lineRule="atLeast"/>
        <w:widowControl w:val="off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Глава </w:t>
      </w:r>
      <w:r>
        <w:rPr>
          <w:rFonts w:ascii="Times New Roman" w:hAnsi="Times New Roman"/>
          <w:sz w:val="24"/>
          <w:szCs w:val="24"/>
        </w:rPr>
        <w:t xml:space="preserve">Печенгского</w:t>
      </w:r>
      <w:r>
        <w:rPr>
          <w:rFonts w:ascii="Times New Roman" w:hAnsi="Times New Roman"/>
          <w:sz w:val="24"/>
          <w:szCs w:val="24"/>
        </w:rPr>
        <w:t xml:space="preserve"> муниципального округа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А.В. Кузнецов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11620" w:leader="none"/>
        </w:tabs>
        <w:rPr>
          <w:rFonts w:ascii="Times New Roman" w:hAnsi="Times New Roman" w:eastAsia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  <w:t xml:space="preserve">Никитина И.В., 5-05-72</w:t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</w:r>
    </w:p>
    <w:p>
      <w:pPr>
        <w:ind w:left="5529"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11620" w:leader="none"/>
        </w:tabs>
        <w:rPr>
          <w:rFonts w:ascii="Times New Roman" w:hAnsi="Times New Roman" w:eastAsia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</w:r>
    </w:p>
    <w:p>
      <w:pPr>
        <w:ind w:left="5529"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11620" w:leader="none"/>
        </w:tabs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Cs/>
          <w:sz w:val="24"/>
          <w:szCs w:val="24"/>
          <w:lang w:eastAsia="ru-RU"/>
        </w:rPr>
        <w:t xml:space="preserve">Приложение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ind w:left="5529" w:right="-1"/>
        <w:jc w:val="both"/>
        <w:spacing w:after="0" w:line="240" w:lineRule="auto"/>
        <w:tabs>
          <w:tab w:val="left" w:pos="284" w:leader="none"/>
          <w:tab w:val="left" w:pos="5103" w:leader="none"/>
          <w:tab w:val="left" w:pos="5387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к постановлению администрации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Печенгского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муниципального округа  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left="5529" w:right="-1"/>
        <w:jc w:val="both"/>
        <w:spacing w:after="0" w:line="240" w:lineRule="auto"/>
        <w:tabs>
          <w:tab w:val="left" w:pos="284" w:leader="none"/>
          <w:tab w:val="left" w:pos="5103" w:leader="none"/>
          <w:tab w:val="left" w:pos="5387" w:leader="none"/>
        </w:tabs>
        <w:rPr>
          <w:rFonts w:ascii="Times New Roman" w:hAnsi="Times New Roman"/>
          <w:i w:val="0"/>
          <w:iCs w:val="0"/>
          <w:color w:val="000000" w:themeColor="text1"/>
          <w:sz w:val="24"/>
          <w:szCs w:val="24"/>
        </w:rPr>
      </w:pPr>
      <w:r>
        <w:rPr>
          <w:rFonts w:ascii="Times New Roman" w:hAnsi="Times New Roman" w:eastAsia="Times New Roman"/>
          <w:i w:val="0"/>
          <w:iCs w:val="0"/>
          <w:color w:val="000000" w:themeColor="text1"/>
          <w:sz w:val="24"/>
          <w:szCs w:val="24"/>
          <w:lang w:eastAsia="ru-RU"/>
        </w:rPr>
        <w:t xml:space="preserve">от 12.11.2025</w:t>
      </w:r>
      <w:r>
        <w:rPr>
          <w:rFonts w:ascii="Times New Roman" w:hAnsi="Times New Roman" w:eastAsia="Times New Roman"/>
          <w:i w:val="0"/>
          <w:iCs w:val="0"/>
          <w:color w:val="000000" w:themeColor="text1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  <w:i w:val="0"/>
          <w:iCs w:val="0"/>
          <w:color w:val="000000" w:themeColor="text1"/>
          <w:sz w:val="24"/>
          <w:szCs w:val="24"/>
          <w:lang w:eastAsia="ru-RU"/>
        </w:rPr>
        <w:t xml:space="preserve">№ </w:t>
      </w:r>
      <w:r>
        <w:rPr>
          <w:rFonts w:ascii="Times New Roman" w:hAnsi="Times New Roman"/>
          <w:i w:val="0"/>
          <w:iCs w:val="0"/>
          <w:color w:val="000000" w:themeColor="text1"/>
          <w:sz w:val="24"/>
          <w:szCs w:val="24"/>
        </w:rPr>
        <w:t xml:space="preserve">1840</w:t>
      </w:r>
      <w:r>
        <w:rPr>
          <w:rFonts w:ascii="Times New Roman" w:hAnsi="Times New Roman"/>
          <w:i w:val="0"/>
          <w:iCs w:val="0"/>
          <w:color w:val="000000" w:themeColor="text1"/>
          <w:sz w:val="24"/>
          <w:szCs w:val="24"/>
        </w:rPr>
      </w:r>
      <w:r>
        <w:rPr>
          <w:rFonts w:ascii="Times New Roman" w:hAnsi="Times New Roman"/>
          <w:i w:val="0"/>
          <w:iCs w:val="0"/>
          <w:color w:val="000000" w:themeColor="text1"/>
          <w:sz w:val="24"/>
          <w:szCs w:val="24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  <w:highlight w:val="yellow"/>
        </w:rPr>
        <w:outlineLvl w:val="1"/>
      </w:pPr>
      <w:r>
        <w:rPr>
          <w:rFonts w:ascii="Times New Roman" w:hAnsi="Times New Roman"/>
          <w:b/>
          <w:sz w:val="24"/>
          <w:szCs w:val="24"/>
          <w:highlight w:val="yellow"/>
        </w:rPr>
      </w:r>
      <w:r>
        <w:rPr>
          <w:rFonts w:ascii="Times New Roman" w:hAnsi="Times New Roman"/>
          <w:b/>
          <w:sz w:val="24"/>
          <w:szCs w:val="24"/>
          <w:highlight w:val="yellow"/>
        </w:rPr>
      </w:r>
      <w:r>
        <w:rPr>
          <w:rFonts w:ascii="Times New Roman" w:hAnsi="Times New Roman"/>
          <w:b/>
          <w:sz w:val="24"/>
          <w:szCs w:val="24"/>
          <w:highlight w:val="yellow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  <w:highlight w:val="yellow"/>
        </w:rPr>
        <w:outlineLvl w:val="1"/>
      </w:pPr>
      <w:r>
        <w:rPr>
          <w:rFonts w:ascii="Times New Roman" w:hAnsi="Times New Roman"/>
          <w:b/>
          <w:sz w:val="24"/>
          <w:szCs w:val="24"/>
          <w:highlight w:val="yellow"/>
        </w:rPr>
      </w:r>
      <w:r>
        <w:rPr>
          <w:rFonts w:ascii="Times New Roman" w:hAnsi="Times New Roman"/>
          <w:b/>
          <w:sz w:val="24"/>
          <w:szCs w:val="24"/>
          <w:highlight w:val="yellow"/>
        </w:rPr>
      </w:r>
      <w:r>
        <w:rPr>
          <w:rFonts w:ascii="Times New Roman" w:hAnsi="Times New Roman"/>
          <w:b/>
          <w:sz w:val="24"/>
          <w:szCs w:val="24"/>
          <w:highlight w:val="yellow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  <w:outlineLvl w:val="1"/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  <w:outlineLvl w:val="1"/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  <w:outlineLvl w:val="1"/>
      </w:pPr>
      <w:r>
        <w:rPr>
          <w:rFonts w:ascii="Times New Roman" w:hAnsi="Times New Roman"/>
          <w:b/>
          <w:sz w:val="24"/>
          <w:szCs w:val="24"/>
        </w:rPr>
        <w:t xml:space="preserve">МУНИЦИПАЛЬНАЯ ПРОГРАММА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  <w:outlineLvl w:val="1"/>
      </w:pPr>
      <w:r>
        <w:rPr>
          <w:rFonts w:ascii="Times New Roman" w:hAnsi="Times New Roman"/>
          <w:b/>
          <w:sz w:val="24"/>
          <w:szCs w:val="24"/>
        </w:rPr>
        <w:t xml:space="preserve">Печенгского</w:t>
      </w:r>
      <w:r>
        <w:rPr>
          <w:rFonts w:ascii="Times New Roman" w:hAnsi="Times New Roman"/>
          <w:b/>
          <w:sz w:val="24"/>
          <w:szCs w:val="24"/>
        </w:rPr>
        <w:t xml:space="preserve"> муниципального округа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sz w:val="24"/>
          <w:szCs w:val="24"/>
        </w:rPr>
        <w:outlineLvl w:val="1"/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b/>
          <w:sz w:val="28"/>
          <w:szCs w:val="28"/>
        </w:rPr>
        <w:outlineLvl w:val="1"/>
      </w:pPr>
      <w:r>
        <w:rPr>
          <w:rFonts w:ascii="Times New Roman" w:hAnsi="Times New Roman"/>
          <w:b/>
          <w:sz w:val="28"/>
          <w:szCs w:val="28"/>
        </w:rPr>
        <w:t xml:space="preserve">«Образование</w:t>
      </w:r>
      <w:r>
        <w:rPr>
          <w:rFonts w:ascii="Times New Roman" w:hAnsi="Times New Roman"/>
          <w:b/>
          <w:sz w:val="28"/>
          <w:szCs w:val="28"/>
        </w:rPr>
        <w:t xml:space="preserve">»</w:t>
      </w:r>
      <w:r>
        <w:rPr>
          <w:rFonts w:ascii="Times New Roman" w:hAnsi="Times New Roman"/>
          <w:b/>
          <w:sz w:val="28"/>
          <w:szCs w:val="28"/>
        </w:rPr>
      </w:r>
      <w:r>
        <w:rPr>
          <w:rFonts w:ascii="Times New Roman" w:hAnsi="Times New Roman"/>
          <w:b/>
          <w:sz w:val="28"/>
          <w:szCs w:val="28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Срок реализации: 2026 - 2028 годы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/>
          <w:sz w:val="28"/>
          <w:szCs w:val="28"/>
          <w:lang w:eastAsia="ru-RU"/>
        </w:rPr>
      </w:r>
      <w:r>
        <w:rPr>
          <w:rFonts w:ascii="Times New Roman" w:hAnsi="Times New Roman" w:eastAsia="Times New Roman"/>
          <w:sz w:val="28"/>
          <w:szCs w:val="28"/>
          <w:lang w:eastAsia="ru-RU"/>
        </w:rPr>
      </w:r>
      <w:r>
        <w:rPr>
          <w:rFonts w:ascii="Times New Roman" w:hAnsi="Times New Roman" w:eastAsia="Times New Roman"/>
          <w:sz w:val="28"/>
          <w:szCs w:val="28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/>
          <w:sz w:val="28"/>
          <w:szCs w:val="28"/>
          <w:lang w:eastAsia="ru-RU"/>
        </w:rPr>
      </w:r>
      <w:r>
        <w:rPr>
          <w:rFonts w:ascii="Times New Roman" w:hAnsi="Times New Roman" w:eastAsia="Times New Roman"/>
          <w:sz w:val="28"/>
          <w:szCs w:val="28"/>
          <w:lang w:eastAsia="ru-RU"/>
        </w:rPr>
      </w:r>
      <w:r>
        <w:rPr>
          <w:rFonts w:ascii="Times New Roman" w:hAnsi="Times New Roman" w:eastAsia="Times New Roman"/>
          <w:sz w:val="28"/>
          <w:szCs w:val="28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/>
          <w:sz w:val="28"/>
          <w:szCs w:val="28"/>
          <w:lang w:eastAsia="ru-RU"/>
        </w:rPr>
      </w:r>
      <w:r>
        <w:rPr>
          <w:rFonts w:ascii="Times New Roman" w:hAnsi="Times New Roman" w:eastAsia="Times New Roman"/>
          <w:sz w:val="28"/>
          <w:szCs w:val="28"/>
          <w:lang w:eastAsia="ru-RU"/>
        </w:rPr>
      </w:r>
      <w:r>
        <w:rPr>
          <w:rFonts w:ascii="Times New Roman" w:hAnsi="Times New Roman" w:eastAsia="Times New Roman"/>
          <w:sz w:val="28"/>
          <w:szCs w:val="28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/>
          <w:sz w:val="28"/>
          <w:szCs w:val="28"/>
          <w:lang w:eastAsia="ru-RU"/>
        </w:rPr>
      </w:r>
      <w:r>
        <w:rPr>
          <w:rFonts w:ascii="Times New Roman" w:hAnsi="Times New Roman" w:eastAsia="Times New Roman"/>
          <w:sz w:val="28"/>
          <w:szCs w:val="28"/>
          <w:lang w:eastAsia="ru-RU"/>
        </w:rPr>
      </w:r>
      <w:r>
        <w:rPr>
          <w:rFonts w:ascii="Times New Roman" w:hAnsi="Times New Roman" w:eastAsia="Times New Roman"/>
          <w:sz w:val="28"/>
          <w:szCs w:val="28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/>
          <w:sz w:val="28"/>
          <w:szCs w:val="28"/>
          <w:lang w:eastAsia="ru-RU"/>
        </w:rPr>
      </w:r>
      <w:r>
        <w:rPr>
          <w:rFonts w:ascii="Times New Roman" w:hAnsi="Times New Roman" w:eastAsia="Times New Roman"/>
          <w:sz w:val="28"/>
          <w:szCs w:val="28"/>
          <w:lang w:eastAsia="ru-RU"/>
        </w:rPr>
      </w:r>
      <w:r>
        <w:rPr>
          <w:rFonts w:ascii="Times New Roman" w:hAnsi="Times New Roman" w:eastAsia="Times New Roman"/>
          <w:sz w:val="28"/>
          <w:szCs w:val="28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szCs w:val="24"/>
          <w:highlight w:val="none"/>
          <w:lang w:eastAsia="ru-RU"/>
        </w:rPr>
      </w:pPr>
      <w:r>
        <w:rPr>
          <w:rFonts w:ascii="Times New Roman" w:hAnsi="Times New Roman" w:eastAsia="Times New Roman"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/>
          <w:sz w:val="24"/>
          <w:szCs w:val="24"/>
          <w:highlight w:val="none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szCs w:val="24"/>
          <w:highlight w:val="none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Ответственный исполнитель муниципальной программы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– </w:t>
      </w:r>
      <w:r>
        <w:rPr>
          <w:rFonts w:ascii="Times New Roman" w:hAnsi="Times New Roman" w:eastAsia="Times New Roman"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/>
          <w:sz w:val="24"/>
          <w:szCs w:val="24"/>
          <w:highlight w:val="none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b/>
          <w:sz w:val="24"/>
          <w:szCs w:val="24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Отдел образования 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администрации 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Печенгского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 муниципального округа</w:t>
      </w:r>
      <w:r>
        <w:rPr>
          <w:rFonts w:ascii="Times New Roman" w:hAnsi="Times New Roman" w:eastAsia="Times New Roman"/>
          <w:b/>
          <w:sz w:val="24"/>
          <w:szCs w:val="24"/>
        </w:rPr>
      </w:r>
      <w:r>
        <w:rPr>
          <w:rFonts w:ascii="Times New Roman" w:hAnsi="Times New Roman" w:eastAsia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sz w:val="28"/>
          <w:szCs w:val="28"/>
        </w:rPr>
        <w:outlineLvl w:val="1"/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jc w:val="right"/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  <w:outlineLvl w:val="2"/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jc w:val="right"/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  <w:outlineLvl w:val="2"/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sz w:val="24"/>
          <w:lang w:eastAsia="ru-RU"/>
        </w:rPr>
      </w:pPr>
      <w:r/>
      <w:bookmarkStart w:id="0" w:name="P366"/>
      <w:r/>
      <w:bookmarkEnd w:id="0"/>
      <w:r>
        <w:rPr>
          <w:rFonts w:ascii="Times New Roman" w:hAnsi="Times New Roman" w:eastAsia="Times New Roman"/>
          <w:b/>
          <w:sz w:val="24"/>
          <w:lang w:eastAsia="ru-RU"/>
        </w:rPr>
        <w:t xml:space="preserve">ПАСПОРТ</w:t>
      </w:r>
      <w:r>
        <w:rPr>
          <w:rFonts w:ascii="Times New Roman" w:hAnsi="Times New Roman" w:eastAsia="Times New Roman"/>
          <w:b/>
          <w:sz w:val="24"/>
          <w:lang w:eastAsia="ru-RU"/>
        </w:rPr>
      </w:r>
      <w:r>
        <w:rPr>
          <w:rFonts w:ascii="Times New Roman" w:hAnsi="Times New Roman" w:eastAsia="Times New Roman"/>
          <w:b/>
          <w:sz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  <w:t xml:space="preserve">муниципальной программы </w:t>
      </w:r>
      <w:r>
        <w:rPr>
          <w:rFonts w:ascii="Times New Roman" w:hAnsi="Times New Roman" w:eastAsia="Times New Roman"/>
          <w:sz w:val="24"/>
          <w:lang w:eastAsia="ru-RU"/>
        </w:rPr>
        <w:t xml:space="preserve">Печенгского</w:t>
      </w:r>
      <w:r>
        <w:rPr>
          <w:rFonts w:ascii="Times New Roman" w:hAnsi="Times New Roman" w:eastAsia="Times New Roman"/>
          <w:sz w:val="24"/>
          <w:lang w:eastAsia="ru-RU"/>
        </w:rPr>
        <w:t xml:space="preserve"> муниципального округа</w:t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sz w:val="26"/>
          <w:szCs w:val="26"/>
          <w:u w:val="single"/>
          <w:lang w:eastAsia="ru-RU"/>
        </w:rPr>
      </w:pPr>
      <w:r>
        <w:rPr>
          <w:rFonts w:ascii="Times New Roman" w:hAnsi="Times New Roman" w:eastAsia="Times New Roman"/>
          <w:b/>
          <w:sz w:val="26"/>
          <w:szCs w:val="26"/>
          <w:u w:val="single"/>
          <w:lang w:eastAsia="ru-RU"/>
        </w:rPr>
        <w:t xml:space="preserve">«</w:t>
      </w:r>
      <w:r>
        <w:rPr>
          <w:rFonts w:ascii="Times New Roman" w:hAnsi="Times New Roman" w:eastAsia="Times New Roman"/>
          <w:b/>
          <w:sz w:val="26"/>
          <w:szCs w:val="26"/>
          <w:u w:val="single"/>
          <w:lang w:eastAsia="ru-RU"/>
        </w:rPr>
        <w:t xml:space="preserve">Образование</w:t>
      </w:r>
      <w:r>
        <w:rPr>
          <w:rFonts w:ascii="Times New Roman" w:hAnsi="Times New Roman" w:eastAsia="Times New Roman"/>
          <w:b/>
          <w:sz w:val="26"/>
          <w:szCs w:val="26"/>
          <w:u w:val="single"/>
          <w:lang w:eastAsia="ru-RU"/>
        </w:rPr>
        <w:t xml:space="preserve">»</w:t>
      </w:r>
      <w:r>
        <w:rPr>
          <w:rFonts w:ascii="Times New Roman" w:hAnsi="Times New Roman" w:eastAsia="Times New Roman"/>
          <w:b/>
          <w:sz w:val="26"/>
          <w:szCs w:val="26"/>
          <w:u w:val="single"/>
          <w:lang w:eastAsia="ru-RU"/>
        </w:rPr>
      </w:r>
      <w:r>
        <w:rPr>
          <w:rFonts w:ascii="Times New Roman" w:hAnsi="Times New Roman" w:eastAsia="Times New Roman"/>
          <w:b/>
          <w:sz w:val="26"/>
          <w:szCs w:val="26"/>
          <w:u w:val="single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sz w:val="26"/>
          <w:szCs w:val="26"/>
          <w:lang w:eastAsia="ru-RU"/>
        </w:rPr>
      </w:pPr>
      <w:r>
        <w:rPr>
          <w:rFonts w:ascii="Times New Roman" w:hAnsi="Times New Roman" w:eastAsia="Times New Roman"/>
          <w:sz w:val="26"/>
          <w:szCs w:val="26"/>
          <w:lang w:eastAsia="ru-RU"/>
        </w:rPr>
      </w:r>
      <w:r>
        <w:rPr>
          <w:rFonts w:ascii="Times New Roman" w:hAnsi="Times New Roman" w:eastAsia="Times New Roman"/>
          <w:sz w:val="26"/>
          <w:szCs w:val="26"/>
          <w:lang w:eastAsia="ru-RU"/>
        </w:rPr>
      </w:r>
      <w:r>
        <w:rPr>
          <w:rFonts w:ascii="Times New Roman" w:hAnsi="Times New Roman" w:eastAsia="Times New Roman"/>
          <w:sz w:val="26"/>
          <w:szCs w:val="26"/>
          <w:lang w:eastAsia="ru-RU"/>
        </w:rPr>
      </w:r>
    </w:p>
    <w:tbl>
      <w:tblPr>
        <w:tblW w:w="9721" w:type="dxa"/>
        <w:jc w:val="center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310"/>
        <w:gridCol w:w="7411"/>
      </w:tblGrid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10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Цель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муниципальной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программы</w:t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11" w:type="dxa"/>
            <w:textDirection w:val="lrTb"/>
            <w:noWrap w:val="false"/>
          </w:tcPr>
          <w:p>
            <w:pPr>
              <w:pStyle w:val="900"/>
              <w:ind w:left="0"/>
              <w:jc w:val="both"/>
              <w:spacing w:after="0" w:line="240" w:lineRule="auto"/>
              <w:widowControl w:val="off"/>
              <w:tabs>
                <w:tab w:val="left" w:pos="300" w:leader="none"/>
              </w:tabs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овышение доступности качественного образования, соответствующего потребностям инновационного развития экономики, современным потребностям общества и каждого гражданина</w:t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</w:p>
        </w:tc>
      </w:tr>
      <w:tr>
        <w:tblPrEx/>
        <w:trPr>
          <w:jc w:val="center"/>
          <w:trHeight w:val="353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2310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Перечень направлений (подпрограмм)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7411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left" w:pos="253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Направление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(подпрограмма)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Развитие муниципальных учреждений образования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tabs>
                <w:tab w:val="left" w:pos="253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Ответственный исполнитель направления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(подпрограммы)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–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Отдел образования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Печенгского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округа (далее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–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Отдел образования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)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  <w:trHeight w:val="353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2310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7411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left" w:pos="253" w:leader="none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Направление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(подпрограмма)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2. Положение детей–сирот в современном обществе.</w:t>
            </w:r>
            <w:r>
              <w:rPr>
                <w:rFonts w:ascii="Times New Roman" w:hAnsi="Times New Roman"/>
                <w:bCs/>
                <w:sz w:val="24"/>
                <w:szCs w:val="24"/>
              </w:rPr>
            </w:r>
            <w:r>
              <w:rPr>
                <w:rFonts w:ascii="Times New Roman" w:hAnsi="Times New Roman"/>
                <w:bCs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tabs>
                <w:tab w:val="left" w:pos="253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Ответственный исполнитель направления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(подпрограммы)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–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Отдел образования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10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Сроки и этапы реализации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муниципальной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программы</w:t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11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- 202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  <w:trHeight w:val="7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10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Финансовое обеспечение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муниципальной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11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программе: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7 110 237 267,01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рублей,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 862 900 331,71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640 977 031,71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628 191 000,00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2028 год: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593 732 300,00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рублей;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 425 540 728,00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1 141 908 876,00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1 139 031 976,00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2028 год: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1 144 599 876,00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рублей;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1 719 646 207,30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1 457 044 954,06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156 026 453,24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2028 год: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106 574 800,00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рублей;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102 150 000,00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34 050 000,00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34 050 000,00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34 050 000,00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рублей.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  <w:trHeight w:val="7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10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Ожидаемые  конечные результаты реализации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муниципальной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программы</w:t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1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обеспечение 100 % доступности дошкольного образования для детей в возрасте от 1 до 6 лет и ее сохранение до 2029 года;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 доля выпускников общеобразовательных организаций, не получивших аттестат о среднем (полном) образовании – 0 % 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2029 году;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 увеличение доли детей в возрасте от 5 до 18 лет, охваченных дополнительным образованием, в общей численности детей в возрасте от 5 до 18 лет – до 81,9 % к 2029 году;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увеличение доли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отдохнувших и оздоровленных детей и подростков в оздоровительных учреждениях и на базе образовательных организаций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– ежегодно до 32,3 к 2029 году;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 сохранение 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тношени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среднемесячной заработной платы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педагогических работников муниципальных дошкольных образовательных учреждений к средней заработной плате в общем образовании по Мурманской области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уровне 100 % к 2029 году;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 сохранение 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тношени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среднемесячной заработной платы педагогических раб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отников муниципальных общеобразовательных учреждений к среднемесячной начисленной заработной плате наёмных работников в организациях, у индивидуальных предпринимателей и физических лиц по Мурманской области (среднемесячному доходу от трудовой деятельности)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уровне 100 % к 2029 году;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 сохранение 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тношени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среднемесячной заработной платы педагогических работников муниципальных учреждений дополнительного образования к средней заработной плате учителей по Мурманской области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уровне 100 % к 2029 году;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 обеспечение 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учреждений системы образования, в которых реализованы запланированные мероприятия, направленные на обеспечение материально-технической базы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уровне 100 % ежегодно к 2029 году;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Arial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 обеспечение доли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детей-сирот и детей, оставшихся без попечения родителей, устроенные в замещающие семьи, в общем количестве детей-сирот и детей, оставшихся без попечения родителей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уровне 100 % ежегодно к 2029 году</w:t>
            </w:r>
            <w:r>
              <w:rPr>
                <w:rFonts w:ascii="Times New Roman" w:hAnsi="Times New Roman" w:cs="Arial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Arial"/>
                <w:sz w:val="24"/>
                <w:szCs w:val="24"/>
                <w:lang w:eastAsia="ru-RU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10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Ответственный исполнитель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муниципальной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11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Отдел образования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10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сполнители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муниципальной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11" w:type="dxa"/>
            <w:textDirection w:val="lrTb"/>
            <w:noWrap w:val="false"/>
          </w:tcPr>
          <w:p>
            <w:pPr>
              <w:spacing w:after="0" w:line="288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Отдел образования;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Муниципальное бюджетное учреждение «Ремонтно-эксплуатационная служба» (далее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МБУ «РЭС»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trike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Муниципальное бюджетное общеобразовательное учреждение «Средняя общеобразовательная школа № 5 имени Героя Российской Федерации М.С.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Попова» (далее – МБОУ СОШ № 5);</w:t>
            </w:r>
            <w:r>
              <w:rPr>
                <w:rFonts w:ascii="Times New Roman" w:hAnsi="Times New Roman"/>
                <w:strike/>
                <w:sz w:val="24"/>
                <w:szCs w:val="24"/>
              </w:rPr>
            </w:r>
            <w:r>
              <w:rPr>
                <w:rFonts w:ascii="Times New Roman" w:hAnsi="Times New Roman"/>
                <w:strike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Муниципальное бюджетно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учреждение дополнительного образования «Дом детского творчества № 2» (далее – МБУ ДО 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 № 2)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10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Связь с национальными, региональными проектами/государственными программами Мурманской области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11" w:type="dxa"/>
            <w:textDirection w:val="lrTb"/>
            <w:noWrap w:val="false"/>
          </w:tcPr>
          <w:p>
            <w:pPr>
              <w:pStyle w:val="895"/>
              <w:rPr>
                <w:rFonts w:ascii="Times New Roman" w:hAnsi="Times New Roman" w:cs="Times New Roman"/>
                <w:b w:val="0"/>
                <w:bCs w:val="0"/>
                <w:strike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Государственная программа Мурманской области </w:t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«</w:t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Образование и наука</w:t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».</w:t>
            </w:r>
            <w:r>
              <w:rPr>
                <w:rFonts w:ascii="Times New Roman" w:hAnsi="Times New Roman" w:cs="Times New Roman"/>
                <w:b w:val="0"/>
                <w:bCs w:val="0"/>
                <w:strike/>
                <w:color w:val="ff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 w:val="0"/>
                <w:bCs w:val="0"/>
                <w:strike/>
                <w:color w:val="ff0000"/>
                <w:sz w:val="24"/>
                <w:szCs w:val="24"/>
              </w:rPr>
            </w:r>
          </w:p>
          <w:p>
            <w:pPr>
              <w:pStyle w:val="895"/>
              <w:rPr>
                <w:rFonts w:ascii="Times New Roman" w:hAnsi="Times New Roman" w:cs="Times New Roman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Государственная программа Мурманской области «Комфортное жилье и городская среда</w:t>
            </w:r>
            <w:r>
              <w:rPr>
                <w:rFonts w:ascii="Times New Roman" w:hAnsi="Times New Roman" w:cs="Times New Roman"/>
                <w:bCs w:val="0"/>
                <w:sz w:val="24"/>
                <w:szCs w:val="24"/>
              </w:rPr>
              <w:t xml:space="preserve">»</w:t>
            </w:r>
            <w:r>
              <w:rPr>
                <w:rFonts w:ascii="Times New Roman" w:hAnsi="Times New Roman" w:cs="Times New Roman"/>
                <w:bCs w:val="0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bCs w:val="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Cs w:val="0"/>
                <w:sz w:val="24"/>
                <w:szCs w:val="24"/>
              </w:rPr>
            </w:r>
          </w:p>
          <w:p>
            <w:pPr>
              <w:pStyle w:val="895"/>
              <w:jc w:val="both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Региональная программа </w:t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«План мероприятий по развитию жилищной, энергетической и социальной инфраструктуры закрытых административно территориальных образований и населенных пунктов Мурманской области, в которых дислоцированы воинские формирования на 2024 - 2026 годы»</w:t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r>
          </w:p>
          <w:p>
            <w:pPr>
              <w:pStyle w:val="895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Региональный проект «Все лучшее детям»</w:t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r>
          </w:p>
          <w:p>
            <w:pPr>
              <w:pStyle w:val="895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Региональный проект «Педагоги и наставники»</w:t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r>
          </w:p>
        </w:tc>
      </w:tr>
    </w:tbl>
    <w:p>
      <w:pPr>
        <w:jc w:val="both"/>
        <w:spacing w:after="0" w:line="240" w:lineRule="auto"/>
        <w:widowControl w:val="off"/>
        <w:rPr>
          <w:rFonts w:ascii="Times New Roman" w:hAnsi="Times New Roman"/>
          <w:b/>
          <w:sz w:val="20"/>
          <w:szCs w:val="20"/>
          <w:highlight w:val="yellow"/>
        </w:rPr>
      </w:pPr>
      <w:r>
        <w:rPr>
          <w:rFonts w:ascii="Times New Roman" w:hAnsi="Times New Roman"/>
          <w:b/>
          <w:sz w:val="20"/>
          <w:szCs w:val="20"/>
          <w:highlight w:val="yellow"/>
        </w:rPr>
      </w:r>
      <w:r>
        <w:rPr>
          <w:rFonts w:ascii="Times New Roman" w:hAnsi="Times New Roman"/>
          <w:b/>
          <w:sz w:val="20"/>
          <w:szCs w:val="20"/>
          <w:highlight w:val="yellow"/>
        </w:rPr>
      </w:r>
      <w:r>
        <w:rPr>
          <w:rFonts w:ascii="Times New Roman" w:hAnsi="Times New Roman"/>
          <w:b/>
          <w:sz w:val="20"/>
          <w:szCs w:val="20"/>
          <w:highlight w:val="yellow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/>
          <w:b/>
          <w:sz w:val="20"/>
          <w:szCs w:val="20"/>
          <w:highlight w:val="yellow"/>
        </w:rPr>
      </w:pPr>
      <w:r>
        <w:rPr>
          <w:rFonts w:ascii="Times New Roman" w:hAnsi="Times New Roman"/>
          <w:b/>
          <w:sz w:val="20"/>
          <w:szCs w:val="20"/>
          <w:highlight w:val="yellow"/>
        </w:rPr>
      </w:r>
      <w:r>
        <w:rPr>
          <w:rFonts w:ascii="Times New Roman" w:hAnsi="Times New Roman"/>
          <w:b/>
          <w:sz w:val="20"/>
          <w:szCs w:val="20"/>
          <w:highlight w:val="yellow"/>
        </w:rPr>
      </w:r>
      <w:r>
        <w:rPr>
          <w:rFonts w:ascii="Times New Roman" w:hAnsi="Times New Roman"/>
          <w:b/>
          <w:sz w:val="20"/>
          <w:szCs w:val="20"/>
          <w:highlight w:val="yellow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/>
          <w:b/>
          <w:sz w:val="20"/>
          <w:szCs w:val="20"/>
          <w:highlight w:val="yellow"/>
        </w:rPr>
      </w:pPr>
      <w:r>
        <w:rPr>
          <w:rFonts w:ascii="Times New Roman" w:hAnsi="Times New Roman"/>
          <w:b/>
          <w:sz w:val="20"/>
          <w:szCs w:val="20"/>
          <w:highlight w:val="yellow"/>
        </w:rPr>
      </w:r>
      <w:r>
        <w:rPr>
          <w:rFonts w:ascii="Times New Roman" w:hAnsi="Times New Roman"/>
          <w:b/>
          <w:sz w:val="20"/>
          <w:szCs w:val="20"/>
          <w:highlight w:val="yellow"/>
        </w:rPr>
      </w:r>
      <w:r>
        <w:rPr>
          <w:rFonts w:ascii="Times New Roman" w:hAnsi="Times New Roman"/>
          <w:b/>
          <w:sz w:val="20"/>
          <w:szCs w:val="20"/>
          <w:highlight w:val="yellow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/>
          <w:b/>
          <w:sz w:val="20"/>
          <w:szCs w:val="20"/>
          <w:highlight w:val="yellow"/>
        </w:rPr>
      </w:pPr>
      <w:r>
        <w:rPr>
          <w:rFonts w:ascii="Times New Roman" w:hAnsi="Times New Roman"/>
          <w:b/>
          <w:sz w:val="20"/>
          <w:szCs w:val="20"/>
          <w:highlight w:val="yellow"/>
        </w:rPr>
      </w:r>
      <w:r>
        <w:rPr>
          <w:rFonts w:ascii="Times New Roman" w:hAnsi="Times New Roman"/>
          <w:b/>
          <w:sz w:val="20"/>
          <w:szCs w:val="20"/>
          <w:highlight w:val="yellow"/>
        </w:rPr>
      </w:r>
      <w:r>
        <w:rPr>
          <w:rFonts w:ascii="Times New Roman" w:hAnsi="Times New Roman"/>
          <w:b/>
          <w:sz w:val="20"/>
          <w:szCs w:val="20"/>
          <w:highlight w:val="yellow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/>
          <w:b/>
          <w:sz w:val="20"/>
          <w:szCs w:val="20"/>
          <w:highlight w:val="yellow"/>
        </w:rPr>
      </w:pPr>
      <w:r>
        <w:rPr>
          <w:rFonts w:ascii="Times New Roman" w:hAnsi="Times New Roman"/>
          <w:b/>
          <w:sz w:val="20"/>
          <w:szCs w:val="20"/>
          <w:highlight w:val="yellow"/>
        </w:rPr>
      </w:r>
      <w:r>
        <w:rPr>
          <w:rFonts w:ascii="Times New Roman" w:hAnsi="Times New Roman"/>
          <w:b/>
          <w:sz w:val="20"/>
          <w:szCs w:val="20"/>
          <w:highlight w:val="yellow"/>
        </w:rPr>
      </w:r>
      <w:r>
        <w:rPr>
          <w:rFonts w:ascii="Times New Roman" w:hAnsi="Times New Roman"/>
          <w:b/>
          <w:sz w:val="20"/>
          <w:szCs w:val="20"/>
          <w:highlight w:val="yellow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/>
          <w:b/>
          <w:sz w:val="20"/>
          <w:szCs w:val="20"/>
          <w:highlight w:val="yellow"/>
        </w:rPr>
      </w:pPr>
      <w:r>
        <w:rPr>
          <w:rFonts w:ascii="Times New Roman" w:hAnsi="Times New Roman"/>
          <w:b/>
          <w:sz w:val="20"/>
          <w:szCs w:val="20"/>
          <w:highlight w:val="yellow"/>
        </w:rPr>
      </w:r>
      <w:r>
        <w:rPr>
          <w:rFonts w:ascii="Times New Roman" w:hAnsi="Times New Roman"/>
          <w:b/>
          <w:sz w:val="20"/>
          <w:szCs w:val="20"/>
          <w:highlight w:val="yellow"/>
        </w:rPr>
      </w:r>
      <w:r>
        <w:rPr>
          <w:rFonts w:ascii="Times New Roman" w:hAnsi="Times New Roman"/>
          <w:b/>
          <w:sz w:val="20"/>
          <w:szCs w:val="20"/>
          <w:highlight w:val="yellow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/>
          <w:b/>
          <w:sz w:val="20"/>
          <w:szCs w:val="20"/>
          <w:highlight w:val="yellow"/>
        </w:rPr>
      </w:pPr>
      <w:r>
        <w:rPr>
          <w:rFonts w:ascii="Times New Roman" w:hAnsi="Times New Roman"/>
          <w:b/>
          <w:sz w:val="20"/>
          <w:szCs w:val="20"/>
          <w:highlight w:val="yellow"/>
        </w:rPr>
      </w:r>
      <w:r>
        <w:rPr>
          <w:rFonts w:ascii="Times New Roman" w:hAnsi="Times New Roman"/>
          <w:b/>
          <w:sz w:val="20"/>
          <w:szCs w:val="20"/>
          <w:highlight w:val="yellow"/>
        </w:rPr>
      </w:r>
      <w:r>
        <w:rPr>
          <w:rFonts w:ascii="Times New Roman" w:hAnsi="Times New Roman"/>
          <w:b/>
          <w:sz w:val="20"/>
          <w:szCs w:val="20"/>
          <w:highlight w:val="yellow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/>
          <w:b/>
          <w:sz w:val="20"/>
          <w:szCs w:val="20"/>
          <w:highlight w:val="yellow"/>
        </w:rPr>
      </w:pPr>
      <w:r>
        <w:rPr>
          <w:rFonts w:ascii="Times New Roman" w:hAnsi="Times New Roman"/>
          <w:b/>
          <w:sz w:val="20"/>
          <w:szCs w:val="20"/>
          <w:highlight w:val="yellow"/>
        </w:rPr>
      </w:r>
      <w:r>
        <w:rPr>
          <w:rFonts w:ascii="Times New Roman" w:hAnsi="Times New Roman"/>
          <w:b/>
          <w:sz w:val="20"/>
          <w:szCs w:val="20"/>
          <w:highlight w:val="yellow"/>
        </w:rPr>
      </w:r>
      <w:r>
        <w:rPr>
          <w:rFonts w:ascii="Times New Roman" w:hAnsi="Times New Roman"/>
          <w:b/>
          <w:sz w:val="20"/>
          <w:szCs w:val="20"/>
          <w:highlight w:val="yellow"/>
        </w:rPr>
      </w:r>
    </w:p>
    <w:p>
      <w:pPr>
        <w:pStyle w:val="900"/>
        <w:numPr>
          <w:ilvl w:val="0"/>
          <w:numId w:val="14"/>
        </w:numPr>
        <w:ind w:left="360"/>
        <w:jc w:val="center"/>
        <w:spacing w:after="0" w:line="240" w:lineRule="auto"/>
        <w:tabs>
          <w:tab w:val="left" w:pos="993" w:leader="none"/>
        </w:tabs>
        <w:rPr>
          <w:rFonts w:ascii="Times New Roman" w:hAnsi="Times New Roman"/>
          <w:b/>
          <w:color w:val="000000"/>
          <w:sz w:val="24"/>
          <w:szCs w:val="24"/>
        </w:rPr>
        <w:suppressLineNumbers w:val="0"/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Приоритеты и 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задачи 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муниципального управления в сфере реализации муниципальной программы «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Образование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»</w:t>
      </w:r>
      <w:r>
        <w:rPr>
          <w:rFonts w:ascii="Times New Roman" w:hAnsi="Times New Roman"/>
          <w:b/>
          <w:color w:val="000000"/>
          <w:sz w:val="24"/>
          <w:szCs w:val="24"/>
        </w:rPr>
      </w:r>
      <w:r>
        <w:rPr>
          <w:rFonts w:ascii="Times New Roman" w:hAnsi="Times New Roman"/>
          <w:b/>
          <w:color w:val="000000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  <w:r>
        <w:rPr>
          <w:rFonts w:ascii="Times New Roman" w:hAnsi="Times New Roman"/>
          <w:sz w:val="20"/>
          <w:szCs w:val="20"/>
        </w:rPr>
      </w:r>
      <w:r>
        <w:rPr>
          <w:rFonts w:ascii="Times New Roman" w:hAnsi="Times New Roman"/>
          <w:sz w:val="20"/>
          <w:szCs w:val="20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Основными документами, определяющими стратегию развития системы образования</w:t>
      </w:r>
      <w:r>
        <w:rPr>
          <w:rFonts w:ascii="Times New Roman" w:hAnsi="Times New Roman"/>
          <w:sz w:val="24"/>
          <w:szCs w:val="24"/>
        </w:rPr>
        <w:t xml:space="preserve"> в </w:t>
      </w:r>
      <w:r>
        <w:rPr>
          <w:rFonts w:ascii="Times New Roman" w:hAnsi="Times New Roman"/>
          <w:sz w:val="24"/>
          <w:szCs w:val="24"/>
        </w:rPr>
        <w:t xml:space="preserve">Печенгском</w:t>
      </w:r>
      <w:r>
        <w:rPr>
          <w:rFonts w:ascii="Times New Roman" w:hAnsi="Times New Roman"/>
          <w:sz w:val="24"/>
          <w:szCs w:val="24"/>
        </w:rPr>
        <w:t xml:space="preserve"> муниципальном округе</w:t>
      </w:r>
      <w:r>
        <w:rPr>
          <w:rFonts w:ascii="Times New Roman" w:hAnsi="Times New Roman"/>
          <w:sz w:val="24"/>
          <w:szCs w:val="24"/>
        </w:rPr>
        <w:t xml:space="preserve">, являются: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1)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указы Президента Российской Федерации: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</w:t>
      </w:r>
      <w:r>
        <w:rPr>
          <w:rFonts w:ascii="Times New Roman" w:hAnsi="Times New Roman"/>
          <w:sz w:val="24"/>
          <w:szCs w:val="24"/>
        </w:rPr>
        <w:tab/>
        <w:t xml:space="preserve">от 07.05.2012 № 599 «О мерах по реализации государственной политики в области образования и науки»;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</w:t>
      </w:r>
      <w:r>
        <w:rPr>
          <w:rFonts w:ascii="Times New Roman" w:hAnsi="Times New Roman"/>
          <w:sz w:val="24"/>
          <w:szCs w:val="24"/>
        </w:rPr>
        <w:tab/>
        <w:t xml:space="preserve">от 28.12.2012 № 1688 «О некоторых мерах по реализации государственной политики в сфере защиты детей-сирот и детей, оставшихся без попечения родителей»;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</w:t>
      </w:r>
      <w:r>
        <w:rPr>
          <w:rFonts w:ascii="Times New Roman" w:hAnsi="Times New Roman"/>
          <w:sz w:val="24"/>
          <w:szCs w:val="24"/>
        </w:rPr>
        <w:tab/>
        <w:t xml:space="preserve">от 29.05.2017 № 240 «Об объявлении в Российской Федерации Десятилетия детства»;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</w:t>
      </w:r>
      <w:r>
        <w:rPr>
          <w:rFonts w:ascii="Times New Roman" w:hAnsi="Times New Roman"/>
          <w:sz w:val="24"/>
          <w:szCs w:val="24"/>
        </w:rPr>
        <w:tab/>
        <w:t xml:space="preserve">от 07.05.2024 №309 «О национальных целях развития Российской Федерации на период до 2030 года и на перспективу до 2036 года»;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2)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Федеральный закон от 29.12.2012 № 273-ФЗ «Об образовании в Российской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Федерации»;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3)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ины</w:t>
      </w:r>
      <w:r>
        <w:rPr>
          <w:rFonts w:ascii="Times New Roman" w:hAnsi="Times New Roman"/>
          <w:sz w:val="24"/>
          <w:szCs w:val="24"/>
        </w:rPr>
        <w:t xml:space="preserve">е</w:t>
      </w:r>
      <w:r>
        <w:rPr>
          <w:rFonts w:ascii="Times New Roman" w:hAnsi="Times New Roman"/>
          <w:sz w:val="24"/>
          <w:szCs w:val="24"/>
        </w:rPr>
        <w:t xml:space="preserve"> нормативны</w:t>
      </w:r>
      <w:r>
        <w:rPr>
          <w:rFonts w:ascii="Times New Roman" w:hAnsi="Times New Roman"/>
          <w:sz w:val="24"/>
          <w:szCs w:val="24"/>
        </w:rPr>
        <w:t xml:space="preserve">е</w:t>
      </w:r>
      <w:r>
        <w:rPr>
          <w:rFonts w:ascii="Times New Roman" w:hAnsi="Times New Roman"/>
          <w:sz w:val="24"/>
          <w:szCs w:val="24"/>
        </w:rPr>
        <w:t xml:space="preserve"> правовы</w:t>
      </w:r>
      <w:r>
        <w:rPr>
          <w:rFonts w:ascii="Times New Roman" w:hAnsi="Times New Roman"/>
          <w:sz w:val="24"/>
          <w:szCs w:val="24"/>
        </w:rPr>
        <w:t xml:space="preserve">е</w:t>
      </w:r>
      <w:r>
        <w:rPr>
          <w:rFonts w:ascii="Times New Roman" w:hAnsi="Times New Roman"/>
          <w:sz w:val="24"/>
          <w:szCs w:val="24"/>
        </w:rPr>
        <w:t xml:space="preserve"> документ</w:t>
      </w:r>
      <w:r>
        <w:rPr>
          <w:rFonts w:ascii="Times New Roman" w:hAnsi="Times New Roman"/>
          <w:sz w:val="24"/>
          <w:szCs w:val="24"/>
        </w:rPr>
        <w:t xml:space="preserve">ы</w:t>
      </w:r>
      <w:r>
        <w:rPr>
          <w:rFonts w:ascii="Times New Roman" w:hAnsi="Times New Roman"/>
          <w:sz w:val="24"/>
          <w:szCs w:val="24"/>
        </w:rPr>
        <w:t xml:space="preserve"> федерального и регионального законодательства органов исполнительной власти, касающихся управления в сфере </w:t>
      </w:r>
      <w:r>
        <w:rPr>
          <w:rFonts w:ascii="Times New Roman" w:hAnsi="Times New Roman"/>
          <w:sz w:val="24"/>
          <w:szCs w:val="24"/>
        </w:rPr>
        <w:t xml:space="preserve">образовательной деятельности.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Основны</w:t>
      </w:r>
      <w:r>
        <w:rPr>
          <w:rFonts w:ascii="Times New Roman" w:hAnsi="Times New Roman"/>
          <w:sz w:val="24"/>
          <w:szCs w:val="24"/>
        </w:rPr>
        <w:t xml:space="preserve">ми </w:t>
      </w:r>
      <w:r>
        <w:rPr>
          <w:rFonts w:ascii="Times New Roman" w:hAnsi="Times New Roman"/>
          <w:sz w:val="24"/>
          <w:szCs w:val="24"/>
        </w:rPr>
        <w:t xml:space="preserve">приоритет</w:t>
      </w:r>
      <w:r>
        <w:rPr>
          <w:rFonts w:ascii="Times New Roman" w:hAnsi="Times New Roman"/>
          <w:sz w:val="24"/>
          <w:szCs w:val="24"/>
        </w:rPr>
        <w:t xml:space="preserve">ами о</w:t>
      </w:r>
      <w:r>
        <w:rPr>
          <w:rFonts w:ascii="Times New Roman" w:hAnsi="Times New Roman"/>
          <w:sz w:val="24"/>
          <w:szCs w:val="24"/>
        </w:rPr>
        <w:t xml:space="preserve">бразовательной политики</w:t>
      </w:r>
      <w:r>
        <w:rPr>
          <w:rFonts w:ascii="Times New Roman" w:hAnsi="Times New Roman"/>
          <w:sz w:val="24"/>
          <w:szCs w:val="24"/>
        </w:rPr>
        <w:t xml:space="preserve"> являются</w:t>
      </w:r>
      <w:r>
        <w:rPr>
          <w:rFonts w:ascii="Times New Roman" w:hAnsi="Times New Roman"/>
          <w:sz w:val="24"/>
          <w:szCs w:val="24"/>
        </w:rPr>
        <w:t xml:space="preserve">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1)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в сфере дошкольного образования: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создание условий для раннего развития детей в возрасте до 3 лет и реализация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программ психолого-педагогической, методической и консультативной помощи родителям детей, получающих дошкольное образование в семье;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сохранение 100 % доступности дошкольного образования для детей в возрасте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от 3 до 7 лет;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реализация мероприятий, направленных на создание дополнительных мест 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организациях, реализующих образовательные программы дошкольного образования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для детей в </w:t>
      </w:r>
      <w:r>
        <w:rPr>
          <w:rFonts w:ascii="Times New Roman" w:hAnsi="Times New Roman"/>
          <w:sz w:val="24"/>
          <w:szCs w:val="24"/>
        </w:rPr>
        <w:t xml:space="preserve">возрасте от 2 месяцев до 3 лет;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развитие вариативных форм дошкольного образования;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2)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в сфере общего образования: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реализация в общеобразовательных организациях федеральных государственных образовательных стандартов начального, основного и среднего общего образования, в том числе для детей с ограниченными возможностями здоровья;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предоставление обучающимся детям - инвалидам и детям с ограниченными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возможностями здоровья возможностей доступа к образовательным ресурсам, выбора варианта освоения программ общего образования;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создание условий для выявления и развития творческих и интеллектуальных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способностей талантливых детей;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развитие системы комплексного мониторинга качества образования, внешней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независимой системы оценки качества образования с участием общественности;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3)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в сфере дополнительного образования детей, организации летнего отдыха и оздоровления: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формирование эффективной системы выявления, поддержки и развития способностей и талантов у детей и молодежи, направленной на самоопределение 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профессиональную ориентацию всех обучающихся;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совершенствование материально-технической базы организаций дополнительного образования детей;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сохранение и укрепление здоровья школьников;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развитие д</w:t>
      </w:r>
      <w:r>
        <w:rPr>
          <w:rFonts w:ascii="Times New Roman" w:hAnsi="Times New Roman"/>
          <w:sz w:val="24"/>
          <w:szCs w:val="24"/>
        </w:rPr>
        <w:t xml:space="preserve">етских общественных объединений;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4)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в сфере развития кадрового потенциала: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обеспечение условий для повышения квалификации и профессионального развития управленческих и педагогических работников системы образования;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обеспечение роста престижа профессии педагогических и руководящих работников системы образования;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5)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в сфере создания современных условий обучения и воспитания: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продолжение модернизации инфраструктуры общеобразовательных организаций, направленной на обеспечение современных условий обучения, в том числе через участие в приоритетных федеральных и </w:t>
      </w:r>
      <w:r>
        <w:rPr>
          <w:rFonts w:ascii="Times New Roman" w:hAnsi="Times New Roman"/>
          <w:sz w:val="24"/>
          <w:szCs w:val="24"/>
        </w:rPr>
        <w:t xml:space="preserve">региональных п</w:t>
      </w:r>
      <w:r>
        <w:rPr>
          <w:rFonts w:ascii="Times New Roman" w:hAnsi="Times New Roman"/>
          <w:sz w:val="24"/>
          <w:szCs w:val="24"/>
        </w:rPr>
        <w:t xml:space="preserve">роектах по обеспечению доступности образования детям раннего возраста, развитию спорт</w:t>
      </w:r>
      <w:r>
        <w:rPr>
          <w:rFonts w:ascii="Times New Roman" w:hAnsi="Times New Roman"/>
          <w:sz w:val="24"/>
          <w:szCs w:val="24"/>
        </w:rPr>
        <w:t xml:space="preserve">ивных клубов</w:t>
      </w:r>
      <w:r>
        <w:rPr>
          <w:rFonts w:ascii="Times New Roman" w:hAnsi="Times New Roman"/>
          <w:sz w:val="24"/>
          <w:szCs w:val="24"/>
        </w:rPr>
        <w:t xml:space="preserve">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6)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в сфере защиты прав детей - сирот и детей, оставшихся без попечения родителей: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развитие системы замещающего семейного устройства детей - сирот и детей,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оставшихся без попечения родителей;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обеспечение межведомственного взаимодействия при организации работы по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профилактике социального сиротства.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Развитие образования в </w:t>
      </w:r>
      <w:r>
        <w:rPr>
          <w:rFonts w:ascii="Times New Roman" w:hAnsi="Times New Roman"/>
          <w:sz w:val="24"/>
          <w:szCs w:val="24"/>
        </w:rPr>
        <w:t xml:space="preserve">Печенгском</w:t>
      </w:r>
      <w:r>
        <w:rPr>
          <w:rFonts w:ascii="Times New Roman" w:hAnsi="Times New Roman"/>
          <w:sz w:val="24"/>
          <w:szCs w:val="24"/>
        </w:rPr>
        <w:t xml:space="preserve"> муниципальном округе в трехлетней перспективе </w:t>
      </w:r>
      <w:r>
        <w:rPr>
          <w:rFonts w:ascii="Times New Roman" w:hAnsi="Times New Roman"/>
          <w:sz w:val="24"/>
          <w:szCs w:val="24"/>
        </w:rPr>
        <w:t xml:space="preserve">осуществляется в соответствии с требованиями времени, новыми технологиями при использовании потенциала различных институций, сформированных с учетом тенденций развития экономики района, образования в целом.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Цель</w:t>
      </w:r>
      <w:r>
        <w:rPr>
          <w:rFonts w:ascii="Times New Roman" w:hAnsi="Times New Roman"/>
          <w:sz w:val="24"/>
          <w:szCs w:val="24"/>
        </w:rPr>
        <w:t xml:space="preserve">ю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муниципальной программы «Образование» (далее - </w:t>
      </w:r>
      <w:r>
        <w:rPr>
          <w:rFonts w:ascii="Times New Roman" w:hAnsi="Times New Roman"/>
          <w:sz w:val="24"/>
          <w:szCs w:val="24"/>
        </w:rPr>
        <w:t xml:space="preserve">Программ</w:t>
      </w:r>
      <w:r>
        <w:rPr>
          <w:rFonts w:ascii="Times New Roman" w:hAnsi="Times New Roman"/>
          <w:sz w:val="24"/>
          <w:szCs w:val="24"/>
        </w:rPr>
        <w:t xml:space="preserve">а) является </w:t>
      </w:r>
      <w:r>
        <w:rPr>
          <w:rFonts w:ascii="Times New Roman" w:hAnsi="Times New Roman"/>
          <w:sz w:val="24"/>
          <w:szCs w:val="24"/>
        </w:rPr>
        <w:t xml:space="preserve">повышение доступности качественного образования, соответствующего потребностям инновационного развития экономики, современным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потребностям общества и каждого гражданина.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Реализация Программы будет способствовать осуществлению стратегической цели социально-экономического развития </w:t>
      </w:r>
      <w:r>
        <w:rPr>
          <w:rFonts w:ascii="Times New Roman" w:hAnsi="Times New Roman"/>
          <w:sz w:val="24"/>
          <w:szCs w:val="24"/>
        </w:rPr>
        <w:t xml:space="preserve">Печенгского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муниципального о</w:t>
      </w:r>
      <w:r>
        <w:rPr>
          <w:rFonts w:ascii="Times New Roman" w:hAnsi="Times New Roman"/>
          <w:sz w:val="24"/>
          <w:szCs w:val="24"/>
        </w:rPr>
        <w:t xml:space="preserve">круга</w:t>
      </w:r>
      <w:r>
        <w:rPr>
          <w:rFonts w:ascii="Times New Roman" w:hAnsi="Times New Roman"/>
          <w:sz w:val="24"/>
          <w:szCs w:val="24"/>
        </w:rPr>
        <w:t xml:space="preserve">, повышению качества человеческого капитала, пространственное развитие, инфраструктурное развитие.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Социальный эффект выражается в росте эффективности сферы развития человеческого и социального потенциала возложенного на сферу образования </w:t>
      </w:r>
      <w:r>
        <w:rPr>
          <w:rFonts w:ascii="Times New Roman" w:hAnsi="Times New Roman"/>
          <w:sz w:val="24"/>
          <w:szCs w:val="24"/>
        </w:rPr>
        <w:t xml:space="preserve">в </w:t>
      </w:r>
      <w:r>
        <w:rPr>
          <w:rFonts w:ascii="Times New Roman" w:hAnsi="Times New Roman"/>
          <w:sz w:val="24"/>
          <w:szCs w:val="24"/>
        </w:rPr>
        <w:t xml:space="preserve">Печенгском</w:t>
      </w:r>
      <w:r>
        <w:rPr>
          <w:rFonts w:ascii="Times New Roman" w:hAnsi="Times New Roman"/>
          <w:sz w:val="24"/>
          <w:szCs w:val="24"/>
        </w:rPr>
        <w:t xml:space="preserve"> муниципальном округе.</w:t>
      </w:r>
      <w:r>
        <w:rPr>
          <w:rFonts w:ascii="Times New Roman" w:hAnsi="Times New Roman"/>
          <w:sz w:val="24"/>
          <w:szCs w:val="24"/>
        </w:rPr>
        <w:t xml:space="preserve"> В этой связи образование начинает рассматриваться не как затратная отрасль, а как сфера для стратегических инвестиций.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Ожидаемая экономическая эффективность выражается в эффективном использовании бюджетных сре</w:t>
      </w:r>
      <w:r>
        <w:rPr>
          <w:rFonts w:ascii="Times New Roman" w:hAnsi="Times New Roman"/>
          <w:sz w:val="24"/>
          <w:szCs w:val="24"/>
        </w:rPr>
        <w:t xml:space="preserve">дств в х</w:t>
      </w:r>
      <w:r>
        <w:rPr>
          <w:rFonts w:ascii="Times New Roman" w:hAnsi="Times New Roman"/>
          <w:sz w:val="24"/>
          <w:szCs w:val="24"/>
        </w:rPr>
        <w:t xml:space="preserve">оде реализации </w:t>
      </w:r>
      <w:r>
        <w:rPr>
          <w:rFonts w:ascii="Times New Roman" w:hAnsi="Times New Roman"/>
          <w:sz w:val="24"/>
          <w:szCs w:val="24"/>
        </w:rPr>
        <w:t xml:space="preserve">комплексов процессных и проектных </w:t>
      </w:r>
      <w:r>
        <w:rPr>
          <w:rFonts w:ascii="Times New Roman" w:hAnsi="Times New Roman"/>
          <w:sz w:val="24"/>
          <w:szCs w:val="24"/>
        </w:rPr>
        <w:t xml:space="preserve">мероприятий </w:t>
      </w:r>
      <w:r>
        <w:rPr>
          <w:rFonts w:ascii="Times New Roman" w:hAnsi="Times New Roman"/>
          <w:sz w:val="24"/>
          <w:szCs w:val="24"/>
        </w:rPr>
        <w:t xml:space="preserve">Программы.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Для достижения поставленн</w:t>
      </w:r>
      <w:r>
        <w:rPr>
          <w:rFonts w:ascii="Times New Roman" w:hAnsi="Times New Roman"/>
          <w:sz w:val="24"/>
          <w:szCs w:val="24"/>
        </w:rPr>
        <w:t xml:space="preserve">ой </w:t>
      </w:r>
      <w:r>
        <w:rPr>
          <w:rFonts w:ascii="Times New Roman" w:hAnsi="Times New Roman"/>
          <w:sz w:val="24"/>
          <w:szCs w:val="24"/>
        </w:rPr>
        <w:t xml:space="preserve">цел</w:t>
      </w:r>
      <w:r>
        <w:rPr>
          <w:rFonts w:ascii="Times New Roman" w:hAnsi="Times New Roman"/>
          <w:sz w:val="24"/>
          <w:szCs w:val="24"/>
        </w:rPr>
        <w:t xml:space="preserve">и</w:t>
      </w:r>
      <w:r>
        <w:rPr>
          <w:rFonts w:ascii="Times New Roman" w:hAnsi="Times New Roman"/>
          <w:sz w:val="24"/>
          <w:szCs w:val="24"/>
        </w:rPr>
        <w:t xml:space="preserve"> планируется решение следующих задач: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развитие сети и инфраструктуры образовательных организаций, обеспечивающих доступ населения </w:t>
      </w:r>
      <w:r>
        <w:rPr>
          <w:rFonts w:ascii="Times New Roman" w:hAnsi="Times New Roman"/>
          <w:sz w:val="24"/>
          <w:szCs w:val="24"/>
        </w:rPr>
        <w:t xml:space="preserve">Печенгского</w:t>
      </w:r>
      <w:r>
        <w:rPr>
          <w:rFonts w:ascii="Times New Roman" w:hAnsi="Times New Roman"/>
          <w:sz w:val="24"/>
          <w:szCs w:val="24"/>
        </w:rPr>
        <w:t xml:space="preserve"> муниципального округа к качественным услугам дошкольного, общего и дополнительного образования;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развитие современных механизмов, содержания и технологий образовательного процесса;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</w:t>
      </w:r>
      <w:r>
        <w:rPr>
          <w:rFonts w:ascii="Times New Roman" w:hAnsi="Times New Roman"/>
          <w:sz w:val="24"/>
          <w:szCs w:val="24"/>
        </w:rPr>
        <w:tab/>
        <w:t xml:space="preserve">реализация мер социальной поддержки воспитанников, обучающихся и работников муниципальных учреждений, подведомственных отделу образования;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</w:t>
      </w:r>
      <w:r>
        <w:rPr>
          <w:rFonts w:ascii="Times New Roman" w:hAnsi="Times New Roman"/>
          <w:sz w:val="24"/>
          <w:szCs w:val="24"/>
        </w:rPr>
        <w:tab/>
        <w:t xml:space="preserve">обеспечение функционирования системы персонифицированного финансирования, </w:t>
      </w:r>
      <w:r>
        <w:rPr>
          <w:rFonts w:ascii="Times New Roman" w:hAnsi="Times New Roman"/>
          <w:sz w:val="24"/>
          <w:szCs w:val="24"/>
        </w:rPr>
        <w:t xml:space="preserve">обеспечивающей свободу выбора образовательных программ, равенство доступа к дополнительному образованию, легкость и оперативность смены осваиваемых образовательных программ</w:t>
      </w:r>
      <w:r>
        <w:rPr>
          <w:rFonts w:ascii="Times New Roman" w:hAnsi="Times New Roman"/>
          <w:sz w:val="24"/>
          <w:szCs w:val="24"/>
        </w:rPr>
        <w:t xml:space="preserve">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обеспечение защиты прав и интересов детей </w:t>
      </w:r>
      <w:r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 xml:space="preserve">сирот, детей, оставшихся без попечения родителей, содействие их семейному устройству и интеграции в общество</w:t>
      </w:r>
      <w:r>
        <w:rPr>
          <w:rFonts w:ascii="Times New Roman" w:hAnsi="Times New Roman"/>
          <w:sz w:val="24"/>
          <w:szCs w:val="24"/>
        </w:rPr>
        <w:t xml:space="preserve">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создание в муниципальных учреждениях, подведомственных отделу образования, условий, обеспечивающих безопасность воспитанников, учеников и работников образовательных учреждений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Обеспечение высокого качества образования связано с созданием не только организационных, кадровых, инфраструктурных, материально-технических и учебно-</w:t>
      </w:r>
      <w:r>
        <w:rPr>
          <w:rFonts w:ascii="Times New Roman" w:hAnsi="Times New Roman"/>
          <w:sz w:val="24"/>
          <w:szCs w:val="24"/>
        </w:rPr>
        <w:t xml:space="preserve">методических условий, но и объективной, охватывающей все уровни образования системы оценки качества</w:t>
      </w:r>
      <w:r>
        <w:rPr>
          <w:rFonts w:ascii="Times New Roman" w:hAnsi="Times New Roman"/>
          <w:sz w:val="24"/>
          <w:szCs w:val="24"/>
        </w:rPr>
        <w:t xml:space="preserve">, н</w:t>
      </w:r>
      <w:r>
        <w:rPr>
          <w:rFonts w:ascii="Times New Roman" w:hAnsi="Times New Roman"/>
          <w:sz w:val="24"/>
          <w:szCs w:val="24"/>
        </w:rPr>
        <w:t xml:space="preserve">а ее формирование и развитие, участие в исследованиях качества образования, включение общественности в управление образовательными организациями, повышение качества контроля за реализацией образовательных программ направлены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все </w:t>
      </w:r>
      <w:r>
        <w:rPr>
          <w:rFonts w:ascii="Times New Roman" w:hAnsi="Times New Roman"/>
          <w:sz w:val="24"/>
          <w:szCs w:val="24"/>
        </w:rPr>
        <w:t xml:space="preserve">мероприятия </w:t>
      </w:r>
      <w:r>
        <w:rPr>
          <w:rFonts w:ascii="Times New Roman" w:hAnsi="Times New Roman"/>
          <w:sz w:val="24"/>
          <w:szCs w:val="24"/>
        </w:rPr>
        <w:t xml:space="preserve">Программы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  <w:sectPr>
          <w:footnotePr/>
          <w:endnotePr/>
          <w:type w:val="nextPage"/>
          <w:pgSz w:w="11905" w:h="16838" w:orient="portrait"/>
          <w:pgMar w:top="1134" w:right="850" w:bottom="1134" w:left="1701" w:header="720" w:footer="720" w:gutter="0"/>
          <w:cols w:num="1" w:sep="0" w:space="720" w:equalWidth="1"/>
          <w:docGrid w:linePitch="360"/>
        </w:sect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sz w:val="24"/>
          <w:lang w:eastAsia="ru-RU"/>
        </w:rPr>
      </w:pPr>
      <w:r/>
      <w:bookmarkStart w:id="1" w:name="P446"/>
      <w:r/>
      <w:bookmarkEnd w:id="1"/>
      <w:r>
        <w:rPr>
          <w:rFonts w:ascii="Times New Roman" w:hAnsi="Times New Roman" w:eastAsia="Times New Roman"/>
          <w:b/>
          <w:sz w:val="24"/>
          <w:lang w:eastAsia="ru-RU"/>
        </w:rPr>
        <w:t xml:space="preserve">2. </w:t>
      </w:r>
      <w:r>
        <w:rPr>
          <w:rFonts w:ascii="Times New Roman" w:hAnsi="Times New Roman" w:eastAsia="Times New Roman"/>
          <w:b/>
          <w:sz w:val="24"/>
          <w:lang w:eastAsia="ru-RU"/>
        </w:rPr>
        <w:t xml:space="preserve">Перечень показателей муниципальной программы</w:t>
      </w:r>
      <w:r>
        <w:rPr>
          <w:rFonts w:ascii="Times New Roman" w:hAnsi="Times New Roman" w:eastAsia="Times New Roman"/>
          <w:b/>
          <w:sz w:val="24"/>
          <w:lang w:eastAsia="ru-RU"/>
        </w:rPr>
      </w:r>
      <w:r>
        <w:rPr>
          <w:rFonts w:ascii="Times New Roman" w:hAnsi="Times New Roman" w:eastAsia="Times New Roman"/>
          <w:b/>
          <w:sz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sz w:val="24"/>
          <w:lang w:eastAsia="ru-RU"/>
        </w:rPr>
      </w:pPr>
      <w:r>
        <w:rPr>
          <w:rFonts w:ascii="Times New Roman" w:hAnsi="Times New Roman" w:eastAsia="Times New Roman"/>
          <w:b/>
          <w:sz w:val="24"/>
          <w:lang w:eastAsia="ru-RU"/>
        </w:rPr>
      </w:r>
      <w:r>
        <w:rPr>
          <w:rFonts w:ascii="Times New Roman" w:hAnsi="Times New Roman" w:eastAsia="Times New Roman"/>
          <w:b/>
          <w:sz w:val="24"/>
          <w:lang w:eastAsia="ru-RU"/>
        </w:rPr>
      </w:r>
      <w:r>
        <w:rPr>
          <w:rFonts w:ascii="Times New Roman" w:hAnsi="Times New Roman" w:eastAsia="Times New Roman"/>
          <w:b/>
          <w:sz w:val="24"/>
          <w:lang w:eastAsia="ru-RU"/>
        </w:rPr>
      </w:r>
    </w:p>
    <w:tbl>
      <w:tblPr>
        <w:tblW w:w="14884" w:type="dxa"/>
        <w:tblInd w:w="-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9"/>
        <w:gridCol w:w="4728"/>
        <w:gridCol w:w="1139"/>
        <w:gridCol w:w="1528"/>
        <w:gridCol w:w="977"/>
        <w:gridCol w:w="1028"/>
        <w:gridCol w:w="11"/>
        <w:gridCol w:w="1053"/>
        <w:gridCol w:w="1062"/>
        <w:gridCol w:w="16"/>
        <w:gridCol w:w="1018"/>
        <w:gridCol w:w="1675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4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 №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/п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72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Муниципальная программа, направления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(подпрограммы), цели, показатели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Ед. изм.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2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Направлен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ность показателя</w:t>
            </w:r>
            <w:r>
              <w:rPr>
                <w:rFonts w:ascii="Times New Roman" w:hAnsi="Times New Roman" w:eastAsia="Times New Roman"/>
                <w:sz w:val="20"/>
                <w:szCs w:val="20"/>
                <w:vertAlign w:val="superscript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gridSpan w:val="7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6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Значение показателя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7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Соисполнитель,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ответственный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за достижение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показателя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4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72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2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7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2024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2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2025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2026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2027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2028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7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4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72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2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7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факт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2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оценка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план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план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план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7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4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0 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gridSpan w:val="1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235" w:type="dxa"/>
            <w:textDirection w:val="lrTb"/>
            <w:noWrap w:val="false"/>
          </w:tcPr>
          <w:p>
            <w:pPr>
              <w:spacing w:after="0" w:line="288" w:lineRule="atLeast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Муниципальная программа </w:t>
            </w:r>
            <w:r>
              <w:rPr>
                <w:rFonts w:ascii="Times New Roman" w:hAnsi="Times New Roman" w:eastAsia="Times New Roman"/>
                <w:b/>
                <w:u w:val="single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/>
                <w:b/>
                <w:u w:val="single"/>
                <w:lang w:eastAsia="ru-RU"/>
              </w:rPr>
              <w:t xml:space="preserve">Образование</w:t>
            </w:r>
            <w:r>
              <w:rPr>
                <w:rFonts w:ascii="Times New Roman" w:hAnsi="Times New Roman" w:eastAsia="Times New Roman"/>
                <w:b/>
                <w:u w:val="single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  <w:p>
            <w:pPr>
              <w:spacing w:after="0" w:line="288" w:lineRule="atLeast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Цель муниципальной программы: </w:t>
            </w:r>
            <w:r>
              <w:rPr>
                <w:rFonts w:ascii="Times New Roman" w:hAnsi="Times New Roman" w:eastAsia="Times New Roman"/>
                <w:lang w:eastAsia="ru-RU"/>
              </w:rPr>
              <w:t xml:space="preserve">П</w:t>
            </w:r>
            <w:r>
              <w:rPr>
                <w:rFonts w:ascii="Times New Roman" w:hAnsi="Times New Roman"/>
              </w:rPr>
              <w:t xml:space="preserve">овышение доступности качественного образования, соответствующего потребностям инновационного развития экономики, современным потребностям общества и каждого гражданина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4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0.1.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728" w:type="dxa"/>
            <w:textDirection w:val="lrTb"/>
            <w:noWrap w:val="false"/>
          </w:tcPr>
          <w:p>
            <w:pPr>
              <w:pStyle w:val="948"/>
              <w:ind w:left="0"/>
              <w:jc w:val="both"/>
              <w:tabs>
                <w:tab w:val="left" w:pos="317" w:leader="none"/>
              </w:tabs>
              <w:rPr>
                <w:lang w:eastAsia="en-US"/>
              </w:rPr>
            </w:pPr>
            <w:r>
              <w:rPr>
                <w:lang w:eastAsia="en-US"/>
              </w:rPr>
              <w:t xml:space="preserve">Доступность дошкольного образования для детей в возрасте от </w:t>
            </w:r>
            <w:r>
              <w:rPr>
                <w:lang w:eastAsia="en-US"/>
              </w:rPr>
              <w:t xml:space="preserve">1</w:t>
            </w:r>
            <w:r>
              <w:rPr>
                <w:lang w:eastAsia="en-US"/>
              </w:rPr>
              <w:t xml:space="preserve"> до </w:t>
            </w:r>
            <w:r>
              <w:rPr>
                <w:lang w:eastAsia="en-US"/>
              </w:rPr>
              <w:t xml:space="preserve">6</w:t>
            </w:r>
            <w:r>
              <w:rPr>
                <w:lang w:eastAsia="en-US"/>
              </w:rPr>
              <w:t xml:space="preserve"> лет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процент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28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7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10,46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2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8,8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8,49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8,45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8,40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Отдел образования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4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0.2.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728" w:type="dxa"/>
            <w:textDirection w:val="lrTb"/>
            <w:noWrap w:val="false"/>
          </w:tcPr>
          <w:p>
            <w:pPr>
              <w:pStyle w:val="948"/>
              <w:ind w:left="0"/>
              <w:jc w:val="both"/>
              <w:tabs>
                <w:tab w:val="left" w:pos="317" w:leader="none"/>
              </w:tabs>
              <w:rPr>
                <w:lang w:eastAsia="en-US"/>
              </w:rPr>
            </w:pPr>
            <w:r>
              <w:rPr>
                <w:lang w:eastAsia="en-US"/>
              </w:rPr>
              <w:t xml:space="preserve">Доля выпускников общеобразовательных организаций, не </w:t>
            </w:r>
            <w:r>
              <w:rPr>
                <w:lang w:eastAsia="en-US"/>
              </w:rPr>
              <w:t xml:space="preserve">получивших аттестат о среднем (полном) образовании 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процент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28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7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0,76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2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trike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Отдел образования</w:t>
            </w:r>
            <w:r>
              <w:rPr>
                <w:rFonts w:ascii="Times New Roman" w:hAnsi="Times New Roman"/>
                <w:strike/>
                <w:sz w:val="18"/>
                <w:szCs w:val="18"/>
              </w:rPr>
            </w:r>
            <w:r>
              <w:rPr>
                <w:rFonts w:ascii="Times New Roman" w:hAnsi="Times New Roman"/>
                <w:strike/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4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0.3.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728" w:type="dxa"/>
            <w:textDirection w:val="lrTb"/>
            <w:noWrap w:val="false"/>
          </w:tcPr>
          <w:p>
            <w:pPr>
              <w:pStyle w:val="948"/>
              <w:ind w:left="0"/>
              <w:jc w:val="both"/>
              <w:tabs>
                <w:tab w:val="left" w:pos="317" w:leader="none"/>
              </w:tabs>
              <w:rPr>
                <w:highlight w:val="yellow"/>
                <w:lang w:eastAsia="en-US"/>
              </w:rPr>
            </w:pPr>
            <w:r>
              <w:rPr>
                <w:lang w:eastAsia="en-US"/>
              </w:rPr>
              <w:t xml:space="preserve">Доля детей в возрасте от 5 до 18 лет, охваченных дополнительным образованием, в общей численности детей в возрасте от 5 до 18 лет</w:t>
            </w:r>
            <w:r>
              <w:rPr>
                <w:highlight w:val="yellow"/>
                <w:lang w:eastAsia="en-US"/>
              </w:rPr>
            </w:r>
            <w:r>
              <w:rPr>
                <w:highlight w:val="yellow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процент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28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7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79,16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2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 xml:space="preserve">81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,6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81,7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81,8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81,9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trike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Отдел образования</w:t>
            </w:r>
            <w:r>
              <w:rPr>
                <w:rFonts w:ascii="Times New Roman" w:hAnsi="Times New Roman"/>
                <w:strike/>
                <w:sz w:val="18"/>
                <w:szCs w:val="18"/>
              </w:rPr>
            </w:r>
            <w:r>
              <w:rPr>
                <w:rFonts w:ascii="Times New Roman" w:hAnsi="Times New Roman"/>
                <w:strike/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4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0.4.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728" w:type="dxa"/>
            <w:textDirection w:val="lrTb"/>
            <w:noWrap w:val="false"/>
          </w:tcPr>
          <w:p>
            <w:pPr>
              <w:pStyle w:val="948"/>
              <w:ind w:left="0"/>
              <w:jc w:val="both"/>
              <w:tabs>
                <w:tab w:val="left" w:pos="317" w:leader="none"/>
              </w:tabs>
              <w:rPr>
                <w:lang w:eastAsia="en-US"/>
              </w:rPr>
            </w:pPr>
            <w:r>
              <w:rPr>
                <w:lang w:eastAsia="en-US"/>
              </w:rPr>
              <w:t xml:space="preserve">Доля отдохнувших и оздоровленных детей и подростков в оздоровительных учреждениях и на базе образовательных организаций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процент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28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7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33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2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3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3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3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3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,1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3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3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,2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3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3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,3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trike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Отдел образования</w:t>
            </w:r>
            <w:r>
              <w:rPr>
                <w:rFonts w:ascii="Times New Roman" w:hAnsi="Times New Roman"/>
                <w:strike/>
                <w:sz w:val="18"/>
                <w:szCs w:val="18"/>
              </w:rPr>
            </w:r>
            <w:r>
              <w:rPr>
                <w:rFonts w:ascii="Times New Roman" w:hAnsi="Times New Roman"/>
                <w:strike/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4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0.5.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728" w:type="dxa"/>
            <w:textDirection w:val="lrTb"/>
            <w:noWrap w:val="false"/>
          </w:tcPr>
          <w:p>
            <w:pPr>
              <w:pStyle w:val="948"/>
              <w:ind w:left="0"/>
              <w:jc w:val="both"/>
              <w:tabs>
                <w:tab w:val="left" w:pos="317" w:leader="none"/>
              </w:tabs>
              <w:rPr>
                <w:highlight w:val="yellow"/>
                <w:lang w:eastAsia="en-US"/>
              </w:rPr>
            </w:pPr>
            <w:r>
              <w:rPr>
                <w:lang w:eastAsia="en-US"/>
              </w:rPr>
              <w:t xml:space="preserve">Отношение среднемесячной заработной платы педагогических работников муниципальных дошкольных образовательных учреждений к средней заработной плате в общем образовании по Мурманской области</w:t>
            </w:r>
            <w:r>
              <w:rPr>
                <w:highlight w:val="yellow"/>
                <w:lang w:eastAsia="en-US"/>
              </w:rPr>
            </w:r>
            <w:r>
              <w:rPr>
                <w:highlight w:val="yellow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процент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28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7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2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trike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Отдел образования</w:t>
            </w:r>
            <w:r>
              <w:rPr>
                <w:rFonts w:ascii="Times New Roman" w:hAnsi="Times New Roman"/>
                <w:strike/>
                <w:sz w:val="18"/>
                <w:szCs w:val="18"/>
              </w:rPr>
            </w:r>
            <w:r>
              <w:rPr>
                <w:rFonts w:ascii="Times New Roman" w:hAnsi="Times New Roman"/>
                <w:strike/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4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0.6.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728" w:type="dxa"/>
            <w:textDirection w:val="lrTb"/>
            <w:noWrap w:val="false"/>
          </w:tcPr>
          <w:p>
            <w:pPr>
              <w:pStyle w:val="948"/>
              <w:ind w:left="0"/>
              <w:jc w:val="both"/>
              <w:tabs>
                <w:tab w:val="left" w:pos="317" w:leader="none"/>
              </w:tabs>
              <w:rPr>
                <w:highlight w:val="yellow"/>
                <w:lang w:eastAsia="en-US"/>
              </w:rPr>
            </w:pPr>
            <w:r>
              <w:rPr>
                <w:lang w:eastAsia="en-US"/>
              </w:rPr>
              <w:t xml:space="preserve">Отношение среднемесячной заработной платы педагогических работников муниципальных общеобразовательных учреждений к среднемесячной </w:t>
            </w:r>
            <w:r>
              <w:rPr>
                <w:lang w:eastAsia="en-US"/>
              </w:rPr>
              <w:t xml:space="preserve">начисленной заработной плате наё</w:t>
            </w:r>
            <w:r>
              <w:rPr>
                <w:lang w:eastAsia="en-US"/>
              </w:rPr>
              <w:t xml:space="preserve">мных работников в организациях, у индивидуальных предпринимателей и физических лиц по Мурманской области (среднемесячному доходу от трудовой деятельности)</w:t>
            </w:r>
            <w:r>
              <w:rPr>
                <w:highlight w:val="yellow"/>
                <w:lang w:eastAsia="en-US"/>
              </w:rPr>
            </w:r>
            <w:r>
              <w:rPr>
                <w:highlight w:val="yellow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процент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28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7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2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trike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Отдел образования</w:t>
            </w:r>
            <w:r>
              <w:rPr>
                <w:rFonts w:ascii="Times New Roman" w:hAnsi="Times New Roman"/>
                <w:strike/>
                <w:sz w:val="18"/>
                <w:szCs w:val="18"/>
              </w:rPr>
            </w:r>
            <w:r>
              <w:rPr>
                <w:rFonts w:ascii="Times New Roman" w:hAnsi="Times New Roman"/>
                <w:strike/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4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7.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728" w:type="dxa"/>
            <w:textDirection w:val="lrTb"/>
            <w:noWrap w:val="false"/>
          </w:tcPr>
          <w:p>
            <w:pPr>
              <w:pStyle w:val="948"/>
              <w:ind w:left="0"/>
              <w:jc w:val="both"/>
              <w:tabs>
                <w:tab w:val="left" w:pos="317" w:leader="none"/>
              </w:tabs>
              <w:rPr>
                <w:highlight w:val="yellow"/>
                <w:lang w:eastAsia="en-US"/>
              </w:rPr>
            </w:pPr>
            <w:r>
              <w:rPr>
                <w:lang w:eastAsia="en-US"/>
              </w:rPr>
              <w:t xml:space="preserve">Отношение среднемесячной заработной платы педагогических работников муниципальных учреждений дополнительного образования к средней заработной плате учителей по Мурманской области</w:t>
            </w:r>
            <w:r>
              <w:rPr>
                <w:highlight w:val="yellow"/>
                <w:lang w:eastAsia="en-US"/>
              </w:rPr>
            </w:r>
            <w:r>
              <w:rPr>
                <w:highlight w:val="yellow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процент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28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7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2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trike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Отдел образования</w:t>
            </w:r>
            <w:r>
              <w:rPr>
                <w:rFonts w:ascii="Times New Roman" w:hAnsi="Times New Roman"/>
                <w:strike/>
                <w:sz w:val="18"/>
                <w:szCs w:val="18"/>
              </w:rPr>
            </w:r>
            <w:r>
              <w:rPr>
                <w:rFonts w:ascii="Times New Roman" w:hAnsi="Times New Roman"/>
                <w:strike/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4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0.8.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728" w:type="dxa"/>
            <w:textDirection w:val="lrTb"/>
            <w:noWrap w:val="false"/>
          </w:tcPr>
          <w:p>
            <w:pPr>
              <w:pStyle w:val="948"/>
              <w:ind w:left="0"/>
              <w:jc w:val="both"/>
              <w:tabs>
                <w:tab w:val="left" w:pos="317" w:leader="none"/>
              </w:tabs>
              <w:rPr>
                <w:lang w:eastAsia="en-US"/>
              </w:rPr>
            </w:pPr>
            <w:r>
              <w:rPr>
                <w:lang w:eastAsia="en-US"/>
              </w:rPr>
              <w:t xml:space="preserve">Доля </w:t>
            </w:r>
            <w:r>
              <w:rPr>
                <w:lang w:eastAsia="en-US"/>
              </w:rPr>
              <w:t xml:space="preserve">учреждений</w:t>
            </w:r>
            <w:r>
              <w:rPr>
                <w:lang w:eastAsia="en-US"/>
              </w:rPr>
              <w:t xml:space="preserve"> системы образования, в которых реализованы запланированные мероприятия, направленные на обеспечение материально-технической базы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процент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28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7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2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trike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Отдел образования</w:t>
            </w:r>
            <w:r>
              <w:rPr>
                <w:rFonts w:ascii="Times New Roman" w:hAnsi="Times New Roman"/>
                <w:strike/>
                <w:sz w:val="18"/>
                <w:szCs w:val="18"/>
              </w:rPr>
            </w:r>
            <w:r>
              <w:rPr>
                <w:rFonts w:ascii="Times New Roman" w:hAnsi="Times New Roman"/>
                <w:strike/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4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0.9.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728" w:type="dxa"/>
            <w:textDirection w:val="lrTb"/>
            <w:noWrap w:val="false"/>
          </w:tcPr>
          <w:p>
            <w:pPr>
              <w:pStyle w:val="948"/>
              <w:ind w:left="0"/>
              <w:jc w:val="both"/>
              <w:tabs>
                <w:tab w:val="left" w:pos="317" w:leader="none"/>
              </w:tabs>
              <w:rPr>
                <w:lang w:eastAsia="en-US"/>
              </w:rPr>
            </w:pPr>
            <w:r>
              <w:rPr>
                <w:lang w:eastAsia="en-US"/>
              </w:rPr>
              <w:t xml:space="preserve">Доля детей - сирот и детей, оставшихся без попечения родителей, устроенные в замещающие семьи, в общем количестве детей - сирот и детей, оставшихся без попечения родителей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процент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28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7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2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Отдел образования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4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1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gridSpan w:val="1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235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left" w:pos="253" w:leader="none"/>
              </w:tabs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Направление (п</w:t>
            </w: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одпрограмма)</w:t>
            </w: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 1.</w:t>
            </w: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b/>
                <w:u w:val="single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/>
                <w:b/>
                <w:u w:val="single"/>
                <w:lang w:eastAsia="ru-RU"/>
              </w:rPr>
              <w:t xml:space="preserve">Развитие муниципальных учреждений образования</w:t>
            </w:r>
            <w:r>
              <w:rPr>
                <w:rFonts w:ascii="Times New Roman" w:hAnsi="Times New Roman" w:eastAsia="Times New Roman"/>
                <w:b/>
                <w:u w:val="single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 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  <w:p>
            <w:pPr>
              <w:jc w:val="both"/>
              <w:spacing w:after="0" w:line="240" w:lineRule="auto"/>
              <w:tabs>
                <w:tab w:val="left" w:pos="247" w:leader="none"/>
                <w:tab w:val="left" w:pos="8518" w:leader="none"/>
              </w:tabs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Цель: </w:t>
            </w:r>
            <w:r>
              <w:rPr>
                <w:rFonts w:ascii="Times New Roman" w:hAnsi="Times New Roman" w:eastAsia="Times New Roman"/>
                <w:lang w:eastAsia="ru-RU"/>
              </w:rPr>
              <w:t xml:space="preserve">Э</w:t>
            </w:r>
            <w:r>
              <w:rPr>
                <w:rFonts w:ascii="Times New Roman" w:hAnsi="Times New Roman" w:eastAsia="Times New Roman"/>
                <w:lang w:eastAsia="ru-RU"/>
              </w:rPr>
              <w:t xml:space="preserve">ффективн</w:t>
            </w:r>
            <w:r>
              <w:rPr>
                <w:rFonts w:ascii="Times New Roman" w:hAnsi="Times New Roman" w:eastAsia="Times New Roman"/>
                <w:lang w:eastAsia="ru-RU"/>
              </w:rPr>
              <w:t xml:space="preserve">ая </w:t>
            </w:r>
            <w:r>
              <w:rPr>
                <w:rFonts w:ascii="Times New Roman" w:hAnsi="Times New Roman" w:eastAsia="Times New Roman"/>
                <w:lang w:eastAsia="ru-RU"/>
              </w:rPr>
              <w:t xml:space="preserve">организаци</w:t>
            </w:r>
            <w:r>
              <w:rPr>
                <w:rFonts w:ascii="Times New Roman" w:hAnsi="Times New Roman" w:eastAsia="Times New Roman"/>
                <w:lang w:eastAsia="ru-RU"/>
              </w:rPr>
              <w:t xml:space="preserve">я</w:t>
            </w:r>
            <w:r>
              <w:rPr>
                <w:rFonts w:ascii="Times New Roman" w:hAnsi="Times New Roman" w:eastAsia="Times New Roman"/>
                <w:lang w:eastAsia="ru-RU"/>
              </w:rPr>
              <w:t xml:space="preserve"> предоставления общедоступного бесплатного дошкольного, общего и дополнительного образования детей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</w:tr>
      <w:tr>
        <w:tblPrEx/>
        <w:trPr/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4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1.1.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72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Доля обучающихся, обеспеченных бесплатным питанием в образовательных организациях, в общей численности обучающихся, имеющих право на обеспечение бесплатным питанием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9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процент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28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77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28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4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2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34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75" w:type="dxa"/>
            <w:textDirection w:val="lrTb"/>
            <w:noWrap w:val="false"/>
          </w:tcPr>
          <w:p>
            <w:pPr>
              <w:jc w:val="center"/>
              <w:rPr>
                <w:strike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Отдел образования</w:t>
            </w:r>
            <w:r>
              <w:rPr>
                <w:strike/>
              </w:rPr>
            </w:r>
            <w:r>
              <w:rPr>
                <w:strike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4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1.2 .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72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Доля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общеобразовательных учреждений, здания которых находятся в аварийном состоянии и (или) требуют капитального ремонта, в общем количестве муниципальных общеобразовательных учреждений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9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процент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28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(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-1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)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77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28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9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4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9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2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34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75" w:type="dxa"/>
            <w:textDirection w:val="lrTb"/>
            <w:noWrap w:val="false"/>
          </w:tcPr>
          <w:p>
            <w:pPr>
              <w:jc w:val="center"/>
              <w:rPr>
                <w:strike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Отдел образования</w:t>
            </w:r>
            <w:r>
              <w:rPr>
                <w:strike/>
              </w:rPr>
            </w:r>
            <w:r>
              <w:rPr>
                <w:strike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4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1.3.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72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Доля детей, родители которых воспользовались правом получения компенсации части родительской платы в о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бщей численности детей, родителям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которых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назначена компенсация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части родительской платы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9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процент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28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77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28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4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2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34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trike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Отдел образования </w:t>
            </w:r>
            <w:r>
              <w:rPr>
                <w:rFonts w:ascii="Times New Roman" w:hAnsi="Times New Roman" w:eastAsia="Times New Roman"/>
                <w:strike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trike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4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1.4.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72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Доля педагогических работников, прошедших повышение квалификации, от общего числа педагогических работников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9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процент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28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  <w:t xml:space="preserve">1</w:t>
            </w:r>
            <w:r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77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38,18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28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37,50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4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37,6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2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37,7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34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37,9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75" w:type="dxa"/>
            <w:textDirection w:val="lrTb"/>
            <w:noWrap w:val="false"/>
          </w:tcPr>
          <w:p>
            <w:pPr>
              <w:jc w:val="center"/>
              <w:rPr>
                <w:strike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Отдел образования</w:t>
            </w:r>
            <w:r>
              <w:rPr>
                <w:strike/>
              </w:rPr>
            </w:r>
            <w:r>
              <w:rPr>
                <w:strike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4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.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auto" w:sz="4" w:space="0"/>
            </w:tcBorders>
            <w:tcW w:w="472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Доля детей в возрасте от 5 до 18 лет, использующих сертификаты дополнительного образования в статусе сертификатов персонифицированного  финансирования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000000" w:sz="6" w:space="0"/>
            </w:tcBorders>
            <w:tcW w:w="1139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процент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auto" w:sz="4" w:space="0"/>
            </w:tcBorders>
            <w:tcW w:w="1528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  <w:t xml:space="preserve">1</w:t>
            </w:r>
            <w:r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auto" w:sz="4" w:space="0"/>
            </w:tcBorders>
            <w:tcW w:w="977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6,4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000000" w:sz="6" w:space="0"/>
            </w:tcBorders>
            <w:tcW w:w="1028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6,5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4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6,6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2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6,7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34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6,7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75" w:type="dxa"/>
            <w:textDirection w:val="lrTb"/>
            <w:noWrap w:val="false"/>
          </w:tcPr>
          <w:p>
            <w:pPr>
              <w:jc w:val="center"/>
              <w:rPr>
                <w:strike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Отдел образования</w:t>
            </w:r>
            <w:r>
              <w:rPr>
                <w:strike/>
              </w:rPr>
            </w:r>
            <w:r>
              <w:rPr>
                <w:strike/>
              </w:rPr>
            </w:r>
          </w:p>
        </w:tc>
      </w:tr>
      <w:tr>
        <w:tblPrEx/>
        <w:trPr>
          <w:trHeight w:val="543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4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1.6.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auto" w:sz="4" w:space="0"/>
            </w:tcBorders>
            <w:tcW w:w="472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Количество объектов дошкольного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и общего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образования, в отношении которых осуществлено строительство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проведен капитальный ремонт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auto" w:sz="4" w:space="0"/>
            </w:tcBorders>
            <w:tcW w:w="113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е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ди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ница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auto" w:sz="4" w:space="0"/>
            </w:tcBorders>
            <w:tcW w:w="152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auto" w:sz="4" w:space="0"/>
            </w:tcBorders>
            <w:tcW w:w="9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auto" w:sz="4" w:space="0"/>
            </w:tcBorders>
            <w:tcW w:w="103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auto" w:sz="4" w:space="0"/>
            </w:tcBorders>
            <w:tcW w:w="10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auto" w:sz="4" w:space="0"/>
            </w:tcBorders>
            <w:tcW w:w="107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</w:r>
          </w:p>
        </w:tc>
        <w:tc>
          <w:tcPr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auto" w:sz="4" w:space="0"/>
            </w:tcBorders>
            <w:tcW w:w="10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000000" w:sz="6" w:space="0"/>
            </w:tcBorders>
            <w:tcW w:w="1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МБУ «РЭС»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МБОУ СОШ № 5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4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gridSpan w:val="1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23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u w:val="single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Направление </w:t>
            </w: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(подпрограмма) </w:t>
            </w: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b/>
                <w:u w:val="single"/>
                <w:lang w:eastAsia="ru-RU"/>
              </w:rPr>
              <w:t xml:space="preserve">«Положение детей - сирот в современном обществе»</w:t>
            </w:r>
            <w:r>
              <w:rPr>
                <w:rFonts w:ascii="Times New Roman" w:hAnsi="Times New Roman" w:eastAsia="Times New Roman"/>
                <w:b/>
                <w:u w:val="single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u w:val="single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Цель: Социальная адаптация детей - сирот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/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4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2.1.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72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Доля обеспеченных жилыми помещениями детей - сирот и детей, оставшихся без попечения родителей в общем объеме нуждающихся в таких помещениях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9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процент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28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77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28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4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2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34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Отдел образования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blPrEx/>
        <w:trPr/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4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2.2.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72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Доля детей - сирот и детей, оставшихся без попечения родителей,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которым был осуществлен текущий  ремонт жилого помещения, в общем объеме нуждающихся в таком ремонте согласно списку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9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процент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28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77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28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4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2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34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Отдел образования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</w:tbl>
    <w:p>
      <w:pPr>
        <w:pStyle w:val="910"/>
        <w:jc w:val="both"/>
        <w:spacing w:before="0" w:beforeAutospacing="0" w:after="0" w:afterAutospacing="0"/>
        <w:rPr>
          <w:sz w:val="18"/>
          <w:szCs w:val="18"/>
        </w:rPr>
      </w:pPr>
      <w:r/>
      <w:bookmarkStart w:id="2" w:name="p125"/>
      <w:r/>
      <w:bookmarkEnd w:id="2"/>
      <w:r>
        <w:rPr>
          <w:sz w:val="18"/>
          <w:szCs w:val="18"/>
          <w:vertAlign w:val="superscript"/>
        </w:rPr>
        <w:t xml:space="preserve">1 </w:t>
      </w:r>
      <w:r>
        <w:rPr>
          <w:sz w:val="18"/>
          <w:szCs w:val="18"/>
        </w:rPr>
        <w:t xml:space="preserve">Направленность показателя обозначается: 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pStyle w:val="910"/>
        <w:contextualSpacing/>
        <w:ind w:firstLine="284"/>
        <w:jc w:val="both"/>
        <w:spacing w:before="168" w:beforeAutospacing="0" w:after="0" w:afterAutospacing="0"/>
        <w:rPr>
          <w:sz w:val="18"/>
          <w:szCs w:val="18"/>
        </w:rPr>
      </w:pPr>
      <w:r>
        <w:rPr>
          <w:sz w:val="18"/>
          <w:szCs w:val="18"/>
        </w:rPr>
        <w:t xml:space="preserve">1 </w:t>
      </w:r>
      <w:r>
        <w:rPr>
          <w:sz w:val="18"/>
          <w:szCs w:val="18"/>
        </w:rPr>
        <w:t xml:space="preserve">–</w:t>
      </w:r>
      <w:r>
        <w:rPr>
          <w:sz w:val="18"/>
          <w:szCs w:val="18"/>
        </w:rPr>
        <w:t xml:space="preserve"> направленность на рост; 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pStyle w:val="910"/>
        <w:contextualSpacing/>
        <w:ind w:firstLine="284"/>
        <w:jc w:val="both"/>
        <w:spacing w:before="168" w:beforeAutospacing="0" w:after="0" w:afterAutospacing="0"/>
        <w:rPr>
          <w:sz w:val="18"/>
          <w:szCs w:val="18"/>
        </w:rPr>
      </w:pPr>
      <w:r>
        <w:rPr>
          <w:sz w:val="18"/>
          <w:szCs w:val="18"/>
        </w:rPr>
        <w:t xml:space="preserve">(-1) </w:t>
      </w:r>
      <w:r>
        <w:rPr>
          <w:sz w:val="18"/>
          <w:szCs w:val="18"/>
        </w:rPr>
        <w:t xml:space="preserve">–</w:t>
      </w:r>
      <w:r>
        <w:rPr>
          <w:sz w:val="18"/>
          <w:szCs w:val="18"/>
        </w:rPr>
        <w:t xml:space="preserve"> направленность на снижение; 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pStyle w:val="910"/>
        <w:numPr>
          <w:ilvl w:val="0"/>
          <w:numId w:val="16"/>
        </w:numPr>
        <w:contextualSpacing/>
        <w:jc w:val="both"/>
        <w:spacing w:before="168" w:beforeAutospacing="0" w:after="0" w:afterAutospacing="0"/>
        <w:rPr>
          <w:sz w:val="18"/>
          <w:szCs w:val="18"/>
        </w:rPr>
      </w:pPr>
      <w:r>
        <w:rPr>
          <w:sz w:val="18"/>
          <w:szCs w:val="18"/>
        </w:rPr>
        <w:t xml:space="preserve">–</w:t>
      </w:r>
      <w:r>
        <w:rPr>
          <w:sz w:val="18"/>
          <w:szCs w:val="18"/>
        </w:rPr>
        <w:t xml:space="preserve"> направленность на достижение конкретного значения. 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firstLine="709"/>
        <w:jc w:val="center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</w:r>
      <w:r>
        <w:rPr>
          <w:rFonts w:ascii="Times New Roman" w:hAnsi="Times New Roman"/>
          <w:sz w:val="24"/>
          <w:szCs w:val="24"/>
          <w:u w:val="single"/>
        </w:rPr>
      </w:r>
      <w:r>
        <w:rPr>
          <w:rFonts w:ascii="Times New Roman" w:hAnsi="Times New Roman"/>
          <w:sz w:val="24"/>
          <w:szCs w:val="24"/>
          <w:u w:val="single"/>
        </w:rPr>
      </w:r>
    </w:p>
    <w:p>
      <w:pPr>
        <w:ind w:firstLine="0"/>
        <w:jc w:val="center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  <w:u w:val="single"/>
        </w:rPr>
        <w:suppressLineNumbers w:val="0"/>
      </w:pPr>
      <w:r>
        <w:rPr>
          <w:rFonts w:ascii="Times New Roman" w:hAnsi="Times New Roman"/>
          <w:sz w:val="24"/>
          <w:szCs w:val="24"/>
          <w:u w:val="single"/>
        </w:rPr>
      </w:r>
      <w:r>
        <w:rPr>
          <w:rFonts w:ascii="Times New Roman" w:hAnsi="Times New Roman"/>
          <w:sz w:val="24"/>
          <w:szCs w:val="24"/>
          <w:u w:val="single"/>
        </w:rPr>
      </w:r>
      <w:r>
        <w:rPr>
          <w:rFonts w:ascii="Times New Roman" w:hAnsi="Times New Roman"/>
          <w:sz w:val="24"/>
          <w:szCs w:val="24"/>
          <w:u w:val="single"/>
        </w:rPr>
      </w:r>
    </w:p>
    <w:p>
      <w:pPr>
        <w:pStyle w:val="900"/>
        <w:ind w:firstLine="0"/>
        <w:jc w:val="center"/>
        <w:spacing w:after="0" w:line="240" w:lineRule="auto"/>
        <w:rPr>
          <w:rFonts w:ascii="Times New Roman" w:hAnsi="Times New Roman" w:eastAsia="Times New Roman"/>
          <w:b/>
          <w:sz w:val="16"/>
          <w:szCs w:val="16"/>
        </w:rPr>
        <w:suppressLineNumbers w:val="0"/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3. 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Перечень структурных элементов муниципальной программы</w:t>
      </w:r>
      <w:r>
        <w:rPr>
          <w:rFonts w:ascii="Times New Roman" w:hAnsi="Times New Roman" w:eastAsia="Times New Roman"/>
          <w:b/>
          <w:sz w:val="16"/>
          <w:szCs w:val="16"/>
        </w:rPr>
      </w:r>
      <w:r>
        <w:rPr>
          <w:rFonts w:ascii="Times New Roman" w:hAnsi="Times New Roman" w:eastAsia="Times New Roman"/>
          <w:b/>
          <w:sz w:val="16"/>
          <w:szCs w:val="16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sz w:val="16"/>
          <w:szCs w:val="16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  </w:t>
      </w:r>
      <w:r>
        <w:rPr>
          <w:rFonts w:ascii="Times New Roman" w:hAnsi="Times New Roman" w:eastAsia="Times New Roman"/>
          <w:sz w:val="16"/>
          <w:szCs w:val="16"/>
          <w:lang w:eastAsia="ru-RU"/>
        </w:rPr>
      </w:r>
      <w:r>
        <w:rPr>
          <w:rFonts w:ascii="Times New Roman" w:hAnsi="Times New Roman" w:eastAsia="Times New Roman"/>
          <w:sz w:val="16"/>
          <w:szCs w:val="16"/>
          <w:lang w:eastAsia="ru-RU"/>
        </w:rPr>
      </w:r>
    </w:p>
    <w:tbl>
      <w:tblPr>
        <w:tblW w:w="14884" w:type="dxa"/>
        <w:tblInd w:w="-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1"/>
        <w:gridCol w:w="1841"/>
        <w:gridCol w:w="992"/>
        <w:gridCol w:w="851"/>
        <w:gridCol w:w="413"/>
        <w:gridCol w:w="1146"/>
        <w:gridCol w:w="1701"/>
        <w:gridCol w:w="1134"/>
        <w:gridCol w:w="1701"/>
        <w:gridCol w:w="1696"/>
        <w:gridCol w:w="1423"/>
        <w:gridCol w:w="1275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1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№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/п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09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Направления (подпрограммы), комплексы процессных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и(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или) проектных мероприятий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4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Срок выполнения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Соисполнители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22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Связь с показателями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Программы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(наименования показателей)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84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1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gridSpan w:val="1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3" w:type="dxa"/>
            <w:vAlign w:val="center"/>
            <w:textDirection w:val="lrTb"/>
            <w:noWrap w:val="false"/>
          </w:tcPr>
          <w:p>
            <w:pPr>
              <w:spacing w:after="0" w:line="288" w:lineRule="atLeast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Направление </w:t>
            </w: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(подпрограмма) </w:t>
            </w: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b/>
                <w:u w:val="single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/>
                <w:b/>
                <w:u w:val="single"/>
                <w:lang w:eastAsia="ru-RU"/>
              </w:rPr>
              <w:t xml:space="preserve">Развитие муниципальных учреждений образования</w:t>
            </w:r>
            <w:r>
              <w:rPr>
                <w:rFonts w:ascii="Times New Roman" w:hAnsi="Times New Roman" w:eastAsia="Times New Roman"/>
                <w:b/>
                <w:u w:val="single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</w:tr>
      <w:tr>
        <w:tblPrEx/>
        <w:trPr>
          <w:trHeight w:val="564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1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1.1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097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i/>
                <w:sz w:val="20"/>
                <w:szCs w:val="20"/>
                <w:lang w:eastAsia="ru-RU"/>
              </w:rPr>
              <w:t xml:space="preserve">Комплекс процессных мероприятий 1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«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Дошкольное и общее образование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»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46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2026 - 2028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Отдел образования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22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0.1.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Доступность дошкольного образования для детей в возрасте от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до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лет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;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shd w:val="clear" w:color="auto" w:fill="ffffff" w:themeFill="background1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0.2.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Доля выпускников общеобразовательных организаций, не получивших аттестат о среднем (полном) образовании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;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shd w:val="clear" w:color="auto" w:fill="ffffff" w:themeFill="background1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0.5.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Отношение среднемесячной заработной платы педагогических работников муниципальных дошкольных образовательных учреждений к средней заработной плате в общем образовании по Мурманской области;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shd w:val="clear" w:color="auto" w:fill="ffffff" w:themeFill="background1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0.6.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Отношение среднемесячной заработной платы педагогических работников муниципальных общеобразовательных учреждений к среднемесячной начисленной заработной плате на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ё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мных работников в организациях, у индивидуальных предпринимателей и физических лиц по Мурманской области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(среднемесячному доходу от трудовой деятельности)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shd w:val="clear" w:color="auto" w:fill="ffffff" w:themeFill="background1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1.4. Доля педагогических работников, прошедших повышение квалификации, от общего числа педагогических работников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58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1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1.2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097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Комплекс процессных мероприятий 2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Дополнительное образование и социализация детей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»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46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2026 - 2028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Отдел образования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trike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trike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trike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trike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22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0.3.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 Доля детей в возрасте от 5 до 18 лет, охваченных дополнительным образованием, в общей численности детей в возрасте от 5 до 18 лет;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0.7.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 Отношение среднемесячной заработной платы педагогических работников муниципальных учреждений дополнительного образования к средней заработной плате учителей по Мурманской области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;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.5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. Доля детей в возрасте от 5 до 18 лет, использующих сертификаты дополнительного образования в статусе сертификатов персонифицированного  финансирования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58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1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1.3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097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Комплекс процессных мероприятий 3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«Реализация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регионального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проекта «Педагоги и наставники»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46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2026 - 2028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Отдел образования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trike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trike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trike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trike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22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0.2.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Доля выпускников общеобразовательных организаций, не получивших аттестат о среднем (полном) образовании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;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0.6.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Отношение среднемесячной заработной платы педагогических работников муниципальных общеобразовательных учреждений к среднемесячной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начисленной заработной плате наё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мных работников в организациях, у индивидуальных предпринимателей и физических лиц по Мурманской области (среднемесячному доходу от трудовой деятельности)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;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1.4. Доля педагогических работников, прошедших повышение квалификации, от общего числа педагогических работников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58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1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1.4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097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Комплекс процессных мероприятий 4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«Социальная поддержка в сфере образования»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46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2026 - 2028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Отдел образования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eeece1" w:themeFill="background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229" w:type="dxa"/>
            <w:textDirection w:val="lrTb"/>
            <w:noWrap w:val="false"/>
          </w:tcPr>
          <w:p>
            <w:pPr>
              <w:jc w:val="both"/>
              <w:spacing w:after="0" w:line="240" w:lineRule="auto"/>
              <w:shd w:val="clear" w:color="auto" w:fill="ffffff" w:themeFill="background1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. 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Доступность дошкольного образования для детей в возрасте от 1 до 6 лет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;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shd w:val="clear" w:color="auto" w:fill="ffffff" w:themeFill="background1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0.4.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Доля отдохнувших и оздоровленных детей и подростков в оздоровительных учреждениях и на базе образовательных организаций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shd w:val="clear" w:color="auto" w:fill="ffffff" w:themeFill="background1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1.1. 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Доля обучающихся, обеспеченных бесплатным питанием в образовательных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организациях, в общей численности обучающихся, имеющих право на обеспечение бесплатным питанием;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shd w:val="clear" w:color="auto" w:fill="ffffff" w:themeFill="background1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1.3. 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Доля детей, родители которых воспользовались правом получения компенсации части родительской платы в о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бщей численности детей, родителям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которых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назначена компенсация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части родительской платы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58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1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1.5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097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Комплекс процессных мероприятий 5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«Комфортная и безопасная образовательная среда»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46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2026 - 2028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Отдел образования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22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0.8. 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Доля организаций системы образования, в которых реализованы запланированные мероприятия, направленные на обеспечение материально-технической базы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1.2. Доля общеобразовательных учреждений, здания которых находятся в аварийном состоянии и (или) требуют капитального ремонта, в общем количестве муниципальных общеобразовательных учреждений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58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1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1.6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097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Комплекс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проектных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мероприятий 6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«Реализация регионально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го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про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екта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«Все лучшее детям»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46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2027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МБОУ СОШ № 5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22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.8. Доля организаций системы образования, в которых реализованы запланированные мероприятия, направленные на обеспечение материально-технической базы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1.2. Доля общеобразовательных учреждений, здания которых находятся в аварийном состоянии и (или) требуют капитального ремонта, в общем количестве муниципальных общеобразовательных учреждений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;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1.6.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Количество объектов дошкольного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и общего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образования, в отношении которых осуществлено строительство,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проведен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капитальный ремонт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58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1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1.7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097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Комплекс проектных мероприятий 7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«Обновление образовательной инфраструктуры»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46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МБУ «РЭС»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22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.1. Доступность дошкольного образования для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детей в возрасте от 1 до 6 лет.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1.6. 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Количество объектов дошкольного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и общего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образования, в отношении которых осуществлено строительство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,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проведен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капитальный ремонт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58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1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gridSpan w:val="1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3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u w:val="single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u w:val="single"/>
                <w:lang w:eastAsia="ru-RU"/>
              </w:rPr>
              <w:t xml:space="preserve">Направление </w:t>
            </w:r>
            <w:r>
              <w:rPr>
                <w:rFonts w:ascii="Times New Roman" w:hAnsi="Times New Roman" w:eastAsia="Times New Roman"/>
                <w:b/>
                <w:u w:val="single"/>
                <w:lang w:eastAsia="ru-RU"/>
              </w:rPr>
              <w:t xml:space="preserve">(подпрограмма) </w:t>
            </w:r>
            <w:r>
              <w:rPr>
                <w:rFonts w:ascii="Times New Roman" w:hAnsi="Times New Roman" w:eastAsia="Times New Roman"/>
                <w:b/>
                <w:u w:val="single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/>
                <w:b/>
                <w:u w:val="single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/>
                <w:b/>
                <w:u w:val="single"/>
                <w:lang w:eastAsia="ru-RU"/>
              </w:rPr>
              <w:t xml:space="preserve"> «Положение детей-сирот в современном обществе»</w:t>
            </w:r>
            <w:r>
              <w:rPr>
                <w:rFonts w:ascii="Times New Roman" w:hAnsi="Times New Roman" w:eastAsia="Times New Roman"/>
                <w:u w:val="single"/>
                <w:lang w:eastAsia="ru-RU"/>
              </w:rPr>
            </w:r>
            <w:r>
              <w:rPr>
                <w:rFonts w:ascii="Times New Roman" w:hAnsi="Times New Roman" w:eastAsia="Times New Roman"/>
                <w:u w:val="single"/>
                <w:lang w:eastAsia="ru-RU"/>
              </w:rPr>
            </w:r>
          </w:p>
        </w:tc>
      </w:tr>
      <w:tr>
        <w:tblPrEx/>
        <w:trPr>
          <w:trHeight w:val="558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1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2.1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097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К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омплекс процессных мероприятий 8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«Защита прав и интересов детей -сирот, детей, оставшихся без попечения родителей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46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2026 - 2028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Отдел образования,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МБУ ДО ДДТ № 2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22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0.9.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Доля детей - сирот и детей, оставшихся без попечения родителей, устроенные в замещающие семьи, в общем количестве детей - сирот и детей, оставшихся без попечения родителей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2.1 Доля обеспеченных жилыми помещениями детей - сирот и детей, оставшихся без попечения родителей в общем объеме нуждающихся в таких помещениях;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2.2. Доля детей - сирот и детей, оставшихся без попечения родителей, которым был осуществлен текущий  ремонт жилого помещения, в общем объеме нуждающихся в таком ремонте согласно списку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600"/>
        </w:trPr>
        <w:tc>
          <w:tcPr>
            <w:gridSpan w:val="12"/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148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sz w:val="32"/>
                <w:szCs w:val="32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  <w:t xml:space="preserve">4. </w:t>
            </w:r>
            <w:r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  <w:t xml:space="preserve">Перечень объектов капитального строительства</w:t>
            </w:r>
            <w:r>
              <w:rPr>
                <w:rFonts w:ascii="Times New Roman" w:hAnsi="Times New Roman" w:eastAsia="Times New Roman"/>
                <w:b/>
                <w:bCs/>
                <w:sz w:val="32"/>
                <w:szCs w:val="32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b/>
                <w:bCs/>
                <w:sz w:val="32"/>
                <w:szCs w:val="32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sz w:val="32"/>
                <w:szCs w:val="32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sz w:val="32"/>
                <w:szCs w:val="32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sz w:val="32"/>
                <w:szCs w:val="32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sz w:val="32"/>
                <w:szCs w:val="32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sz w:val="32"/>
                <w:szCs w:val="32"/>
                <w:lang w:eastAsia="ru-RU"/>
              </w:rPr>
            </w:r>
          </w:p>
        </w:tc>
      </w:tr>
      <w:tr>
        <w:tblPrEx/>
        <w:trPr>
          <w:trHeight w:val="134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1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  <w:t xml:space="preserve">№ </w:t>
            </w:r>
            <w:r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  <w:t xml:space="preserve">п</w:t>
            </w:r>
            <w:r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  <w:t xml:space="preserve">/п</w:t>
            </w:r>
            <w:r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84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  <w:t xml:space="preserve">Наименование объекта капитального строительства</w:t>
            </w:r>
            <w:r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99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  <w:t xml:space="preserve">Соисполнитель, заказчик</w:t>
            </w:r>
            <w:r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85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  <w:t xml:space="preserve">Проектная мощность</w:t>
            </w:r>
            <w:r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  <w:t xml:space="preserve">Сроки и этапы выполнения работ</w:t>
            </w:r>
            <w:r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  <w:t xml:space="preserve">Общая стоимость объекта, рублей</w:t>
            </w:r>
            <w:r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000000" w:sz="4" w:space="0"/>
            </w:tcBorders>
            <w:tcW w:w="609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  <w:t xml:space="preserve">Объем</w:t>
            </w:r>
            <w:r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  <w:t xml:space="preserve">ы и источники </w:t>
            </w:r>
            <w:r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  <w:t xml:space="preserve">финансирования, </w:t>
            </w:r>
            <w:r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  <w:t xml:space="preserve">рублей</w:t>
            </w:r>
            <w:r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67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1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84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85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  <w:t xml:space="preserve">Год/Источ</w:t>
            </w:r>
            <w:r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  <w:t xml:space="preserve">ник</w:t>
            </w:r>
            <w:r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2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  <w:t xml:space="preserve">2027</w:t>
            </w:r>
            <w:r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  <w:t xml:space="preserve">2028</w:t>
            </w:r>
            <w:r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51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right w:val="single" w:color="auto" w:sz="4" w:space="0"/>
            </w:tcBorders>
            <w:tcW w:w="71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highlight w:val="green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/>
                <w:b/>
                <w:bCs/>
                <w:highlight w:val="green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highlight w:val="green"/>
                <w:lang w:eastAsia="ru-RU"/>
              </w:rPr>
            </w:r>
          </w:p>
        </w:tc>
        <w:tc>
          <w:tcPr>
            <w:gridSpan w:val="6"/>
            <w:shd w:val="clear" w:color="auto" w:fill="auto"/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6944" w:type="dxa"/>
            <w:vAlign w:val="center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  <w:t xml:space="preserve">Муниципальная программа «Образование» на 2026 </w:t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  <w:t xml:space="preserve">–</w:t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  <w:t xml:space="preserve"> 2027 года</w:t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1 427 197 183,04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1 353 817 358,47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2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73 379 824,57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</w:r>
          </w:p>
        </w:tc>
      </w:tr>
      <w:tr>
        <w:tblPrEx/>
        <w:trPr>
          <w:trHeight w:val="351"/>
        </w:trPr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71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highlight w:val="green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highlight w:val="green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highlight w:val="green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highlight w:val="green"/>
                <w:lang w:eastAsia="ru-RU"/>
              </w:rPr>
            </w:r>
          </w:p>
        </w:tc>
        <w:tc>
          <w:tcPr>
            <w:gridSpan w:val="6"/>
            <w:shd w:val="clear" w:color="auto" w:fill="auto"/>
            <w:tcBorders>
              <w:left w:val="none" w:color="000000" w:sz="4" w:space="0"/>
              <w:right w:val="single" w:color="auto" w:sz="4" w:space="0"/>
            </w:tcBorders>
            <w:tcW w:w="694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31 373 095,74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135 304,41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2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31 237 791,33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</w:r>
          </w:p>
        </w:tc>
      </w:tr>
      <w:tr>
        <w:tblPrEx/>
        <w:trPr>
          <w:trHeight w:val="351"/>
        </w:trPr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71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highlight w:val="green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highlight w:val="green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highlight w:val="green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highlight w:val="green"/>
                <w:lang w:eastAsia="ru-RU"/>
              </w:rPr>
            </w:r>
          </w:p>
        </w:tc>
        <w:tc>
          <w:tcPr>
            <w:gridSpan w:val="6"/>
            <w:shd w:val="clear" w:color="auto" w:fill="auto"/>
            <w:tcBorders>
              <w:left w:val="none" w:color="000000" w:sz="4" w:space="0"/>
              <w:right w:val="single" w:color="auto" w:sz="4" w:space="0"/>
            </w:tcBorders>
            <w:tcW w:w="694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2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</w:r>
          </w:p>
        </w:tc>
      </w:tr>
      <w:tr>
        <w:tblPrEx/>
        <w:trPr>
          <w:trHeight w:val="351"/>
        </w:trPr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71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highlight w:val="green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highlight w:val="green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highlight w:val="green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highlight w:val="green"/>
                <w:lang w:eastAsia="ru-RU"/>
              </w:rPr>
            </w:r>
          </w:p>
        </w:tc>
        <w:tc>
          <w:tcPr>
            <w:gridSpan w:val="6"/>
            <w:shd w:val="clear" w:color="auto" w:fill="auto"/>
            <w:tcBorders>
              <w:left w:val="none" w:color="000000" w:sz="4" w:space="0"/>
              <w:right w:val="single" w:color="auto" w:sz="4" w:space="0"/>
            </w:tcBorders>
            <w:tcW w:w="694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1 395 824 087,30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1 353 682 054,06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2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42 142 033,24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</w:r>
          </w:p>
        </w:tc>
      </w:tr>
      <w:tr>
        <w:tblPrEx/>
        <w:trPr>
          <w:trHeight w:val="351"/>
        </w:trPr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</w:p>
        </w:tc>
        <w:tc>
          <w:tcPr>
            <w:gridSpan w:val="6"/>
            <w:shd w:val="clear" w:color="auto" w:fill="auto"/>
            <w:tcBorders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694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2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</w:r>
          </w:p>
        </w:tc>
      </w:tr>
      <w:tr>
        <w:tblPrEx/>
        <w:trPr>
          <w:trHeight w:val="337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strike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strike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strike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strike/>
                <w:sz w:val="20"/>
                <w:szCs w:val="20"/>
                <w:lang w:eastAsia="ru-RU"/>
              </w:rPr>
            </w:r>
          </w:p>
        </w:tc>
        <w:tc>
          <w:tcPr>
            <w:gridSpan w:val="11"/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3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u w:val="single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  <w:t xml:space="preserve">Направление (подпрограмма) 1.  </w:t>
            </w:r>
            <w:r>
              <w:rPr>
                <w:rFonts w:ascii="Times New Roman" w:hAnsi="Times New Roman" w:eastAsia="Times New Roman"/>
                <w:b/>
                <w:bCs/>
                <w:u w:val="single"/>
                <w:lang w:eastAsia="ru-RU"/>
              </w:rPr>
              <w:t xml:space="preserve">«Развитие муниципальных учреждений образования»</w:t>
            </w:r>
            <w:r>
              <w:rPr>
                <w:rFonts w:ascii="Times New Roman" w:hAnsi="Times New Roman" w:eastAsia="Times New Roman"/>
                <w:b/>
                <w:bCs/>
                <w:u w:val="single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u w:val="single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</w:p>
        </w:tc>
      </w:tr>
      <w:tr>
        <w:tblPrEx/>
        <w:trPr>
          <w:gridAfter w:val="1"/>
          <w:trHeight w:val="31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  <w:t xml:space="preserve">1.1.</w:t>
            </w: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1" w:type="dxa"/>
            <w:vAlign w:val="center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Выполнение капитального ремонта кровли МБОУ СОШ № 5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МБОУ СОШ № 5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 ед.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2027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73 379 824,57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73 379 824,57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2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73 379 824,57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31 237 791,33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2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31 237 791,33</w:t>
            </w: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2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42 142 033,24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2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42 142 033,24</w:t>
            </w: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333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2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  <w:t xml:space="preserve">1.2.</w:t>
            </w: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841" w:type="dxa"/>
            <w:vAlign w:val="center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Выполнение работ по проектированию, строительству и вводу в эксплуатацию объе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кта капитального строительства «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Детский сад на 350 мест в </w:t>
              <w:br/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п.г.т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. Печенга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99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МБУ «РЭС»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85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350 мест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Работы основного периода: 01.01.2026-30.11.2026;          Пусконаладочные работы:   15.11.2026-30.11.2026;          Ввод объекта в эксплуатацию: (20.11.2026- 10.12.2026</w:t>
            </w:r>
            <w:r>
              <w:rPr>
                <w:rFonts w:ascii="Times New Roman" w:hAnsi="Times New Roman" w:eastAsia="Times New Roman"/>
                <w:sz w:val="18"/>
                <w:szCs w:val="18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1 032 434 517,58</w:t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1 032 434 517,58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1 032 434 517,58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2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84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85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103 197,37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103 197,37</w:t>
            </w: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2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84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85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2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84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85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1 032 331 320,21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1 032 331 320,21</w:t>
            </w: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2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1014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84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85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left="-250" w:firstLine="250"/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2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318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  <w:t xml:space="preserve">1.3.</w:t>
            </w: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841" w:type="dxa"/>
            <w:vAlign w:val="center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Разработка проектной документации и строительство здания детского сада на 250 мест в п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.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Корзуново</w:t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99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МБУ «РЭС»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85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250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мест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Работы основного периода: 01.01.2026-30.11.2026;           Пусконаладочные работы:    15.11.2026-30.11.2026;         Ввод объекта в эксплуатацию: 20.11.2026 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–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 10.12.2026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321 382 840,89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  <w:t xml:space="preserve">321 382 840,89</w:t>
            </w: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  <w:t xml:space="preserve">321 382 840,89</w:t>
            </w: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2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81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84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85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  <w:t xml:space="preserve">32 107,04</w:t>
            </w: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  <w:t xml:space="preserve">32 107,04</w:t>
            </w:r>
            <w:r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2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9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84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85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2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7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84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85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  <w:t xml:space="preserve">321 350 733,85</w:t>
            </w: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  <w:t xml:space="preserve">321 350 733,85</w:t>
            </w:r>
            <w:r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2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46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84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85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2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</w:tbl>
    <w:p>
      <w:pPr>
        <w:jc w:val="both"/>
        <w:spacing w:after="0" w:line="288" w:lineRule="atLeast"/>
        <w:rPr>
          <w:rFonts w:ascii="Times New Roman" w:hAnsi="Times New Roman" w:eastAsia="Times New Roman"/>
          <w:sz w:val="16"/>
          <w:szCs w:val="16"/>
          <w:lang w:eastAsia="ru-RU"/>
        </w:rPr>
      </w:pPr>
      <w:r>
        <w:rPr>
          <w:rFonts w:ascii="Times New Roman" w:hAnsi="Times New Roman" w:eastAsia="Times New Roman"/>
          <w:sz w:val="16"/>
          <w:szCs w:val="16"/>
          <w:lang w:eastAsia="ru-RU"/>
        </w:rPr>
      </w:r>
      <w:r>
        <w:rPr>
          <w:rFonts w:ascii="Times New Roman" w:hAnsi="Times New Roman" w:eastAsia="Times New Roman"/>
          <w:sz w:val="16"/>
          <w:szCs w:val="16"/>
          <w:lang w:eastAsia="ru-RU"/>
        </w:rPr>
      </w:r>
      <w:r>
        <w:rPr>
          <w:rFonts w:ascii="Times New Roman" w:hAnsi="Times New Roman" w:eastAsia="Times New Roman"/>
          <w:sz w:val="16"/>
          <w:szCs w:val="16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5.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1.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 Перечень мер финансовой поддержки в сфере реализации муниципальной программы 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tbl>
      <w:tblPr>
        <w:tblW w:w="1473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0"/>
        <w:gridCol w:w="3017"/>
        <w:gridCol w:w="2410"/>
        <w:gridCol w:w="3260"/>
        <w:gridCol w:w="2410"/>
        <w:gridCol w:w="3118"/>
      </w:tblGrid>
      <w:tr>
        <w:tblPrEx/>
        <w:trPr>
          <w:trHeight w:val="974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№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/п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0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Наименование меры финансовой поддержки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Цель предоставления финансовой поддержки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Нормативный правовой акт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Ответственный исполнитель, Соисполнитель, ответственный за предоставление меры финансовой поддержки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Связь с показателями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муниципальной программы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(наименования показателей)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1 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215" w:type="dxa"/>
            <w:vAlign w:val="center"/>
            <w:textDirection w:val="lrTb"/>
            <w:noWrap w:val="false"/>
          </w:tcPr>
          <w:p>
            <w:pPr>
              <w:spacing w:after="0" w:line="288" w:lineRule="atLeast"/>
              <w:rPr>
                <w:rFonts w:ascii="Times New Roman" w:hAnsi="Times New Roman" w:eastAsia="Times New Roman"/>
                <w:b/>
                <w:u w:val="single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u w:val="single"/>
                <w:lang w:eastAsia="ru-RU"/>
              </w:rPr>
              <w:t xml:space="preserve">Направление</w:t>
            </w:r>
            <w:r>
              <w:rPr>
                <w:rFonts w:ascii="Times New Roman" w:hAnsi="Times New Roman" w:eastAsia="Times New Roman"/>
                <w:b/>
                <w:u w:val="single"/>
                <w:lang w:eastAsia="ru-RU"/>
              </w:rPr>
              <w:t xml:space="preserve"> (подпрограмма)</w:t>
            </w:r>
            <w:r>
              <w:rPr>
                <w:rFonts w:ascii="Times New Roman" w:hAnsi="Times New Roman" w:eastAsia="Times New Roman"/>
                <w:b/>
                <w:u w:val="single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b/>
                <w:u w:val="single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/>
                <w:b/>
                <w:u w:val="single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/>
                <w:b/>
                <w:u w:val="single"/>
                <w:lang w:eastAsia="ru-RU"/>
              </w:rPr>
              <w:t xml:space="preserve"> «</w:t>
            </w:r>
            <w:r>
              <w:rPr>
                <w:rFonts w:ascii="Times New Roman" w:hAnsi="Times New Roman" w:eastAsia="Times New Roman"/>
                <w:b/>
                <w:u w:val="single"/>
                <w:lang w:eastAsia="ru-RU"/>
              </w:rPr>
              <w:t xml:space="preserve">Развитие муниципальных учреждений образования</w:t>
            </w:r>
            <w:r>
              <w:rPr>
                <w:rFonts w:ascii="Times New Roman" w:hAnsi="Times New Roman" w:eastAsia="Times New Roman"/>
                <w:b/>
                <w:u w:val="single"/>
                <w:lang w:eastAsia="ru-RU"/>
              </w:rPr>
              <w:t xml:space="preserve">» </w:t>
            </w:r>
            <w:r>
              <w:rPr>
                <w:rFonts w:ascii="Times New Roman" w:hAnsi="Times New Roman" w:eastAsia="Times New Roman"/>
                <w:b/>
                <w:u w:val="single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u w:val="single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3017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Предоставление субсидий в целях финансового обеспечения муниципального с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оциальн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ого заказа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Реализация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д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ополнительных общеразвивающих программ для детей, включенных в муниципальный социальный заказ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contextualSpacing/>
              <w:jc w:val="both"/>
              <w:spacing w:after="0" w:afterAutospacing="0" w:line="240" w:lineRule="auto"/>
              <w:widowControl w:val="off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Решение Совета депутатов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муниципального округа от 20.12.2024 № 515 (Приложение 7);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contextualSpacing/>
              <w:jc w:val="both"/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Приказ отдела образования администрации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муниципального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округа </w:t>
              <w:br/>
              <w:t xml:space="preserve">от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28.12.2024г. № 773/1                                «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Об утверждении муниципального социального заказа на оказание услуг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 социальной сфере на 2025 год и плановый период 2026 – 2027 годов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Печенгском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муниципальном округе»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  <w:p>
            <w:pPr>
              <w:jc w:val="both"/>
              <w:spacing w:after="0" w:afterAutospacing="0" w:line="240" w:lineRule="auto"/>
              <w:widowControl w:val="off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Отдел образования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3118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0.3.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Доля детей в возрасте от 5 до 18 лет, охваченных дополнительным образованием, в общей численности детей в возрасте от 5 до 18 лет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</w:tbl>
    <w:p>
      <w:pPr>
        <w:jc w:val="both"/>
        <w:spacing w:after="0" w:line="288" w:lineRule="atLeast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  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jc w:val="both"/>
        <w:spacing w:after="0" w:line="288" w:lineRule="atLeast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  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5.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2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. Перечень мер налогового регулирования (налоговых расходов) в сфере реализации 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муниципальной программы</w:t>
      </w:r>
      <w:bookmarkStart w:id="3" w:name="_GoBack"/>
      <w:r/>
      <w:bookmarkEnd w:id="3"/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both"/>
        <w:spacing w:after="0" w:line="288" w:lineRule="atLeast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  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tbl>
      <w:tblPr>
        <w:tblW w:w="14601" w:type="dxa"/>
        <w:tblInd w:w="-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9"/>
        <w:gridCol w:w="2552"/>
        <w:gridCol w:w="1276"/>
        <w:gridCol w:w="1275"/>
        <w:gridCol w:w="1134"/>
        <w:gridCol w:w="2410"/>
        <w:gridCol w:w="5245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№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/п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auto" w:sz="4" w:space="0"/>
            </w:tcBorders>
            <w:tcW w:w="255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Наименование меры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gridSpan w:val="3"/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000000" w:sz="6" w:space="0"/>
            </w:tcBorders>
            <w:tcW w:w="3685" w:type="dxa"/>
            <w:vAlign w:val="center"/>
            <w:textDirection w:val="lrTb"/>
            <w:noWrap w:val="false"/>
          </w:tcPr>
          <w:p>
            <w:pPr>
              <w:ind w:left="126"/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       Объем выпадающих доходов бюджета округа (руб.)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Основание применения меры налогового регулирования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24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Цель применения меры, связь с показателями муниципальной программы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2027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2028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24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План/оценка/факт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План/оценка/факт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План/оценка/факт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24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6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892" w:type="dxa"/>
            <w:vAlign w:val="center"/>
            <w:textDirection w:val="lrTb"/>
            <w:noWrap w:val="false"/>
          </w:tcPr>
          <w:p>
            <w:pPr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Направление 1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«Развитие муниципальных учреждений образования»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1.1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Освобождение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от уплаты земельного налога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учреждений образования,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финансируемых из бюджета округа, в отношении земельных участков, предоставленных для непосредственного выполнения возложенных на эти учреждения функций, от уплаты земельного налога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1 292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657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1 292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657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1 292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657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Подпункт 4.1 пункта 4 р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ешени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я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Совета депутатов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муниципального округа </w:t>
              <w:br/>
              <w:t xml:space="preserve">от 23.10.2020 № 39 </w:t>
              <w:br/>
              <w:t xml:space="preserve">«Об установлении земельного налога на территории муниципального образования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Печенгский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муниципальный округ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Мурманской области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»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(в ред. от 22.11.2024)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24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Во избежание встречных потоков денежных средств, уменьшения расходов плательщиков, воспользовавшихся льготами, финансовое обеспечение которых осуществляется в полном объеме или частично за счет средств бюджета округа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;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0.8. Доля учреждений системы образования, в которых реализованы запланированные мероприятия, направленные на обеспечение материально-технической базы</w:t>
            </w:r>
            <w:r/>
          </w:p>
        </w:tc>
      </w:tr>
    </w:tbl>
    <w:p>
      <w:pPr>
        <w:ind w:firstLine="540"/>
        <w:jc w:val="both"/>
        <w:spacing w:before="168" w:after="0" w:line="288" w:lineRule="atLeast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jc w:val="center"/>
        <w:spacing w:after="0" w:line="288" w:lineRule="atLeast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16"/>
          <w:szCs w:val="16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6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. Сведения об объемах финансирования муниципальной программы</w:t>
      </w:r>
      <w:r>
        <w:rPr>
          <w:rFonts w:ascii="Times New Roman" w:hAnsi="Times New Roman" w:eastAsia="Times New Roman"/>
          <w:b/>
          <w:sz w:val="16"/>
          <w:szCs w:val="16"/>
          <w:lang w:eastAsia="ru-RU"/>
        </w:rPr>
      </w:r>
      <w:r>
        <w:rPr>
          <w:rFonts w:ascii="Times New Roman" w:hAnsi="Times New Roman" w:eastAsia="Times New Roman"/>
          <w:b/>
          <w:sz w:val="16"/>
          <w:szCs w:val="16"/>
          <w:lang w:eastAsia="ru-RU"/>
        </w:rPr>
      </w:r>
    </w:p>
    <w:p>
      <w:pPr>
        <w:jc w:val="center"/>
        <w:spacing w:after="0" w:line="288" w:lineRule="atLeast"/>
        <w:rPr>
          <w:rFonts w:ascii="Times New Roman" w:hAnsi="Times New Roman" w:eastAsia="Times New Roman"/>
          <w:sz w:val="16"/>
          <w:szCs w:val="16"/>
          <w:lang w:eastAsia="ru-RU"/>
        </w:rPr>
      </w:pPr>
      <w:r>
        <w:rPr>
          <w:rFonts w:ascii="Times New Roman" w:hAnsi="Times New Roman" w:eastAsia="Times New Roman"/>
          <w:sz w:val="16"/>
          <w:szCs w:val="16"/>
          <w:lang w:eastAsia="ru-RU"/>
        </w:rPr>
      </w:r>
      <w:r>
        <w:rPr>
          <w:rFonts w:ascii="Times New Roman" w:hAnsi="Times New Roman" w:eastAsia="Times New Roman"/>
          <w:sz w:val="16"/>
          <w:szCs w:val="16"/>
          <w:lang w:eastAsia="ru-RU"/>
        </w:rPr>
      </w:r>
      <w:r>
        <w:rPr>
          <w:rFonts w:ascii="Times New Roman" w:hAnsi="Times New Roman" w:eastAsia="Times New Roman"/>
          <w:sz w:val="16"/>
          <w:szCs w:val="16"/>
          <w:lang w:eastAsia="ru-RU"/>
        </w:rPr>
      </w:r>
    </w:p>
    <w:tbl>
      <w:tblPr>
        <w:tblW w:w="14877" w:type="dxa"/>
        <w:tblInd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0"/>
        <w:gridCol w:w="2835"/>
        <w:gridCol w:w="1134"/>
        <w:gridCol w:w="993"/>
        <w:gridCol w:w="2126"/>
        <w:gridCol w:w="1843"/>
        <w:gridCol w:w="1984"/>
        <w:gridCol w:w="1701"/>
        <w:gridCol w:w="1701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№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/п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83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Муниципальная программа, ГРБС, направления (подпрограммы)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Период реализации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64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Объемы и источники финансирования (рублей)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Соисполнители</w:t>
            </w:r>
            <w:r>
              <w:rPr>
                <w:rFonts w:ascii="Times New Roman" w:hAnsi="Times New Roman" w:eastAsia="Times New Roman"/>
                <w:strike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Год/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источник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Всего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2026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2027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2028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83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u w:val="single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u w:val="single"/>
                <w:lang w:eastAsia="ru-RU"/>
              </w:rPr>
              <w:t xml:space="preserve">Муниципальная программа «Образование»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u w:val="single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u w:val="single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2026 - 2028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Всего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7 110 237 267,01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3 273 980 861,77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1 957 299 429,24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1 878 956 976,00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Отдел образования, МБУ «РЭС»,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МБУ СОШ № 5, МБУ ДО ДДТ № 2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МБ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1 862 900 331,71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640 977 031,71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628 191 000,00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593 732 300,00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ОБ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3 425 540 728,00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1 141 908 876,00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1 139 031 976,00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1 144 599 876,00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ФБ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1 719 646 207,30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1 457 044 954,06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156 026 453,24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106 574 800,00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ВБС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102 150 000,00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34 050 000,00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34 050 000,00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34 050 000,00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0.1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835" w:type="dxa"/>
            <w:vAlign w:val="center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Администрация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 муниципального округа</w:t>
            </w:r>
            <w:r>
              <w:rPr>
                <w:rFonts w:ascii="Times New Roman" w:hAnsi="Times New Roman" w:eastAsia="Times New Roman"/>
                <w:b/>
                <w:color w:val="ff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b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ff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2026 - 2028</w:t>
            </w: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Всего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1 353 817 358,47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1 353 817 358,47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0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0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88" w:lineRule="atLeast"/>
              <w:rPr>
                <w:rFonts w:ascii="Times New Roman" w:hAnsi="Times New Roman" w:eastAsia="Times New Roman"/>
                <w:b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ff0000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135 304,41</w:t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135 304,41</w:t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0</w:t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0</w:t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88" w:lineRule="atLeast"/>
              <w:rPr>
                <w:rFonts w:ascii="Times New Roman" w:hAnsi="Times New Roman" w:eastAsia="Times New Roman"/>
                <w:b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ff0000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0</w:t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0</w:t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0</w:t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0</w:t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88" w:lineRule="atLeast"/>
              <w:rPr>
                <w:rFonts w:ascii="Times New Roman" w:hAnsi="Times New Roman" w:eastAsia="Times New Roman"/>
                <w:b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ff0000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1 353 682 054,06</w:t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1 353 682 054,06</w:t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0</w:t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0</w:t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88" w:lineRule="atLeast"/>
              <w:rPr>
                <w:rFonts w:ascii="Times New Roman" w:hAnsi="Times New Roman" w:eastAsia="Times New Roman"/>
                <w:b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ff0000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ВБС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0</w:t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0</w:t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0</w:t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0</w:t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0.2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835" w:type="dxa"/>
            <w:vAlign w:val="center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Отдел образования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администрации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 муниципального округа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2026 - 2028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Всего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5 756 419 908,54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1 920 163 503,30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1 957 299 429,24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1 878 956 976,00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1 862 765 027,30</w:t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640 841 727,30</w:t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628 191 000,00</w:t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593 732 300,00</w:t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3 425 540 728,00</w:t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1 141 908 876,00</w:t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1 139 031 976,00</w:t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1 144 599 876,00</w:t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365 964 153,24</w:t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103 362 900,00</w:t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156 026 453,24</w:t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106 574 800,00</w:t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ВБС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102 150 000,00</w:t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34 050 000,00</w:t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34 050 000,00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34 050 000,00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83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Направление (подпрограмма) 1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u w:val="single"/>
                <w:lang w:eastAsia="ru-RU"/>
              </w:rPr>
              <w:t xml:space="preserve">«Развитие муниципальных учреждений образования 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2026 - 2028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Всего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6 901 598 439,01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3 204 734 385,77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1 890 319 653,24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1 806 544 400,00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Отдел образования, МБУ «РЭС», МБОУ СОШ № 5 </w:t>
            </w: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1 862 691 831,71</w:t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640 907 531,71</w:t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628 121 500,00</w:t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593 662 800,00</w:t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3 217 110 400,00</w:t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1 072 731 900,00</w:t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1 072 121 700,00</w:t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1 072 256 800,00</w:t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1 719 646 207,30</w:t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1 457 044 954,06</w:t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156 026 453,24</w:t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106 574 800,00</w:t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ВБС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102 150 000,00</w:t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34 050 000,00</w:t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34 050 000,00</w:t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34 050 000,00</w:t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1.1.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835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Комплекс процессных мероприятий 1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«Дошкольное и общее образование»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2026 - 2028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Всего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  <w:t xml:space="preserve">4 417 038 647,97</w:t>
            </w:r>
            <w:r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  <w:t xml:space="preserve">1 468 478 100,00</w:t>
            </w:r>
            <w:r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  <w:t xml:space="preserve">1 472 785 547,97</w:t>
            </w:r>
            <w:r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  <w:t xml:space="preserve">1 475 775 000,00</w:t>
            </w:r>
            <w:r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Отдел образования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1 325 025 647,97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437 807 100,00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442 114 547,97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445 104 000,00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2 989 863 000,00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996 621 000,00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996 621 000,00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996 621 000,00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0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0,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0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0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0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0,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0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0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ВБС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102 150 000,00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34 050 000,00</w:t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34 050 000,00</w:t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34 050 000,00</w:t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1.2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835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Комплекс процессных мероприятий 2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«Дополнительное образование и социализация детей»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2026 - 2028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Всего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  <w:t xml:space="preserve">320 461 200,00</w:t>
            </w:r>
            <w:r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  <w:t xml:space="preserve">106 471 600,00</w:t>
            </w:r>
            <w:r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  <w:t xml:space="preserve">106 938 100,00</w:t>
            </w:r>
            <w:r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  <w:t xml:space="preserve">107 051 500,00</w:t>
            </w:r>
            <w:r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Отдел образования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318 844 200,00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105 932 600,00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106 399 100,00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106 512 500,00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1 617 000,00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539 000,00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539 000,00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539 000,00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0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0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0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0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ВБС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0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0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0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0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1.3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835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Комплекс процессных мероприятий 3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«Реализация регионального проекта «Педагоги и наставники»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2026 - 2028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  <w:t xml:space="preserve">234 772 600,00</w:t>
            </w:r>
            <w:r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  <w:t xml:space="preserve">77 680 800,00</w:t>
            </w:r>
            <w:r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  <w:t xml:space="preserve">78 517 800,00</w:t>
            </w:r>
            <w:r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  <w:t xml:space="preserve">78 574 000,00</w:t>
            </w:r>
            <w:r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Отдел образования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0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0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0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0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9 530 600,00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3 156 000,00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3 187 300,00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3 187 300,00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225 242 000,00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74 524 800,00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75 330 500,00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75 386 700,00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0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0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0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0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1.4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835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Комплекс процессных мероприятий 4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«Социальная поддержка в сфере образования»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2026 - 2028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Всего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  <w:t xml:space="preserve">354 497 600,00</w:t>
            </w:r>
            <w:r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  <w:t xml:space="preserve">117 564 600,00</w:t>
            </w:r>
            <w:r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  <w:t xml:space="preserve">117 786 100,00</w:t>
            </w:r>
            <w:r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  <w:t xml:space="preserve">119 143 900,00</w:t>
            </w:r>
            <w:r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right w:val="single" w:color="000000" w:sz="6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trike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Отдел образования, </w:t>
            </w:r>
            <w:r>
              <w:rPr>
                <w:rFonts w:ascii="Times New Roman" w:hAnsi="Times New Roman" w:eastAsia="Times New Roman"/>
                <w:strike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trike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trike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trike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trike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trike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48 381 800,00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16 313 600,00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16 021 900,00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16 046 300,00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216 099 800,00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72 415 900,00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71 774 400,00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71 909 500,00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90 016 000,00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28 838 100,00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29 989 800,00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31 188 100,00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ВБС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0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0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0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0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1.5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835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Комплекс процессных мероприятий 5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«Комфортная и безопасная среда»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2026 - 2028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Всего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  <w:t xml:space="preserve">147 631 208,00</w:t>
            </w:r>
            <w:r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  <w:t xml:space="preserve">80 718 927,30</w:t>
            </w:r>
            <w:r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  <w:t xml:space="preserve">40 912 280,70</w:t>
            </w:r>
            <w:r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  <w:t xml:space="preserve">26 000 000,00</w:t>
            </w:r>
            <w:r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right w:val="single" w:color="000000" w:sz="6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Отдел образования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139 067 088,00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80 718 927,30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32 348 160,70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26 000 000,00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0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0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0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0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8 564 120,00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0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8 564 120,00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0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ВБС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0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0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0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0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1.6.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835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Комплекс проектных мероприятий 6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«Реализация региональной программы «Все лучшее детям»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2027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Всего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  <w:t xml:space="preserve">73 379 824,57</w:t>
            </w:r>
            <w:r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0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  <w:t xml:space="preserve">73 379 824,57</w:t>
            </w:r>
            <w:r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0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right w:val="single" w:color="000000" w:sz="6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МБОУ СОШ № 5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31 237 791,33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0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31 237 791,33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0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0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0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0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0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42 142 033,24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0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42 142 033,24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0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ВБС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0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0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0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1.7.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835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Комплекс проектных мероприятий 7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«Обновление образовательной инфраструктуры»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Всего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  <w:t xml:space="preserve">1 353 817 358,47</w:t>
            </w:r>
            <w:r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  <w:t xml:space="preserve">1 353 817 358,47</w:t>
            </w:r>
            <w:r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0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0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right w:val="single" w:color="000000" w:sz="6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МБУ «РЭС»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135 304,41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135 304,41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0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0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0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0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0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0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1 353 682 054,06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1 353 682 054,06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0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0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ВБС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0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0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0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0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val="en-US" w:eastAsia="ru-RU"/>
              </w:rPr>
              <w:t xml:space="preserve">2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83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Направление (подпрограмма) 2 </w:t>
            </w:r>
            <w:r>
              <w:rPr>
                <w:rFonts w:ascii="Times New Roman" w:hAnsi="Times New Roman" w:eastAsia="Times New Roman"/>
                <w:sz w:val="20"/>
                <w:szCs w:val="20"/>
                <w:u w:val="single"/>
                <w:lang w:eastAsia="ru-RU"/>
              </w:rPr>
              <w:t xml:space="preserve">«Положение детей-сирот в современном обществе»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2026 - 2028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208 638 828,00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69 246 476,00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66 979 776,00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72 412 576,00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Отдел образования, МБУ ДО ДДТ № 2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208 500,00</w:t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69 500,00</w:t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69 500,00</w:t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69 500,00</w:t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208 430 328,00</w:t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69 176 976,00</w:t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66 910 276,00</w:t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72 343 076,00</w:t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0</w:t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0</w:t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0</w:t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0</w:t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0</w:t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0</w:t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0</w:t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0</w:t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2.1.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835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Комплекс процессных мероприятий 8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«Защита прав и интересов детей-сирот, детей, оставшихся без попечения родителей»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2026 - 2028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208 638 828,00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69 246 476,00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66 979 776,00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72 412 576,00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Отдел образования, МБУ ДО ДДТ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№ 2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ffffff" w:themeFill="background1"/>
            <w:tcBorders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Borders>
              <w:left w:val="single" w:color="000000" w:sz="6" w:space="0"/>
              <w:right w:val="single" w:color="000000" w:sz="6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208 500,00</w:t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69 500,00</w:t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69 500,00</w:t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69 500,00</w:t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left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ffffff" w:themeFill="background1"/>
            <w:tcBorders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Borders>
              <w:left w:val="single" w:color="000000" w:sz="6" w:space="0"/>
              <w:right w:val="single" w:color="000000" w:sz="6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208 430 328,00</w:t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69 176 976,00</w:t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66 910 276,00</w:t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72 343 076,00</w:t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left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ffffff" w:themeFill="background1"/>
            <w:tcBorders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Borders>
              <w:left w:val="single" w:color="000000" w:sz="6" w:space="0"/>
              <w:right w:val="single" w:color="000000" w:sz="6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0</w:t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0</w:t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0</w:t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0</w:t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left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ffffff" w:themeFill="background1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0</w:t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0</w:t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0</w:t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0</w:t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</w:tbl>
    <w:p>
      <w:pPr>
        <w:jc w:val="both"/>
        <w:spacing w:after="0" w:line="288" w:lineRule="atLeast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 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  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jc w:val="both"/>
        <w:spacing w:after="0" w:line="288" w:lineRule="atLeast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7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. Механизмы управления рисками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both"/>
        <w:spacing w:after="0" w:line="288" w:lineRule="atLeast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  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tbl>
      <w:tblPr>
        <w:tblW w:w="5083" w:type="pct"/>
        <w:tblInd w:w="-13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1"/>
        <w:gridCol w:w="1689"/>
        <w:gridCol w:w="3537"/>
        <w:gridCol w:w="3446"/>
        <w:gridCol w:w="3364"/>
        <w:gridCol w:w="2098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№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/п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7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Наименование риска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0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Ожидаемые последствия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7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Меры по предотвращению наступления риска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4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Меры реагирования при наличии признаков наступления риска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1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Периодичность мониторинга рисков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7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Правовой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02" w:type="pct"/>
            <w:textDirection w:val="lrTb"/>
            <w:noWrap w:val="false"/>
          </w:tcPr>
          <w:p>
            <w:pPr>
              <w:ind w:right="0"/>
              <w:jc w:val="both"/>
              <w:spacing w:before="0" w:beforeAutospacing="0"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</w:rPr>
              <w:suppressLineNumbers w:val="0"/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Невозможность или нецелесообразность реализации поставленных целей, выполнения каких-либо мероприятий (результатов), обязатель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ств в св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язи с данными изменениями, что окажет влияние на конечные результаты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Программы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71" w:type="pct"/>
            <w:textDirection w:val="lrTb"/>
            <w:noWrap w:val="false"/>
          </w:tcPr>
          <w:p>
            <w:pPr>
              <w:ind w:right="0"/>
              <w:jc w:val="both"/>
              <w:spacing w:before="0" w:beforeAutospacing="0"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</w:rPr>
              <w:suppressLineNumbers w:val="0"/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Проведение мониторинга планируемых изменений в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федеральном, региональном законодательстве.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  <w:p>
            <w:pPr>
              <w:ind w:right="0"/>
              <w:jc w:val="both"/>
              <w:spacing w:before="0" w:beforeAutospacing="0"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</w:rPr>
              <w:suppressLineNumbers w:val="0"/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43" w:type="pct"/>
            <w:textDirection w:val="lrTb"/>
            <w:noWrap w:val="false"/>
          </w:tcPr>
          <w:p>
            <w:pPr>
              <w:ind w:right="0"/>
              <w:jc w:val="both"/>
              <w:spacing w:before="0" w:beforeAutospacing="0"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</w:rPr>
              <w:suppressLineNumbers w:val="0"/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Оперативное принятие муниципальных нормативных правовых актов с целью приведения нормативно-методической базы муниципальной программы в соответствие с государственной политикой на региональном уровне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14" w:type="pct"/>
            <w:textDirection w:val="lrTb"/>
            <w:noWrap w:val="false"/>
          </w:tcPr>
          <w:p>
            <w:pPr>
              <w:ind w:right="0"/>
              <w:jc w:val="center"/>
              <w:spacing w:before="0" w:beforeAutospacing="0"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</w:rPr>
              <w:suppressLineNumbers w:val="0"/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Постоянно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7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Финансовый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02" w:type="pct"/>
            <w:textDirection w:val="lrTb"/>
            <w:noWrap w:val="false"/>
          </w:tcPr>
          <w:p>
            <w:pPr>
              <w:ind w:right="0"/>
              <w:jc w:val="both"/>
              <w:spacing w:before="0" w:beforeAutospacing="0"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</w:rPr>
              <w:suppressLineNumbers w:val="0"/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Недостижение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запланированных значений показателей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рограммы, невыполнение мероприятий результатов в срок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71" w:type="pct"/>
            <w:textDirection w:val="lrTb"/>
            <w:noWrap w:val="false"/>
          </w:tcPr>
          <w:p>
            <w:pPr>
              <w:ind w:right="0"/>
              <w:jc w:val="both"/>
              <w:spacing w:before="0" w:beforeAutospacing="0"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</w:rPr>
              <w:suppressLineNumbers w:val="0"/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Сбалансированное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р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аспределение финансовых средств по структурным элементам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рограммы в соответствии с ожидаемыми конечными результатами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  <w:p>
            <w:pPr>
              <w:ind w:right="0"/>
              <w:jc w:val="both"/>
              <w:spacing w:before="0" w:beforeAutospacing="0"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</w:rPr>
              <w:suppressLineNumbers w:val="0"/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43" w:type="pct"/>
            <w:textDirection w:val="lrTb"/>
            <w:noWrap w:val="false"/>
          </w:tcPr>
          <w:p>
            <w:pPr>
              <w:ind w:right="0"/>
              <w:jc w:val="both"/>
              <w:spacing w:before="0" w:beforeAutospacing="0"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</w:rPr>
              <w:suppressLineNumbers w:val="0"/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Уточнение объемов финансовых средств, предусмотренных на реализацию мероприятий (результатов), корректировка целевых показателей в зависимости от достигнутых результатов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14" w:type="pct"/>
            <w:textDirection w:val="lrTb"/>
            <w:noWrap w:val="false"/>
          </w:tcPr>
          <w:p>
            <w:pPr>
              <w:ind w:right="0"/>
              <w:jc w:val="center"/>
              <w:spacing w:before="0" w:beforeAutospacing="0"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</w:rPr>
              <w:suppressLineNumbers w:val="0"/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Ежеквартально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74" w:type="pc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Внешний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02" w:type="pct"/>
            <w:textDirection w:val="lrTb"/>
            <w:noWrap w:val="false"/>
          </w:tcPr>
          <w:p>
            <w:pPr>
              <w:ind w:right="0"/>
              <w:jc w:val="both"/>
              <w:spacing w:before="0" w:beforeAutospacing="0"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</w:rPr>
              <w:suppressLineNumbers w:val="0"/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Срыв сроков выполнения мероприятий (результатов) либо выполнение их не в полном объеме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  <w:p>
            <w:pPr>
              <w:ind w:right="0"/>
              <w:jc w:val="both"/>
              <w:spacing w:before="0" w:beforeAutospacing="0"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</w:rPr>
              <w:suppressLineNumbers w:val="0"/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71" w:type="pct"/>
            <w:textDirection w:val="lrTb"/>
            <w:noWrap w:val="false"/>
          </w:tcPr>
          <w:p>
            <w:pPr>
              <w:pStyle w:val="910"/>
              <w:ind w:right="0"/>
              <w:jc w:val="both"/>
              <w:spacing w:before="0" w:beforeAutospacing="0" w:after="0" w:afterAutospacing="0" w:line="240" w:lineRule="auto"/>
              <w:rPr>
                <w:sz w:val="20"/>
                <w:szCs w:val="20"/>
              </w:rPr>
              <w:suppressLineNumbers w:val="0"/>
            </w:pPr>
            <w:r>
              <w:rPr>
                <w:sz w:val="20"/>
                <w:szCs w:val="20"/>
              </w:rPr>
              <w:t xml:space="preserve">Контроль и сопровождение всех действующих договоров и контрактов в части своевременности исполнения контрагентами своих обязательств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910"/>
              <w:ind w:right="0"/>
              <w:jc w:val="both"/>
              <w:spacing w:before="0" w:beforeAutospacing="0" w:after="0" w:afterAutospacing="0" w:line="240" w:lineRule="auto"/>
              <w:rPr>
                <w:sz w:val="20"/>
                <w:szCs w:val="20"/>
              </w:rPr>
              <w:suppressLineNumbers w:val="0"/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43" w:type="pct"/>
            <w:textDirection w:val="lrTb"/>
            <w:noWrap w:val="false"/>
          </w:tcPr>
          <w:p>
            <w:pPr>
              <w:ind w:right="0"/>
              <w:jc w:val="both"/>
              <w:spacing w:before="0" w:beforeAutospacing="0"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</w:rPr>
              <w:suppressLineNumbers w:val="0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Своевременное расторжение контрактов, проведение новых процедур для обеспечения заключения контрактов с иными исполнителями, поставщиками, подрядчиками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14" w:type="pct"/>
            <w:textDirection w:val="lrTb"/>
            <w:noWrap w:val="false"/>
          </w:tcPr>
          <w:p>
            <w:pPr>
              <w:ind w:right="0"/>
              <w:jc w:val="center"/>
              <w:spacing w:before="0" w:beforeAutospacing="0"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</w:rPr>
              <w:suppressLineNumbers w:val="0"/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Постоянно 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4.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74" w:type="pc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Непредвиденный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02" w:type="pct"/>
            <w:textDirection w:val="lrTb"/>
            <w:noWrap w:val="false"/>
          </w:tcPr>
          <w:p>
            <w:pPr>
              <w:ind w:right="0"/>
              <w:jc w:val="both"/>
              <w:spacing w:before="0" w:beforeAutospacing="0"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</w:rPr>
              <w:suppressLineNumbers w:val="0"/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С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нижение бюджетных доходов, необходимость концентрации бюджетных средств на преодоление последствий, связанных с кризисными явлениями в экономике, вызванные природн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ыми и техногенными катастрофами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71" w:type="pct"/>
            <w:textDirection w:val="lrTb"/>
            <w:noWrap w:val="false"/>
          </w:tcPr>
          <w:p>
            <w:pPr>
              <w:pStyle w:val="910"/>
              <w:ind w:right="0"/>
              <w:jc w:val="both"/>
              <w:spacing w:before="0" w:beforeAutospacing="0" w:after="0" w:afterAutospacing="0" w:line="240" w:lineRule="auto"/>
              <w:rPr>
                <w:sz w:val="20"/>
                <w:szCs w:val="20"/>
              </w:rPr>
              <w:suppressLineNumbers w:val="0"/>
            </w:pPr>
            <w:r>
              <w:rPr>
                <w:sz w:val="20"/>
                <w:szCs w:val="20"/>
              </w:rPr>
              <w:t xml:space="preserve">Осуществление прогнозирования социально-экономического развития с учетом возможного ухудшения экономической ситуации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910"/>
              <w:ind w:right="0"/>
              <w:jc w:val="both"/>
              <w:spacing w:before="0" w:beforeAutospacing="0" w:after="0" w:afterAutospacing="0" w:line="240" w:lineRule="auto"/>
              <w:rPr>
                <w:sz w:val="20"/>
                <w:szCs w:val="20"/>
              </w:rPr>
              <w:suppressLineNumbers w:val="0"/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43" w:type="pct"/>
            <w:textDirection w:val="lrTb"/>
            <w:noWrap w:val="false"/>
          </w:tcPr>
          <w:p>
            <w:pPr>
              <w:ind w:right="0"/>
              <w:jc w:val="both"/>
              <w:spacing w:before="0" w:beforeAutospacing="0" w:after="0" w:afterAutospacing="0" w:line="240" w:lineRule="auto"/>
              <w:rPr>
                <w:rFonts w:ascii="Times New Roman" w:hAnsi="Times New Roman"/>
                <w:sz w:val="20"/>
                <w:szCs w:val="20"/>
              </w:rPr>
              <w:suppressLineNumbers w:val="0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Определение приоритетов для первоочередного финансирования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14" w:type="pct"/>
            <w:textDirection w:val="lrTb"/>
            <w:noWrap w:val="false"/>
          </w:tcPr>
          <w:p>
            <w:pPr>
              <w:ind w:right="0"/>
              <w:jc w:val="center"/>
              <w:spacing w:before="0" w:beforeAutospacing="0"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</w:rPr>
              <w:suppressLineNumbers w:val="0"/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Ежегодно 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</w:tr>
    </w:tbl>
    <w:p>
      <w:pPr>
        <w:ind w:left="360"/>
        <w:jc w:val="center"/>
        <w:spacing w:after="0" w:line="240" w:lineRule="auto"/>
        <w:widowControl w:val="off"/>
        <w:tabs>
          <w:tab w:val="left" w:pos="0" w:leader="none"/>
        </w:tabs>
        <w:rPr>
          <w:rFonts w:ascii="Times New Roman" w:hAnsi="Times New Roman"/>
          <w:b/>
          <w:sz w:val="24"/>
          <w:szCs w:val="24"/>
        </w:rPr>
        <w:sectPr>
          <w:footnotePr/>
          <w:endnotePr/>
          <w:type w:val="nextPage"/>
          <w:pgSz w:w="16838" w:h="11905" w:orient="landscape"/>
          <w:pgMar w:top="851" w:right="678" w:bottom="993" w:left="1701" w:header="720" w:footer="720" w:gutter="0"/>
          <w:cols w:num="1" w:sep="0" w:space="720" w:equalWidth="1"/>
          <w:docGrid w:linePitch="360"/>
        </w:sectPr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ind w:left="0"/>
        <w:jc w:val="center"/>
        <w:spacing w:after="0" w:line="240" w:lineRule="auto"/>
        <w:widowControl w:val="off"/>
        <w:tabs>
          <w:tab w:val="left" w:pos="0" w:leader="none"/>
        </w:tabs>
        <w:rPr>
          <w:rFonts w:ascii="Times New Roman" w:hAnsi="Times New Roman" w:eastAsia="Times New Roman"/>
          <w:b/>
          <w:sz w:val="24"/>
          <w:szCs w:val="24"/>
        </w:rPr>
        <w:suppressLineNumbers w:val="0"/>
      </w:pPr>
      <w:r>
        <w:rPr>
          <w:rFonts w:ascii="Times New Roman" w:hAnsi="Times New Roman"/>
          <w:b/>
          <w:sz w:val="24"/>
          <w:szCs w:val="24"/>
        </w:rPr>
        <w:t xml:space="preserve">8</w:t>
      </w:r>
      <w:r>
        <w:rPr>
          <w:rFonts w:ascii="Times New Roman" w:hAnsi="Times New Roman"/>
          <w:b/>
          <w:sz w:val="24"/>
          <w:szCs w:val="24"/>
        </w:rPr>
        <w:t xml:space="preserve">. </w:t>
      </w:r>
      <w:r>
        <w:rPr>
          <w:rFonts w:ascii="Times New Roman" w:hAnsi="Times New Roman"/>
          <w:b/>
          <w:sz w:val="24"/>
          <w:szCs w:val="24"/>
        </w:rPr>
        <w:t xml:space="preserve">Порядок взаимодействия 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Ответственного исполнителя, Соисполнителей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 и 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участников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муниципальной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 п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рограммы</w:t>
      </w:r>
      <w:r>
        <w:rPr>
          <w:rFonts w:ascii="Times New Roman" w:hAnsi="Times New Roman" w:eastAsia="Times New Roman"/>
          <w:b/>
          <w:sz w:val="24"/>
          <w:szCs w:val="24"/>
        </w:rPr>
      </w:r>
      <w:r>
        <w:rPr>
          <w:rFonts w:ascii="Times New Roman" w:hAnsi="Times New Roman" w:eastAsia="Times New Roman"/>
          <w:b/>
          <w:sz w:val="24"/>
          <w:szCs w:val="24"/>
        </w:rPr>
      </w:r>
    </w:p>
    <w:p>
      <w:pPr>
        <w:spacing w:after="0" w:line="240" w:lineRule="auto"/>
        <w:rPr>
          <w:highlight w:val="yellow"/>
        </w:rPr>
      </w:pPr>
      <w:r/>
      <w:bookmarkStart w:id="4" w:name="Par3713"/>
      <w:r/>
      <w:bookmarkEnd w:id="4"/>
      <w:r>
        <w:rPr>
          <w:highlight w:val="yellow"/>
        </w:rPr>
      </w:r>
      <w:r>
        <w:rPr>
          <w:highlight w:val="yellow"/>
        </w:rPr>
      </w:r>
    </w:p>
    <w:p>
      <w:pPr>
        <w:ind w:left="0" w:right="0"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Мониторинг и контроль реализации муниципальной программы осуществляется </w:t>
      </w:r>
      <w:r>
        <w:rPr>
          <w:rFonts w:ascii="Times New Roman" w:hAnsi="Times New Roman"/>
          <w:sz w:val="24"/>
          <w:szCs w:val="24"/>
        </w:rPr>
        <w:t xml:space="preserve">ответственным </w:t>
      </w:r>
      <w:r>
        <w:rPr>
          <w:rFonts w:ascii="Times New Roman" w:hAnsi="Times New Roman"/>
          <w:sz w:val="24"/>
          <w:szCs w:val="24"/>
        </w:rPr>
        <w:t xml:space="preserve">исполнителем программы </w:t>
      </w:r>
      <w:r>
        <w:rPr>
          <w:rFonts w:ascii="Times New Roman" w:hAnsi="Times New Roman"/>
          <w:sz w:val="24"/>
          <w:szCs w:val="24"/>
        </w:rPr>
        <w:t xml:space="preserve">–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Отделом образования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который</w:t>
      </w:r>
      <w:r>
        <w:rPr>
          <w:rFonts w:ascii="Times New Roman" w:hAnsi="Times New Roman"/>
          <w:sz w:val="24"/>
          <w:szCs w:val="24"/>
        </w:rPr>
        <w:t xml:space="preserve">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-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 w:eastAsia="Times New Roman"/>
          <w:sz w:val="24"/>
          <w:lang w:eastAsia="ru-RU"/>
        </w:rPr>
        <w:t xml:space="preserve">об</w:t>
      </w:r>
      <w:r>
        <w:rPr>
          <w:rFonts w:ascii="Times New Roman" w:hAnsi="Times New Roman" w:eastAsia="Times New Roman"/>
          <w:sz w:val="24"/>
          <w:lang w:eastAsia="ru-RU"/>
        </w:rPr>
        <w:t xml:space="preserve">еспечивает совместно с Соисполнителями разработку проекта Программы, проектов постановлений Администрации об утверждении муниципальной программы и (или) о внесении изменений в муниципальную программу и их согласование в соответствии с требованиями Порядка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разработки, реализации и оценки эффективности муниципальных программ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Печенгского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муниципального округа, утвержденного постановлением администрации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Печенгского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муниципального округа от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18.09.2025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№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1488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(далее – Порядок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);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left="0" w:righ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-</w:t>
      </w:r>
      <w:r>
        <w:rPr>
          <w:rFonts w:ascii="Times New Roman" w:hAnsi="Times New Roman" w:eastAsia="Times New Roman"/>
          <w:sz w:val="24"/>
          <w:szCs w:val="24"/>
          <w:lang w:eastAsia="ru-RU"/>
        </w:rPr>
        <w:tab/>
      </w:r>
      <w:r>
        <w:rPr>
          <w:rFonts w:ascii="Times New Roman" w:hAnsi="Times New Roman" w:eastAsia="Times New Roman"/>
          <w:sz w:val="24"/>
          <w:lang w:eastAsia="ru-RU"/>
        </w:rPr>
        <w:t xml:space="preserve">организует и координирует реализацию муниципальной программы, несет ответственность за достижение показателей муниципальной программы и конечных результатов ее реализации в части его касающейся;</w:t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ind w:left="0" w:righ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  <w:t xml:space="preserve">-</w:t>
      </w:r>
      <w:r>
        <w:rPr>
          <w:rFonts w:ascii="Times New Roman" w:hAnsi="Times New Roman" w:eastAsia="Times New Roman"/>
          <w:sz w:val="24"/>
          <w:lang w:eastAsia="ru-RU"/>
        </w:rPr>
        <w:tab/>
        <w:t xml:space="preserve">осуществляет мониторинг реализации муниципальной программы и подготовку отчетов о ходе реализации </w:t>
      </w:r>
      <w:r>
        <w:rPr>
          <w:rFonts w:ascii="Times New Roman" w:hAnsi="Times New Roman" w:eastAsia="Times New Roman"/>
          <w:sz w:val="24"/>
          <w:lang w:eastAsia="ru-RU"/>
        </w:rPr>
        <w:t xml:space="preserve">муниципальной п</w:t>
      </w:r>
      <w:r>
        <w:rPr>
          <w:rFonts w:ascii="Times New Roman" w:hAnsi="Times New Roman" w:eastAsia="Times New Roman"/>
          <w:sz w:val="24"/>
          <w:lang w:eastAsia="ru-RU"/>
        </w:rPr>
        <w:t xml:space="preserve">рограммы в соответствии с требованиями Порядка.</w:t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ind w:left="0" w:righ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  <w:t xml:space="preserve">Соисполнителями муниципальной программы являются МБУ</w:t>
      </w:r>
      <w:r>
        <w:rPr>
          <w:rFonts w:ascii="Times New Roman" w:hAnsi="Times New Roman" w:eastAsia="Times New Roman"/>
          <w:sz w:val="24"/>
          <w:lang w:eastAsia="ru-RU"/>
        </w:rPr>
        <w:t xml:space="preserve"> «РЭС»</w:t>
      </w:r>
      <w:r>
        <w:rPr>
          <w:rFonts w:ascii="Times New Roman" w:hAnsi="Times New Roman" w:eastAsia="Times New Roman"/>
          <w:sz w:val="24"/>
          <w:lang w:eastAsia="ru-RU"/>
        </w:rPr>
        <w:t xml:space="preserve">, которые:</w:t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ind w:left="0" w:righ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  <w:t xml:space="preserve">-</w:t>
      </w:r>
      <w:r>
        <w:rPr>
          <w:rFonts w:ascii="Times New Roman" w:hAnsi="Times New Roman" w:eastAsia="Times New Roman"/>
          <w:sz w:val="24"/>
          <w:lang w:eastAsia="ru-RU"/>
        </w:rPr>
        <w:tab/>
        <w:t xml:space="preserve">обеспечивают разработку и реализацию комплексов процессных мероприятий муниципальной программы, в отношении которых являются соисполнителями;</w:t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ind w:left="0" w:righ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  <w:t xml:space="preserve">-</w:t>
      </w:r>
      <w:r>
        <w:rPr>
          <w:rFonts w:ascii="Times New Roman" w:hAnsi="Times New Roman" w:eastAsia="Times New Roman"/>
          <w:sz w:val="24"/>
          <w:lang w:eastAsia="ru-RU"/>
        </w:rPr>
        <w:tab/>
      </w:r>
      <w:r>
        <w:rPr>
          <w:rFonts w:ascii="Times New Roman" w:hAnsi="Times New Roman" w:eastAsia="Times New Roman"/>
          <w:sz w:val="24"/>
          <w:lang w:eastAsia="ru-RU"/>
        </w:rPr>
        <w:t xml:space="preserve">нес</w:t>
      </w:r>
      <w:r>
        <w:rPr>
          <w:rFonts w:ascii="Times New Roman" w:hAnsi="Times New Roman" w:eastAsia="Times New Roman"/>
          <w:sz w:val="24"/>
          <w:lang w:eastAsia="ru-RU"/>
        </w:rPr>
        <w:t xml:space="preserve">ут</w:t>
      </w:r>
      <w:r>
        <w:rPr>
          <w:rFonts w:ascii="Times New Roman" w:hAnsi="Times New Roman" w:eastAsia="Times New Roman"/>
          <w:sz w:val="24"/>
          <w:lang w:eastAsia="ru-RU"/>
        </w:rPr>
        <w:t xml:space="preserve"> ответственность за достижение плановых значений показателей </w:t>
      </w:r>
      <w:r>
        <w:rPr>
          <w:rFonts w:ascii="Times New Roman" w:hAnsi="Times New Roman" w:eastAsia="Times New Roman"/>
          <w:sz w:val="24"/>
          <w:lang w:eastAsia="ru-RU"/>
        </w:rPr>
        <w:t xml:space="preserve">муниципальной п</w:t>
      </w:r>
      <w:r>
        <w:rPr>
          <w:rFonts w:ascii="Times New Roman" w:hAnsi="Times New Roman" w:eastAsia="Times New Roman"/>
          <w:sz w:val="24"/>
          <w:lang w:eastAsia="ru-RU"/>
        </w:rPr>
        <w:t xml:space="preserve">рограммы в части, </w:t>
      </w:r>
      <w:r>
        <w:rPr>
          <w:rFonts w:ascii="Times New Roman" w:hAnsi="Times New Roman" w:eastAsia="Times New Roman"/>
          <w:sz w:val="24"/>
          <w:lang w:eastAsia="ru-RU"/>
        </w:rPr>
        <w:t xml:space="preserve">их </w:t>
      </w:r>
      <w:r>
        <w:rPr>
          <w:rFonts w:ascii="Times New Roman" w:hAnsi="Times New Roman" w:eastAsia="Times New Roman"/>
          <w:sz w:val="24"/>
          <w:lang w:eastAsia="ru-RU"/>
        </w:rPr>
        <w:t xml:space="preserve">касающейся;</w:t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ind w:left="0" w:righ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  <w:t xml:space="preserve">-</w:t>
      </w:r>
      <w:r>
        <w:rPr>
          <w:rFonts w:ascii="Times New Roman" w:hAnsi="Times New Roman" w:eastAsia="Times New Roman"/>
          <w:sz w:val="24"/>
          <w:lang w:eastAsia="ru-RU"/>
        </w:rPr>
        <w:tab/>
      </w:r>
      <w:r>
        <w:rPr>
          <w:rFonts w:ascii="Times New Roman" w:hAnsi="Times New Roman" w:eastAsia="Times New Roman"/>
          <w:sz w:val="24"/>
          <w:lang w:eastAsia="ru-RU"/>
        </w:rPr>
        <w:t xml:space="preserve">формирует предложения по разработке проекта </w:t>
      </w:r>
      <w:r>
        <w:rPr>
          <w:rFonts w:ascii="Times New Roman" w:hAnsi="Times New Roman" w:eastAsia="Times New Roman"/>
          <w:sz w:val="24"/>
          <w:lang w:eastAsia="ru-RU"/>
        </w:rPr>
        <w:t xml:space="preserve">муниципальной п</w:t>
      </w:r>
      <w:r>
        <w:rPr>
          <w:rFonts w:ascii="Times New Roman" w:hAnsi="Times New Roman" w:eastAsia="Times New Roman"/>
          <w:sz w:val="24"/>
          <w:lang w:eastAsia="ru-RU"/>
        </w:rPr>
        <w:t xml:space="preserve">рограммы, внесению изменений в </w:t>
      </w:r>
      <w:r>
        <w:rPr>
          <w:rFonts w:ascii="Times New Roman" w:hAnsi="Times New Roman" w:eastAsia="Times New Roman"/>
          <w:sz w:val="24"/>
          <w:lang w:eastAsia="ru-RU"/>
        </w:rPr>
        <w:t xml:space="preserve">муниципальную п</w:t>
      </w:r>
      <w:r>
        <w:rPr>
          <w:rFonts w:ascii="Times New Roman" w:hAnsi="Times New Roman" w:eastAsia="Times New Roman"/>
          <w:sz w:val="24"/>
          <w:lang w:eastAsia="ru-RU"/>
        </w:rPr>
        <w:t xml:space="preserve">рограмму;</w:t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ind w:left="0" w:righ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  <w:t xml:space="preserve">-</w:t>
      </w:r>
      <w:r>
        <w:rPr>
          <w:rFonts w:ascii="Times New Roman" w:hAnsi="Times New Roman" w:eastAsia="Times New Roman"/>
          <w:sz w:val="24"/>
          <w:lang w:eastAsia="ru-RU"/>
        </w:rPr>
        <w:tab/>
      </w:r>
      <w:r>
        <w:rPr>
          <w:rFonts w:ascii="Times New Roman" w:hAnsi="Times New Roman" w:eastAsia="Times New Roman"/>
          <w:sz w:val="24"/>
          <w:lang w:eastAsia="ru-RU"/>
        </w:rPr>
        <w:t xml:space="preserve">в пределах своей компетенции участву</w:t>
      </w:r>
      <w:r>
        <w:rPr>
          <w:rFonts w:ascii="Times New Roman" w:hAnsi="Times New Roman" w:eastAsia="Times New Roman"/>
          <w:sz w:val="24"/>
          <w:lang w:eastAsia="ru-RU"/>
        </w:rPr>
        <w:t xml:space="preserve">ют</w:t>
      </w:r>
      <w:r>
        <w:rPr>
          <w:rFonts w:ascii="Times New Roman" w:hAnsi="Times New Roman" w:eastAsia="Times New Roman"/>
          <w:sz w:val="24"/>
          <w:lang w:eastAsia="ru-RU"/>
        </w:rPr>
        <w:t xml:space="preserve"> в разработке плана реализации </w:t>
      </w:r>
      <w:r>
        <w:rPr>
          <w:rFonts w:ascii="Times New Roman" w:hAnsi="Times New Roman" w:eastAsia="Times New Roman"/>
          <w:sz w:val="24"/>
          <w:lang w:eastAsia="ru-RU"/>
        </w:rPr>
        <w:t xml:space="preserve">муниципальной п</w:t>
      </w:r>
      <w:r>
        <w:rPr>
          <w:rFonts w:ascii="Times New Roman" w:hAnsi="Times New Roman" w:eastAsia="Times New Roman"/>
          <w:sz w:val="24"/>
          <w:lang w:eastAsia="ru-RU"/>
        </w:rPr>
        <w:t xml:space="preserve">рограммы, направля</w:t>
      </w:r>
      <w:r>
        <w:rPr>
          <w:rFonts w:ascii="Times New Roman" w:hAnsi="Times New Roman" w:eastAsia="Times New Roman"/>
          <w:sz w:val="24"/>
          <w:lang w:eastAsia="ru-RU"/>
        </w:rPr>
        <w:t xml:space="preserve">ю</w:t>
      </w:r>
      <w:r>
        <w:rPr>
          <w:rFonts w:ascii="Times New Roman" w:hAnsi="Times New Roman" w:eastAsia="Times New Roman"/>
          <w:sz w:val="24"/>
          <w:lang w:eastAsia="ru-RU"/>
        </w:rPr>
        <w:t xml:space="preserve">т </w:t>
      </w:r>
      <w:r>
        <w:rPr>
          <w:rFonts w:ascii="Times New Roman" w:hAnsi="Times New Roman" w:eastAsia="Times New Roman"/>
          <w:sz w:val="24"/>
          <w:lang w:eastAsia="ru-RU"/>
        </w:rPr>
        <w:t xml:space="preserve">Финансовому управлению </w:t>
      </w:r>
      <w:r>
        <w:rPr>
          <w:rFonts w:ascii="Times New Roman" w:hAnsi="Times New Roman" w:eastAsia="Times New Roman"/>
          <w:sz w:val="24"/>
          <w:lang w:eastAsia="ru-RU"/>
        </w:rPr>
        <w:t xml:space="preserve">соответствующие предложения;</w:t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ind w:left="0" w:righ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  <w:t xml:space="preserve">-</w:t>
      </w:r>
      <w:r>
        <w:rPr>
          <w:rFonts w:ascii="Times New Roman" w:hAnsi="Times New Roman" w:eastAsia="Times New Roman"/>
          <w:sz w:val="24"/>
          <w:lang w:eastAsia="ru-RU"/>
        </w:rPr>
        <w:tab/>
      </w:r>
      <w:r>
        <w:rPr>
          <w:rFonts w:ascii="Times New Roman" w:hAnsi="Times New Roman" w:eastAsia="Times New Roman"/>
          <w:sz w:val="24"/>
          <w:lang w:eastAsia="ru-RU"/>
        </w:rPr>
        <w:t xml:space="preserve">представля</w:t>
      </w:r>
      <w:r>
        <w:rPr>
          <w:rFonts w:ascii="Times New Roman" w:hAnsi="Times New Roman" w:eastAsia="Times New Roman"/>
          <w:sz w:val="24"/>
          <w:lang w:eastAsia="ru-RU"/>
        </w:rPr>
        <w:t xml:space="preserve">ют</w:t>
      </w:r>
      <w:r>
        <w:rPr>
          <w:rFonts w:ascii="Times New Roman" w:hAnsi="Times New Roman" w:eastAsia="Times New Roman"/>
          <w:sz w:val="24"/>
          <w:lang w:eastAsia="ru-RU"/>
        </w:rPr>
        <w:t xml:space="preserve"> </w:t>
      </w:r>
      <w:r>
        <w:rPr>
          <w:rFonts w:ascii="Times New Roman" w:hAnsi="Times New Roman" w:eastAsia="Times New Roman"/>
          <w:sz w:val="24"/>
          <w:lang w:eastAsia="ru-RU"/>
        </w:rPr>
        <w:t xml:space="preserve">в </w:t>
      </w:r>
      <w:r>
        <w:rPr>
          <w:rFonts w:ascii="Times New Roman" w:hAnsi="Times New Roman" w:eastAsia="Times New Roman"/>
          <w:sz w:val="24"/>
          <w:lang w:eastAsia="ru-RU"/>
        </w:rPr>
        <w:t xml:space="preserve">отдел образования </w:t>
      </w:r>
      <w:r>
        <w:rPr>
          <w:rFonts w:ascii="Times New Roman" w:hAnsi="Times New Roman" w:eastAsia="Times New Roman"/>
          <w:sz w:val="24"/>
          <w:lang w:eastAsia="ru-RU"/>
        </w:rPr>
        <w:t xml:space="preserve">в электронном виде в срок</w:t>
      </w:r>
      <w:r>
        <w:rPr>
          <w:rFonts w:ascii="Times New Roman" w:hAnsi="Times New Roman" w:eastAsia="Times New Roman"/>
          <w:sz w:val="24"/>
          <w:lang w:eastAsia="ru-RU"/>
        </w:rPr>
        <w:t xml:space="preserve"> и по формам, у</w:t>
      </w:r>
      <w:r>
        <w:rPr>
          <w:rFonts w:ascii="Times New Roman" w:hAnsi="Times New Roman" w:eastAsia="Times New Roman"/>
          <w:sz w:val="24"/>
          <w:lang w:eastAsia="ru-RU"/>
        </w:rPr>
        <w:t xml:space="preserve">становленны</w:t>
      </w:r>
      <w:r>
        <w:rPr>
          <w:rFonts w:ascii="Times New Roman" w:hAnsi="Times New Roman" w:eastAsia="Times New Roman"/>
          <w:sz w:val="24"/>
          <w:lang w:eastAsia="ru-RU"/>
        </w:rPr>
        <w:t xml:space="preserve">м</w:t>
      </w:r>
      <w:r>
        <w:rPr>
          <w:rFonts w:ascii="Times New Roman" w:hAnsi="Times New Roman" w:eastAsia="Times New Roman"/>
          <w:sz w:val="24"/>
          <w:lang w:eastAsia="ru-RU"/>
        </w:rPr>
        <w:t xml:space="preserve"> Порядком</w:t>
      </w:r>
      <w:r>
        <w:rPr>
          <w:rFonts w:ascii="Times New Roman" w:hAnsi="Times New Roman" w:eastAsia="Times New Roman"/>
          <w:sz w:val="24"/>
          <w:lang w:eastAsia="ru-RU"/>
        </w:rPr>
        <w:t xml:space="preserve">, всю </w:t>
      </w:r>
      <w:r>
        <w:rPr>
          <w:rFonts w:ascii="Times New Roman" w:hAnsi="Times New Roman" w:eastAsia="Times New Roman"/>
          <w:sz w:val="24"/>
          <w:lang w:eastAsia="ru-RU"/>
        </w:rPr>
        <w:t xml:space="preserve">необходимую информацию для проведения мониторинга и оценки эффективности </w:t>
      </w:r>
      <w:r>
        <w:rPr>
          <w:rFonts w:ascii="Times New Roman" w:hAnsi="Times New Roman" w:eastAsia="Times New Roman"/>
          <w:sz w:val="24"/>
          <w:lang w:eastAsia="ru-RU"/>
        </w:rPr>
        <w:t xml:space="preserve">муниципальной п</w:t>
      </w:r>
      <w:r>
        <w:rPr>
          <w:rFonts w:ascii="Times New Roman" w:hAnsi="Times New Roman" w:eastAsia="Times New Roman"/>
          <w:sz w:val="24"/>
          <w:lang w:eastAsia="ru-RU"/>
        </w:rPr>
        <w:t xml:space="preserve">рограммы.</w:t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ind w:left="0" w:righ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Участники муниципальной программы: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tabs>
          <w:tab w:val="left" w:pos="851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</w:t>
      </w:r>
      <w:r>
        <w:rPr>
          <w:rFonts w:ascii="Times New Roman" w:hAnsi="Times New Roman"/>
          <w:sz w:val="24"/>
          <w:szCs w:val="24"/>
        </w:rPr>
        <w:tab/>
        <w:t xml:space="preserve">осуществляют реализацию мероприятий муниципальной программы, участниками которых они являются;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tabs>
          <w:tab w:val="left" w:pos="851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</w:t>
      </w:r>
      <w:r>
        <w:rPr>
          <w:rFonts w:ascii="Times New Roman" w:hAnsi="Times New Roman"/>
          <w:sz w:val="24"/>
          <w:szCs w:val="24"/>
        </w:rPr>
        <w:tab/>
        <w:t xml:space="preserve">представляют ответственному исполнителю муницип</w:t>
      </w:r>
      <w:r>
        <w:rPr>
          <w:rFonts w:ascii="Times New Roman" w:hAnsi="Times New Roman"/>
          <w:sz w:val="24"/>
          <w:szCs w:val="24"/>
        </w:rPr>
        <w:t xml:space="preserve">альной программы (Направления (подпрограммы)) и соисполнителям предложения при разработке проекта муниципальной программы и предложения по внесению в нее изменений в части мероприятий муниципальной программы, в реализации которых предполагается их участие;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tabs>
          <w:tab w:val="left" w:pos="851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</w:t>
      </w:r>
      <w:r>
        <w:rPr>
          <w:rFonts w:ascii="Times New Roman" w:hAnsi="Times New Roman"/>
          <w:sz w:val="24"/>
          <w:szCs w:val="24"/>
        </w:rPr>
        <w:tab/>
        <w:t xml:space="preserve">представляют ответственному исполнителю муниципальной программы (Направления (подпрограммы)) и соисполнителям необходимую информацию для проведения мониторинга и оценки эффективности муниципальной программы.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tabs>
          <w:tab w:val="left" w:pos="851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Мониторинг выполнения муниципальной программы осуществляется по итогам за первый квартал, полугодие, девять месяцев текущего финансового года, а также по итогам прошедшего финансового года.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Результаты мониторинга отражаются в отчетах о ходе реализации муниципальной программы по итогам за первый квартал, полугодие, девять месяцев, а также годовых отчетах о ходе реализации и оценке эффективности муниципальных программ в соответствии с Порядком.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567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ind w:firstLine="567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ind w:firstLine="567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ind w:firstLine="567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lang w:eastAsia="ru-RU"/>
        </w:rPr>
        <w:sectPr>
          <w:footnotePr/>
          <w:endnotePr/>
          <w:type w:val="nextPage"/>
          <w:pgSz w:w="11905" w:h="16838" w:orient="portrait"/>
          <w:pgMar w:top="1134" w:right="706" w:bottom="1701" w:left="1418" w:header="720" w:footer="720" w:gutter="0"/>
          <w:cols w:num="1" w:sep="0" w:space="720" w:equalWidth="1"/>
          <w:docGrid w:linePitch="360"/>
        </w:sect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tbl>
      <w:tblPr>
        <w:tblW w:w="222" w:type="dxa"/>
        <w:tblInd w:w="10728" w:type="dxa"/>
        <w:tblLook w:val="01E0" w:firstRow="1" w:lastRow="1" w:firstColumn="1" w:lastColumn="1" w:noHBand="0" w:noVBand="0"/>
      </w:tblPr>
      <w:tblGrid>
        <w:gridCol w:w="222"/>
      </w:tblGrid>
      <w:tr>
        <w:tblPrEx/>
        <w:trPr/>
        <w:tc>
          <w:tcPr>
            <w:shd w:val="clear" w:color="auto" w:fill="auto"/>
            <w:tcW w:w="222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highlight w:val="yellow"/>
              </w:rPr>
            </w:r>
          </w:p>
        </w:tc>
      </w:tr>
    </w:tbl>
    <w:p>
      <w:pPr>
        <w:ind w:firstLine="709"/>
        <w:jc w:val="center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9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. С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ведения об источниках и методике расчета значений показателей 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муниципальной п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рограммы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tbl>
      <w:tblPr>
        <w:tblW w:w="14168" w:type="dxa"/>
        <w:tblInd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0"/>
        <w:gridCol w:w="2835"/>
        <w:gridCol w:w="1134"/>
        <w:gridCol w:w="1560"/>
        <w:gridCol w:w="2976"/>
        <w:gridCol w:w="2268"/>
        <w:gridCol w:w="1418"/>
        <w:gridCol w:w="1417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 №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/п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Наименование показателя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Единица измерения, временная характеристика</w:t>
            </w:r>
            <w:r>
              <w:rPr>
                <w:rFonts w:ascii="Times New Roman" w:hAnsi="Times New Roman" w:eastAsia="Times New Roman"/>
                <w:sz w:val="20"/>
                <w:szCs w:val="20"/>
                <w:vertAlign w:val="superscript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Алгоритм расчета (формула)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Базовые показатели (используемые в формуле)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Метод сбора информации,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код формы отчетности</w:t>
            </w:r>
            <w:r>
              <w:rPr>
                <w:rFonts w:ascii="Times New Roman" w:hAnsi="Times New Roman" w:eastAsia="Times New Roman"/>
                <w:sz w:val="20"/>
                <w:szCs w:val="20"/>
                <w:vertAlign w:val="superscript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Дата получения фактических значений показателей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Ответственный исполнитель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68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gridSpan w:val="7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608" w:type="dxa"/>
            <w:vAlign w:val="center"/>
            <w:textDirection w:val="lrTb"/>
            <w:noWrap w:val="false"/>
          </w:tcPr>
          <w:p>
            <w:pPr>
              <w:jc w:val="both"/>
              <w:spacing w:after="0" w:line="288" w:lineRule="atLeast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Муниципальная программа «</w:t>
            </w: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Образование</w:t>
            </w: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» 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0.1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835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Доступность дошкольного образования для детей в возрасте от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до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лет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роцент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,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ежегодно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 =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Чдо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/ (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Чдо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+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Чду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) x 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6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Чдо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–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число детей в возрасте от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до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лет в организациях, осуществляющих образовательную деятельность по образовательным программам дошкольного образования, чел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овек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;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2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Данные формы статистического наблюдения №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85-К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;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АИ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С «Электронный детский сад сайт»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cyan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cyan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cyan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cyan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41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с 9 по 24 января после отчетного периода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41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Отдел образования,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Подведомственные отделу образования муниципальные учреждени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я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3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976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Чду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–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численность детей в возрасте от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до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лет, не обеспеченных местом, нуждающихся в получении места в организациях, осуществляющих образовательную деятельность по образовательным программам дошкольного образования, чел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овек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cyan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cyan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cyan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cyan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Borders>
              <w:left w:val="single" w:color="000000" w:sz="6" w:space="0"/>
              <w:right w:val="single" w:color="000000" w:sz="6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94"/>
        </w:trPr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0.2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835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Доля выпускников общеобразовательных организаций, не получивших аттестат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о среднем (полном) образовании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Процент,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ежегодно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 =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100-(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Чо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/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Чоа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x 100)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6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Чоа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–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число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обучающихся, допущенных к государственной итоговой аттестации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, чел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овек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2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cyan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Данные формы статистического наблюдения №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ОО - 1</w:t>
            </w:r>
            <w:r>
              <w:rPr>
                <w:rFonts w:ascii="Times New Roman" w:hAnsi="Times New Roman" w:eastAsia="Times New Roman"/>
                <w:sz w:val="20"/>
                <w:szCs w:val="20"/>
                <w:highlight w:val="cyan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cyan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41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 января года, следующего за отчетным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годом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41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Отдел образования,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Подведомственные отделу образования муниципальные учреждения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350"/>
        </w:trPr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vertAlign w:val="subscript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vertAlign w:val="subscript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vertAlign w:val="subscript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vertAlign w:val="subscript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6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Ч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–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число обучающихся,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допущенных к государственной итоговой аттестации,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и получивших аттестат,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человек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83"/>
        </w:trPr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0.3.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Доля детей в возрасте от 5 до 18 лет, охваченных дополнительным образованием, в общей численности детей в возрасте от 5 до 18 лет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Процент,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ежегодно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Д=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ЧдП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/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Чд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*100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6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Чд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Численность детей в возрасте от 5 до 18 лет, охваченных услугами дополнительного образования  человек;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Региональный навигатор ПФДО 51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До 17 января года, следующего за отчетным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годом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Отдел образования,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Подведомственные отделу образования муниципальные учреждения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720"/>
        </w:trPr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6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Чд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–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Численность детей в возрасте от 5 до 18 лет, проживающих в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Печенгском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муниципальном округе, человек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720"/>
        </w:trPr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835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Доля отдохнувших и оздоровленных детей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и подростков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 оздоровительных учреждениях и на базе образовательных организаций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Процент,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ежегодно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 = ОЧД / ОЧДОО x 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6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ОЧД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–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общая численность детей и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подростков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, охваченных отдыхом и оздоровлением за счет средств бюджета округа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; человек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2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едомственные данные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отдела образования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;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данные формы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статистического наблюдения № ОО-1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41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 января года, следующего за отчетным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годом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41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Отдел образования,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Подведомственные отделу образования муниципальные учреждения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720"/>
        </w:trPr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6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ОЧДОО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–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общая численность детей и подростков от 6 до 18 лет, обучающихся в общеобр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азовательных организациях, человек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720"/>
        </w:trPr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0.5.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Отношение среднемесячной заработной платы педагогических работников муниципальных дошкольных образовательных учреждений к средней заработной плате в общем образовании по Мурманской области</w:t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Процент,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ежегодно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х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х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FOT597-1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-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Сведения об объемах фондов оплаты труда и начислений на фонды оплаты труда работников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г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осударственных областных и муниципальных учреждений в разрезе категорий работников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(далее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–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Ф. </w:t>
            </w:r>
            <w:r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  <w:t xml:space="preserve">FOT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597-1)</w:t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Не позднее 13 января, года следующего за отчетным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годом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МБУ «ЦБ»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720"/>
        </w:trPr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0.6.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Отношение среднемесячной заработной платы педагогических работников муниципальных общеобразовательных учреждений к среднемесячной начисленной заработной плате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наѐмных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работников в организациях, у индивидуальных предпринимателей и физических лиц по Мурманской области (среднемесячному доходу от трудовой деятельности)</w:t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Процент,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ежегодно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х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х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Ф. </w:t>
            </w:r>
            <w:r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  <w:t xml:space="preserve">FOT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597-1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Не позднее 13 января, года следующего за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отчетным годом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МБУ «ЦБ»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71"/>
        </w:trPr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0.7.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Отношение среднемесячной заработной платы педагогических работников муниципальных учреждений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дополнительного образования к средней заработной плате учителей по Мурманской области</w:t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Процент,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ежегодно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х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х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Ф. </w:t>
            </w:r>
            <w:r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  <w:t xml:space="preserve">FOT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597-1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Не позднее 13 января, года следующего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за отчетным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годом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МБУ «ЦБ»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720"/>
        </w:trPr>
        <w:tc>
          <w:tcPr>
            <w:tcBorders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0.8.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835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Доля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учреждений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системы образования, в которых реализованы запланированные мероприятия, направленные на обеспечение материально-технической базы</w:t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Процент,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ежегодно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=У</w:t>
            </w:r>
            <w:r>
              <w:rPr>
                <w:rFonts w:ascii="Times New Roman" w:hAnsi="Times New Roman" w:eastAsia="Times New Roman"/>
                <w:sz w:val="20"/>
                <w:szCs w:val="20"/>
                <w:vertAlign w:val="subscript"/>
                <w:lang w:eastAsia="ru-RU"/>
              </w:rPr>
              <w:t xml:space="preserve">ф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/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У</w:t>
            </w:r>
            <w:r>
              <w:rPr>
                <w:rFonts w:ascii="Times New Roman" w:hAnsi="Times New Roman" w:eastAsia="Times New Roman"/>
                <w:sz w:val="20"/>
                <w:szCs w:val="20"/>
                <w:vertAlign w:val="subscript"/>
                <w:lang w:eastAsia="ru-RU"/>
              </w:rPr>
              <w:t xml:space="preserve">пл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*100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6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Уф -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количество образовательных учреждений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, в которых реализованы запланированные мероприятия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, единиц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                                         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2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Ведомственные данные отдела образования 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41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Ежегодно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41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Отдел образования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720"/>
        </w:trPr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6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Упл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– количество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образовательных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учреждений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, в которых запланированы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мероприятия, направленные на обеспечение материально-технической базы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, единиц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78"/>
        </w:trPr>
        <w:tc>
          <w:tcPr>
            <w:tcBorders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0.9.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835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Доля детей-сирот и детей, оставшихся без попечения родителей, устроенные в замещающие семьи, в общем количестве детей - сирот и детей, оставшихся без попечения родителей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Процент,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ежегодно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Д=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ДС</w:t>
            </w:r>
            <w:r>
              <w:rPr>
                <w:rFonts w:ascii="Times New Roman" w:hAnsi="Times New Roman" w:eastAsia="Times New Roman"/>
                <w:sz w:val="20"/>
                <w:szCs w:val="20"/>
                <w:vertAlign w:val="subscript"/>
                <w:lang w:eastAsia="ru-RU"/>
              </w:rPr>
              <w:t xml:space="preserve">зс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/ДС*100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6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ДСзс</w:t>
            </w:r>
            <w:r>
              <w:rPr>
                <w:rFonts w:ascii="Times New Roman" w:hAnsi="Times New Roman" w:eastAsia="Times New Roman"/>
                <w:sz w:val="20"/>
                <w:szCs w:val="20"/>
                <w:vertAlign w:val="subscript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– численность детей-сирот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и детей, оставшихся без попечения родителей, устроенны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х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в замещающие семьи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(опекуны, попечители, патронат)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, человек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2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Ведомственные данные отдела образования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41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 января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41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Отдел образования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77"/>
        </w:trPr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6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ДС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- Общая численность детей-сирот и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детей, оста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вшихся без попечения родителей, в соответствии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с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списком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, человек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68"/>
        </w:trPr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gridSpan w:val="7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608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u w:val="single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u w:val="single"/>
                <w:lang w:eastAsia="ru-RU"/>
              </w:rPr>
              <w:t xml:space="preserve">Направление</w:t>
            </w:r>
            <w:r>
              <w:rPr>
                <w:rFonts w:ascii="Times New Roman" w:hAnsi="Times New Roman" w:eastAsia="Times New Roman"/>
                <w:b/>
                <w:u w:val="single"/>
                <w:lang w:eastAsia="ru-RU"/>
              </w:rPr>
              <w:t xml:space="preserve"> (подпрограмма)</w:t>
            </w:r>
            <w:r>
              <w:rPr>
                <w:rFonts w:ascii="Times New Roman" w:hAnsi="Times New Roman" w:eastAsia="Times New Roman"/>
                <w:b/>
                <w:u w:val="single"/>
                <w:lang w:eastAsia="ru-RU"/>
              </w:rPr>
              <w:t xml:space="preserve"> 1</w:t>
            </w:r>
            <w:r>
              <w:rPr>
                <w:rFonts w:ascii="Times New Roman" w:hAnsi="Times New Roman" w:eastAsia="Times New Roman"/>
                <w:b/>
                <w:u w:val="single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/>
                <w:b/>
                <w:u w:val="single"/>
                <w:lang w:eastAsia="ru-RU"/>
              </w:rPr>
              <w:t xml:space="preserve"> «Развитие муниципальных учреждений образования»</w:t>
            </w:r>
            <w:r>
              <w:rPr>
                <w:rFonts w:ascii="Times New Roman" w:hAnsi="Times New Roman" w:eastAsia="Times New Roman"/>
                <w:b/>
                <w:u w:val="single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u w:val="single"/>
                <w:lang w:eastAsia="ru-RU"/>
              </w:rPr>
            </w:r>
          </w:p>
          <w:p>
            <w:pPr>
              <w:spacing w:after="0" w:line="288" w:lineRule="atLeast"/>
              <w:rPr>
                <w:rFonts w:ascii="Times New Roman" w:hAnsi="Times New Roman" w:eastAsia="Times New Roman"/>
                <w:b/>
                <w:u w:val="single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u w:val="single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u w:val="single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u w:val="single"/>
                <w:lang w:eastAsia="ru-RU"/>
              </w:rPr>
            </w:r>
          </w:p>
        </w:tc>
      </w:tr>
      <w:tr>
        <w:tblPrEx/>
        <w:trPr>
          <w:trHeight w:val="1253"/>
        </w:trPr>
        <w:tc>
          <w:tcPr>
            <w:tcBorders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1.1.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835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Доля обучающихся, обеспеченных бесплатным питанием в образовательных организациях, в общей численности обучающихся, имеющих право на обеспечение бесплатным питанием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Процент,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ежегодно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Дбп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=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Чбпф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/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Чбп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x 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6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Чбпф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–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численность обучающихся, обеспеченных бесплатным питанием в образовательных организациях, чел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овек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;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2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Ведомственные данные отдела образования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,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отчет 3-Обр, утвержденный приказом Министерства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образования и науки Мурманской области от 28.03.2025 № 540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,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41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до 17 января года, следующего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за отчетным годом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41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Отдел образования,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МБУ «ЦБ»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15"/>
        </w:trPr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6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Чбп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–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общая численность обучающихся, имеющих право на обеспечение бесплатным питанием в образовательных организациях, человек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863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1.2.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2835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Доля общеобразовательных учреждений, здания которых находятся в аварийном состоянии и (или) требуют капитального ремонта, в общем количестве муниципальных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общеобразовательных учреждений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Процент,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ежегодно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Д=УО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/ УОО *100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2976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УО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–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количество общеобразовательных учреждений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округа, находящихся в аварийном состоянии и (или)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требующих капитального ремонта, единиц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22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Данные формы с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татистического наблюдения № ОО-2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41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 апреля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41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Отдел образования,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Подведомственные отделу образования муниципальные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учреждения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862"/>
        </w:trPr>
        <w:tc>
          <w:tcPr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6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УОО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–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количество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общеобразовательных учреждений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округа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всего,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единиц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71"/>
        </w:trPr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1.3.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Доля детей, родители которых воспользовались правом получения компенсации части родительской платы в о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бщей численности детей, родителям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которых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назначена компенсация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части родительской платы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Процент,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ежегодно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х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6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х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тчет 8 - Обр, утвержденный приказом Министерства образования и науки Мурманской области </w:t>
              <w:br/>
              <w:t xml:space="preserve">от 28.03.2025 № 540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До 1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января года, следующего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за отчетным годом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Отдел образования,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МБУ «ЦБ»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5"/>
        </w:trPr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1.4.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835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Доля педагогических работников, прошедших повышение квалификации, от общего числа педагогических работников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Процент,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ежегодно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=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A / C x 100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6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A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–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численность педагогических работников общеобразовательных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учреждений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, прошедших повышение квалификации по программам, включенным в Федеральный реестр дополнительных профессиональных педагогических программ, чел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овек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2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Данные формы статистического наблюдения № ОО - 1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ведомственный мониторинг отдела образования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41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 января года, следующего за отчетным годом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41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Отдел образования,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Подведомственные отделу образования муниципальные учреждения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5"/>
        </w:trPr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00b050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00b050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00b050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6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C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–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общая численность педагогических работников общеобразовательных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учреждений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, чел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овек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00b050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00b050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71"/>
        </w:trPr>
        <w:tc>
          <w:tcPr>
            <w:shd w:val="clear" w:color="auto" w:fill="auto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1.5.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Доля детей в возрасте от 5 до 18 лет, использующих сертификаты дополнительного образования в статусе сертификатов персонифицированного финансирования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Процент,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ежегодно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х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6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х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Региональный навигатор ПФДО 51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До 17 января года, следующего за отчетным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годом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Отдел образования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71"/>
        </w:trPr>
        <w:tc>
          <w:tcPr>
            <w:shd w:val="clear" w:color="auto" w:fill="auto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1.6.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Количество объектов дошкольного и общего образования, в отношении которых осуществлено строительство, проведен капитальный ремонт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Единиц, 2026 - 2027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х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6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х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Ведомственные данные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МБУ «РЭС», МБОУ СОШ № 5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(количество объектов введенных в эксплуатацию, количество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объектов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в отношении которых выполнен капитальный ремонт)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До 15 января следующего за отчетным годом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МБУ «РЭС», МБОУ СОШ № 5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71"/>
        </w:trPr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gridSpan w:val="7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608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u w:val="single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Направление </w:t>
            </w: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(подпрограмма) </w:t>
            </w: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/>
                <w:b/>
                <w:u w:val="single"/>
                <w:lang w:eastAsia="ru-RU"/>
              </w:rPr>
              <w:t xml:space="preserve"> «Положение детей - сирот в современном обществе»</w:t>
            </w:r>
            <w:r>
              <w:rPr>
                <w:rFonts w:ascii="Times New Roman" w:hAnsi="Times New Roman" w:eastAsia="Times New Roman"/>
                <w:b/>
                <w:u w:val="single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u w:val="single"/>
                <w:lang w:eastAsia="ru-RU"/>
              </w:rPr>
            </w:r>
          </w:p>
          <w:p>
            <w:pPr>
              <w:spacing w:after="0" w:line="288" w:lineRule="atLeast"/>
              <w:rPr>
                <w:rFonts w:ascii="Times New Roman" w:hAnsi="Times New Roman" w:eastAsia="Times New Roman"/>
                <w:b/>
                <w:u w:val="single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u w:val="single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u w:val="single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u w:val="single"/>
                <w:lang w:eastAsia="ru-RU"/>
              </w:rPr>
            </w:r>
          </w:p>
        </w:tc>
      </w:tr>
      <w:tr>
        <w:tblPrEx/>
        <w:trPr>
          <w:trHeight w:val="578"/>
        </w:trPr>
        <w:tc>
          <w:tcPr>
            <w:tcBorders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2.1.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835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Доля обеспеченных жилыми помещениями детей - сирот и детей, оставшихся без попечения родителей в общем объеме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нуждающихся в таких помещениях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Процент,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ежегодно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Д=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ДС</w:t>
            </w:r>
            <w:r>
              <w:rPr>
                <w:rFonts w:ascii="Times New Roman" w:hAnsi="Times New Roman" w:eastAsia="Times New Roman"/>
                <w:sz w:val="20"/>
                <w:szCs w:val="20"/>
                <w:vertAlign w:val="subscript"/>
                <w:lang w:eastAsia="ru-RU"/>
              </w:rPr>
              <w:t xml:space="preserve">кв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/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ДСквн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*100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6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ДСкв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– численность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обеспеченных жилыми помещениями детей-сирот и детей, ост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авшихся без попечения родителей, человек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2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Ведомственные данные отдела образования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41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 января года, следующего за отчетным годом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41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Отдел образования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77"/>
        </w:trPr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6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ДСквн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–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общая численность детей-сирот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и детей, оставшихся без попечения родителей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, н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уждающихся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жилых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помещениях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,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согласно списка, человек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690"/>
        </w:trPr>
        <w:tc>
          <w:tcPr>
            <w:tcBorders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2.2.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835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Доля детей-сирот и детей, оставшихся без попечения родителей, которым был осуществлен текущий ремонт жилого помещения, в общем объеме нуждающихся в таком ремонте согласно списку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Процент,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ежегодно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Д=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ДС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р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кв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/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ДС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нркв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*100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6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ДСркв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– Численность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детей-сирот и детей, оставшихся без попечения родителей, которым был осуществлен текущий  ремонт жилого помещения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, человек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2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Ведомственные данные отдела образования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41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 января года, следующего за отчетным годом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41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Отдел образования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690"/>
        </w:trPr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6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ДС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нркв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– Численность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детей-сирот и детей, оставшихся без попечения родителей, нуждающи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мся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текущем ремонте жилого помещения согласно списку, человек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</w:tbl>
    <w:p>
      <w:pPr>
        <w:contextualSpacing/>
        <w:jc w:val="both"/>
        <w:spacing w:after="0" w:line="288" w:lineRule="atLeast"/>
        <w:rPr>
          <w:rFonts w:ascii="Times New Roman" w:hAnsi="Times New Roman" w:eastAsia="Times New Roman"/>
          <w:sz w:val="16"/>
          <w:szCs w:val="16"/>
          <w:vertAlign w:val="superscript"/>
          <w:lang w:eastAsia="ru-RU"/>
        </w:rPr>
      </w:pPr>
      <w:r/>
      <w:bookmarkStart w:id="5" w:name="p124"/>
      <w:r/>
      <w:bookmarkEnd w:id="5"/>
      <w:r>
        <w:rPr>
          <w:rFonts w:ascii="Times New Roman" w:hAnsi="Times New Roman" w:eastAsia="Times New Roman"/>
          <w:sz w:val="16"/>
          <w:szCs w:val="16"/>
          <w:vertAlign w:val="superscript"/>
          <w:lang w:eastAsia="ru-RU"/>
        </w:rPr>
      </w:r>
      <w:r>
        <w:rPr>
          <w:rFonts w:ascii="Times New Roman" w:hAnsi="Times New Roman" w:eastAsia="Times New Roman"/>
          <w:sz w:val="16"/>
          <w:szCs w:val="16"/>
          <w:vertAlign w:val="superscript"/>
          <w:lang w:eastAsia="ru-RU"/>
        </w:rPr>
      </w:r>
    </w:p>
    <w:p>
      <w:pPr>
        <w:contextualSpacing/>
        <w:jc w:val="both"/>
        <w:spacing w:after="0" w:line="288" w:lineRule="atLeast"/>
        <w:rPr>
          <w:rFonts w:ascii="Times New Roman" w:hAnsi="Times New Roman" w:eastAsia="Times New Roman"/>
          <w:sz w:val="16"/>
          <w:szCs w:val="16"/>
          <w:lang w:eastAsia="ru-RU"/>
        </w:rPr>
      </w:pPr>
      <w:r>
        <w:rPr>
          <w:rFonts w:ascii="Times New Roman" w:hAnsi="Times New Roman" w:eastAsia="Times New Roman"/>
          <w:sz w:val="16"/>
          <w:szCs w:val="16"/>
          <w:vertAlign w:val="superscript"/>
          <w:lang w:eastAsia="ru-RU"/>
        </w:rPr>
        <w:t xml:space="preserve">4</w:t>
      </w:r>
      <w:r>
        <w:rPr>
          <w:rFonts w:ascii="Times New Roman" w:hAnsi="Times New Roman" w:eastAsia="Times New Roman"/>
          <w:sz w:val="16"/>
          <w:szCs w:val="16"/>
          <w:lang w:eastAsia="ru-RU"/>
        </w:rPr>
        <w:t xml:space="preserve">Ежегодно, нарастающим итогом, убывающим итогом. </w:t>
      </w:r>
      <w:r>
        <w:rPr>
          <w:rFonts w:ascii="Times New Roman" w:hAnsi="Times New Roman" w:eastAsia="Times New Roman"/>
          <w:sz w:val="16"/>
          <w:szCs w:val="16"/>
          <w:lang w:eastAsia="ru-RU"/>
        </w:rPr>
      </w:r>
      <w:r>
        <w:rPr>
          <w:rFonts w:ascii="Times New Roman" w:hAnsi="Times New Roman" w:eastAsia="Times New Roman"/>
          <w:sz w:val="16"/>
          <w:szCs w:val="16"/>
          <w:lang w:eastAsia="ru-RU"/>
        </w:rPr>
      </w:r>
    </w:p>
    <w:p>
      <w:pPr>
        <w:contextualSpacing/>
        <w:jc w:val="both"/>
        <w:spacing w:before="168" w:after="0" w:line="288" w:lineRule="atLeast"/>
        <w:rPr>
          <w:rFonts w:ascii="Times New Roman" w:hAnsi="Times New Roman" w:eastAsia="Times New Roman"/>
          <w:sz w:val="16"/>
          <w:szCs w:val="16"/>
          <w:lang w:eastAsia="ru-RU"/>
        </w:rPr>
      </w:pPr>
      <w:r>
        <w:rPr>
          <w:rFonts w:ascii="Times New Roman" w:hAnsi="Times New Roman" w:eastAsia="Times New Roman"/>
          <w:sz w:val="16"/>
          <w:szCs w:val="16"/>
          <w:vertAlign w:val="superscript"/>
          <w:lang w:eastAsia="ru-RU"/>
        </w:rPr>
        <w:t xml:space="preserve">5</w:t>
      </w:r>
      <w:r>
        <w:rPr>
          <w:rFonts w:ascii="Times New Roman" w:hAnsi="Times New Roman" w:eastAsia="Times New Roman"/>
          <w:sz w:val="16"/>
          <w:szCs w:val="16"/>
          <w:lang w:eastAsia="ru-RU"/>
        </w:rPr>
        <w:t xml:space="preserve">Указываются методы: статистическая отчетность, социологический опрос, прочие (указать). </w:t>
      </w:r>
      <w:r>
        <w:rPr>
          <w:rFonts w:ascii="Times New Roman" w:hAnsi="Times New Roman" w:eastAsia="Times New Roman"/>
          <w:sz w:val="16"/>
          <w:szCs w:val="16"/>
          <w:lang w:eastAsia="ru-RU"/>
        </w:rPr>
      </w:r>
      <w:r>
        <w:rPr>
          <w:rFonts w:ascii="Times New Roman" w:hAnsi="Times New Roman" w:eastAsia="Times New Roman"/>
          <w:sz w:val="16"/>
          <w:szCs w:val="16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  <w:sectPr>
          <w:footnotePr/>
          <w:endnotePr/>
          <w:type w:val="nextPage"/>
          <w:pgSz w:w="16838" w:h="11905" w:orient="landscape"/>
          <w:pgMar w:top="851" w:right="851" w:bottom="993" w:left="1701" w:header="720" w:footer="720" w:gutter="0"/>
          <w:cols w:num="1" w:sep="0" w:space="720" w:equalWidth="1"/>
          <w:docGrid w:linePitch="360"/>
        </w:sect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contextualSpacing/>
        <w:jc w:val="both"/>
        <w:spacing w:before="168" w:after="0" w:line="288" w:lineRule="atLeast"/>
        <w:rPr>
          <w:rFonts w:ascii="Times New Roman" w:hAnsi="Times New Roman" w:eastAsia="Times New Roman"/>
          <w:b/>
          <w:sz w:val="16"/>
          <w:szCs w:val="16"/>
          <w:highlight w:val="yellow"/>
          <w:lang w:eastAsia="ru-RU"/>
        </w:rPr>
        <w:sectPr>
          <w:footnotePr/>
          <w:endnotePr/>
          <w:type w:val="nextPage"/>
          <w:pgSz w:w="11905" w:h="16838" w:orient="portrait"/>
          <w:pgMar w:top="1701" w:right="851" w:bottom="851" w:left="992" w:header="720" w:footer="720" w:gutter="0"/>
          <w:cols w:num="1" w:sep="0" w:space="720" w:equalWidth="1"/>
          <w:docGrid w:linePitch="360"/>
        </w:sectPr>
      </w:pPr>
      <w:r>
        <w:rPr>
          <w:rFonts w:ascii="Times New Roman" w:hAnsi="Times New Roman" w:eastAsia="Times New Roman"/>
          <w:b/>
          <w:sz w:val="16"/>
          <w:szCs w:val="16"/>
          <w:highlight w:val="yellow"/>
          <w:lang w:eastAsia="ru-RU"/>
        </w:rPr>
      </w:r>
      <w:r>
        <w:rPr>
          <w:rFonts w:ascii="Times New Roman" w:hAnsi="Times New Roman" w:eastAsia="Times New Roman"/>
          <w:b/>
          <w:sz w:val="16"/>
          <w:szCs w:val="16"/>
          <w:highlight w:val="yellow"/>
          <w:lang w:eastAsia="ru-RU"/>
        </w:rPr>
      </w:r>
      <w:r>
        <w:rPr>
          <w:rFonts w:ascii="Times New Roman" w:hAnsi="Times New Roman" w:eastAsia="Times New Roman"/>
          <w:b/>
          <w:sz w:val="16"/>
          <w:szCs w:val="16"/>
          <w:highlight w:val="yellow"/>
          <w:lang w:eastAsia="ru-RU"/>
        </w:rPr>
      </w:r>
    </w:p>
    <w:p>
      <w:pPr>
        <w:contextualSpacing/>
        <w:jc w:val="both"/>
        <w:spacing w:before="168" w:after="0" w:line="288" w:lineRule="atLeast"/>
        <w:rPr>
          <w:rFonts w:ascii="Times New Roman" w:hAnsi="Times New Roman" w:eastAsia="Times New Roman"/>
          <w:b/>
          <w:sz w:val="16"/>
          <w:szCs w:val="16"/>
          <w:highlight w:val="yellow"/>
          <w:lang w:eastAsia="ru-RU"/>
        </w:rPr>
      </w:pPr>
      <w:r>
        <w:rPr>
          <w:rFonts w:ascii="Times New Roman" w:hAnsi="Times New Roman" w:eastAsia="Times New Roman"/>
          <w:b/>
          <w:sz w:val="16"/>
          <w:szCs w:val="16"/>
          <w:highlight w:val="yellow"/>
          <w:lang w:eastAsia="ru-RU"/>
        </w:rPr>
      </w:r>
      <w:r>
        <w:rPr>
          <w:rFonts w:ascii="Times New Roman" w:hAnsi="Times New Roman" w:eastAsia="Times New Roman"/>
          <w:b/>
          <w:sz w:val="16"/>
          <w:szCs w:val="16"/>
          <w:highlight w:val="yellow"/>
          <w:lang w:eastAsia="ru-RU"/>
        </w:rPr>
      </w:r>
      <w:r>
        <w:rPr>
          <w:rFonts w:ascii="Times New Roman" w:hAnsi="Times New Roman" w:eastAsia="Times New Roman"/>
          <w:b/>
          <w:sz w:val="16"/>
          <w:szCs w:val="16"/>
          <w:highlight w:val="yellow"/>
          <w:lang w:eastAsia="ru-RU"/>
        </w:rPr>
      </w:r>
    </w:p>
    <w:p>
      <w:pPr>
        <w:contextualSpacing/>
        <w:jc w:val="both"/>
        <w:spacing w:before="168" w:after="0" w:line="288" w:lineRule="atLeast"/>
        <w:rPr>
          <w:rFonts w:ascii="Times New Roman" w:hAnsi="Times New Roman" w:eastAsia="Times New Roman"/>
          <w:b/>
          <w:sz w:val="16"/>
          <w:szCs w:val="16"/>
          <w:lang w:eastAsia="ru-RU"/>
        </w:rPr>
      </w:pPr>
      <w:r>
        <w:rPr>
          <w:rFonts w:ascii="Times New Roman" w:hAnsi="Times New Roman" w:eastAsia="Times New Roman"/>
          <w:b/>
          <w:sz w:val="16"/>
          <w:szCs w:val="16"/>
          <w:lang w:eastAsia="ru-RU"/>
        </w:rPr>
      </w:r>
      <w:r>
        <w:rPr>
          <w:rFonts w:ascii="Times New Roman" w:hAnsi="Times New Roman" w:eastAsia="Times New Roman"/>
          <w:b/>
          <w:sz w:val="16"/>
          <w:szCs w:val="16"/>
          <w:lang w:eastAsia="ru-RU"/>
        </w:rPr>
      </w:r>
      <w:r>
        <w:rPr>
          <w:rFonts w:ascii="Times New Roman" w:hAnsi="Times New Roman" w:eastAsia="Times New Roman"/>
          <w:b/>
          <w:sz w:val="16"/>
          <w:szCs w:val="16"/>
          <w:lang w:eastAsia="ru-RU"/>
        </w:rPr>
      </w:r>
    </w:p>
    <w:sectPr>
      <w:footnotePr/>
      <w:endnotePr/>
      <w:type w:val="nextPage"/>
      <w:pgSz w:w="16838" w:h="11905" w:orient="landscape"/>
      <w:pgMar w:top="851" w:right="851" w:bottom="993" w:left="1701" w:header="720" w:footer="72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</w:font>
  <w:font w:name="Tahoma">
    <w:panose1 w:val="020B0604030504040204"/>
  </w:font>
  <w:font w:name="Courier New">
    <w:panose1 w:val="02070309020205020404"/>
  </w:font>
  <w:font w:name="Cambria">
    <w:panose1 w:val="0204050305040603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644" w:hanging="360"/>
      </w:pPr>
      <w:rPr>
        <w:rFonts w:hint="default"/>
        <w:color w:val="ff0000"/>
      </w:rPr>
    </w:lvl>
    <w:lvl w:ilvl="2">
      <w:start w:val="1"/>
      <w:numFmt w:val="decimal"/>
      <w:isLgl/>
      <w:suff w:val="tab"/>
      <w:lvlText w:val="%1.%2.%3."/>
      <w:lvlJc w:val="left"/>
      <w:pPr>
        <w:ind w:left="1004" w:hanging="720"/>
      </w:pPr>
      <w:rPr>
        <w:rFonts w:hint="default"/>
        <w:color w:val="ff0000"/>
      </w:rPr>
    </w:lvl>
    <w:lvl w:ilvl="3">
      <w:start w:val="1"/>
      <w:numFmt w:val="decimal"/>
      <w:isLgl/>
      <w:suff w:val="tab"/>
      <w:lvlText w:val="%1.%2.%3.%4."/>
      <w:lvlJc w:val="left"/>
      <w:pPr>
        <w:ind w:left="1004" w:hanging="720"/>
      </w:pPr>
      <w:rPr>
        <w:rFonts w:hint="default"/>
        <w:color w:val="ff0000"/>
      </w:rPr>
    </w:lvl>
    <w:lvl w:ilvl="4">
      <w:start w:val="1"/>
      <w:numFmt w:val="decimal"/>
      <w:isLgl/>
      <w:suff w:val="tab"/>
      <w:lvlText w:val="%1.%2.%3.%4.%5."/>
      <w:lvlJc w:val="left"/>
      <w:pPr>
        <w:ind w:left="1364" w:hanging="1080"/>
      </w:pPr>
      <w:rPr>
        <w:rFonts w:hint="default"/>
        <w:color w:val="ff0000"/>
      </w:rPr>
    </w:lvl>
    <w:lvl w:ilvl="5">
      <w:start w:val="1"/>
      <w:numFmt w:val="decimal"/>
      <w:isLgl/>
      <w:suff w:val="tab"/>
      <w:lvlText w:val="%1.%2.%3.%4.%5.%6."/>
      <w:lvlJc w:val="left"/>
      <w:pPr>
        <w:ind w:left="1364" w:hanging="1080"/>
      </w:pPr>
      <w:rPr>
        <w:rFonts w:hint="default"/>
        <w:color w:val="ff0000"/>
      </w:rPr>
    </w:lvl>
    <w:lvl w:ilvl="6">
      <w:start w:val="1"/>
      <w:numFmt w:val="decimal"/>
      <w:isLgl/>
      <w:suff w:val="tab"/>
      <w:lvlText w:val="%1.%2.%3.%4.%5.%6.%7."/>
      <w:lvlJc w:val="left"/>
      <w:pPr>
        <w:ind w:left="1364" w:hanging="1080"/>
      </w:pPr>
      <w:rPr>
        <w:rFonts w:hint="default"/>
        <w:color w:val="ff0000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724" w:hanging="1440"/>
      </w:pPr>
      <w:rPr>
        <w:rFonts w:hint="default"/>
        <w:color w:val="ff0000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1724" w:hanging="1440"/>
      </w:pPr>
      <w:rPr>
        <w:rFonts w:hint="default"/>
        <w:color w:val="ff0000"/>
      </w:rPr>
    </w:lvl>
  </w:abstractNum>
  <w:abstractNum w:abstractNumId="1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252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8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6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3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0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7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4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2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920" w:hanging="180"/>
      </w:pPr>
    </w:lvl>
  </w:abstractNum>
  <w:abstractNum w:abstractNumId="7">
    <w:multiLevelType w:val="hybridMultilevel"/>
    <w:lvl w:ilvl="0">
      <w:start w:val="2"/>
      <w:numFmt w:val="upperRoman"/>
      <w:isLgl w:val="false"/>
      <w:suff w:val="tab"/>
      <w:lvlText w:val="%1."/>
      <w:lvlJc w:val="left"/>
      <w:pPr>
        <w:ind w:left="2782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14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86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58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0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2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74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46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182" w:hanging="180"/>
      </w:pPr>
    </w:lvl>
  </w:abstractNum>
  <w:abstractNum w:abstractNumId="8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2422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4123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4843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5563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6283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7003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7723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8443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9163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ascii="Times New Roman" w:hAnsi="Times New Roman" w:cs="Times New Roman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13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4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8"/>
  </w:num>
  <w:num w:numId="3">
    <w:abstractNumId w:val="14"/>
  </w:num>
  <w:num w:numId="4">
    <w:abstractNumId w:val="10"/>
  </w:num>
  <w:num w:numId="5">
    <w:abstractNumId w:val="12"/>
  </w:num>
  <w:num w:numId="6">
    <w:abstractNumId w:val="9"/>
  </w:num>
  <w:num w:numId="7">
    <w:abstractNumId w:val="11"/>
  </w:num>
  <w:num w:numId="8">
    <w:abstractNumId w:val="13"/>
  </w:num>
  <w:num w:numId="9">
    <w:abstractNumId w:val="6"/>
  </w:num>
  <w:num w:numId="10">
    <w:abstractNumId w:val="1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</w:num>
  <w:num w:numId="13">
    <w:abstractNumId w:val="2"/>
  </w:num>
  <w:num w:numId="14">
    <w:abstractNumId w:val="5"/>
  </w:num>
  <w:num w:numId="15">
    <w:abstractNumId w:val="15"/>
  </w:num>
  <w:num w:numId="16">
    <w:abstractNumId w:val="0"/>
  </w:num>
  <w:num w:numId="1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87">
    <w:name w:val="Heading 4 Char"/>
    <w:basedOn w:val="728"/>
    <w:link w:val="722"/>
    <w:uiPriority w:val="9"/>
    <w:rPr>
      <w:rFonts w:ascii="Arial" w:hAnsi="Arial" w:eastAsia="Arial" w:cs="Arial"/>
      <w:b/>
      <w:bCs/>
      <w:sz w:val="26"/>
      <w:szCs w:val="26"/>
    </w:rPr>
  </w:style>
  <w:style w:type="character" w:styleId="688">
    <w:name w:val="Heading 5 Char"/>
    <w:basedOn w:val="728"/>
    <w:link w:val="723"/>
    <w:uiPriority w:val="9"/>
    <w:rPr>
      <w:rFonts w:ascii="Arial" w:hAnsi="Arial" w:eastAsia="Arial" w:cs="Arial"/>
      <w:b/>
      <w:bCs/>
      <w:sz w:val="24"/>
      <w:szCs w:val="24"/>
    </w:rPr>
  </w:style>
  <w:style w:type="character" w:styleId="689">
    <w:name w:val="Heading 6 Char"/>
    <w:basedOn w:val="728"/>
    <w:link w:val="724"/>
    <w:uiPriority w:val="9"/>
    <w:rPr>
      <w:rFonts w:ascii="Arial" w:hAnsi="Arial" w:eastAsia="Arial" w:cs="Arial"/>
      <w:b/>
      <w:bCs/>
      <w:sz w:val="22"/>
      <w:szCs w:val="22"/>
    </w:rPr>
  </w:style>
  <w:style w:type="character" w:styleId="690">
    <w:name w:val="Heading 7 Char"/>
    <w:basedOn w:val="728"/>
    <w:link w:val="7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91">
    <w:name w:val="Heading 8 Char"/>
    <w:basedOn w:val="728"/>
    <w:link w:val="726"/>
    <w:uiPriority w:val="9"/>
    <w:rPr>
      <w:rFonts w:ascii="Arial" w:hAnsi="Arial" w:eastAsia="Arial" w:cs="Arial"/>
      <w:i/>
      <w:iCs/>
      <w:sz w:val="22"/>
      <w:szCs w:val="22"/>
    </w:rPr>
  </w:style>
  <w:style w:type="character" w:styleId="692">
    <w:name w:val="Heading 9 Char"/>
    <w:basedOn w:val="728"/>
    <w:link w:val="727"/>
    <w:uiPriority w:val="9"/>
    <w:rPr>
      <w:rFonts w:ascii="Arial" w:hAnsi="Arial" w:eastAsia="Arial" w:cs="Arial"/>
      <w:i/>
      <w:iCs/>
      <w:sz w:val="21"/>
      <w:szCs w:val="21"/>
    </w:rPr>
  </w:style>
  <w:style w:type="character" w:styleId="693">
    <w:name w:val="Title Char"/>
    <w:basedOn w:val="728"/>
    <w:link w:val="740"/>
    <w:uiPriority w:val="10"/>
    <w:rPr>
      <w:sz w:val="48"/>
      <w:szCs w:val="48"/>
    </w:rPr>
  </w:style>
  <w:style w:type="character" w:styleId="694">
    <w:name w:val="Subtitle Char"/>
    <w:basedOn w:val="728"/>
    <w:link w:val="742"/>
    <w:uiPriority w:val="11"/>
    <w:rPr>
      <w:sz w:val="24"/>
      <w:szCs w:val="24"/>
    </w:rPr>
  </w:style>
  <w:style w:type="character" w:styleId="695">
    <w:name w:val="Quote Char"/>
    <w:link w:val="744"/>
    <w:uiPriority w:val="29"/>
    <w:rPr>
      <w:i/>
    </w:rPr>
  </w:style>
  <w:style w:type="character" w:styleId="696">
    <w:name w:val="Intense Quote Char"/>
    <w:link w:val="746"/>
    <w:uiPriority w:val="30"/>
    <w:rPr>
      <w:i/>
    </w:rPr>
  </w:style>
  <w:style w:type="table" w:styleId="697">
    <w:name w:val="Plain Table 1"/>
    <w:basedOn w:val="72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8">
    <w:name w:val="Plain Table 2"/>
    <w:basedOn w:val="72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3"/>
    <w:basedOn w:val="72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0">
    <w:name w:val="Plain Table 4"/>
    <w:basedOn w:val="72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Plain Table 5"/>
    <w:basedOn w:val="72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2">
    <w:name w:val="Grid Table 1 Light"/>
    <w:basedOn w:val="7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2"/>
    <w:basedOn w:val="7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3"/>
    <w:basedOn w:val="7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4"/>
    <w:basedOn w:val="72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6">
    <w:name w:val="Grid Table 5 Dark"/>
    <w:basedOn w:val="7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07">
    <w:name w:val="Grid Table 6 Colorful"/>
    <w:basedOn w:val="7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08">
    <w:name w:val="Grid Table 7 Colorful"/>
    <w:basedOn w:val="7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List Table 1 Light"/>
    <w:basedOn w:val="72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List Table 2"/>
    <w:basedOn w:val="7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11">
    <w:name w:val="List Table 3"/>
    <w:basedOn w:val="7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List Table 4"/>
    <w:basedOn w:val="7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>
    <w:name w:val="List Table 5 Dark"/>
    <w:basedOn w:val="7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14">
    <w:name w:val="List Table 6 Colorful"/>
    <w:basedOn w:val="7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15">
    <w:name w:val="List Table 7 Colorful"/>
    <w:basedOn w:val="7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character" w:styleId="716">
    <w:name w:val="Footnote Text Char"/>
    <w:link w:val="876"/>
    <w:uiPriority w:val="99"/>
    <w:rPr>
      <w:sz w:val="18"/>
    </w:rPr>
  </w:style>
  <w:style w:type="character" w:styleId="717">
    <w:name w:val="Endnote Text Char"/>
    <w:link w:val="879"/>
    <w:uiPriority w:val="99"/>
    <w:rPr>
      <w:sz w:val="20"/>
    </w:rPr>
  </w:style>
  <w:style w:type="paragraph" w:styleId="718" w:default="1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719">
    <w:name w:val="Heading 1"/>
    <w:basedOn w:val="718"/>
    <w:link w:val="913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hAnsi="Times New Roman" w:eastAsia="Times New Roman"/>
      <w:b/>
      <w:bCs/>
      <w:sz w:val="48"/>
      <w:szCs w:val="48"/>
      <w:lang w:eastAsia="ru-RU"/>
    </w:rPr>
  </w:style>
  <w:style w:type="paragraph" w:styleId="720">
    <w:name w:val="Heading 2"/>
    <w:basedOn w:val="718"/>
    <w:next w:val="718"/>
    <w:link w:val="914"/>
    <w:qFormat/>
    <w:pPr>
      <w:keepNext/>
      <w:spacing w:before="240" w:after="60" w:line="240" w:lineRule="auto"/>
      <w:outlineLvl w:val="1"/>
    </w:pPr>
    <w:rPr>
      <w:rFonts w:ascii="Cambria" w:hAnsi="Cambria" w:eastAsia="Times New Roman"/>
      <w:b/>
      <w:bCs/>
      <w:i/>
      <w:iCs/>
      <w:sz w:val="28"/>
      <w:szCs w:val="28"/>
      <w:lang w:eastAsia="ru-RU"/>
    </w:rPr>
  </w:style>
  <w:style w:type="paragraph" w:styleId="721">
    <w:name w:val="Heading 3"/>
    <w:basedOn w:val="718"/>
    <w:next w:val="718"/>
    <w:link w:val="915"/>
    <w:qFormat/>
    <w:pPr>
      <w:keepNext/>
      <w:spacing w:before="240" w:after="60" w:line="240" w:lineRule="auto"/>
      <w:outlineLvl w:val="2"/>
    </w:pPr>
    <w:rPr>
      <w:rFonts w:ascii="Cambria" w:hAnsi="Cambria" w:eastAsia="Times New Roman"/>
      <w:b/>
      <w:bCs/>
      <w:sz w:val="26"/>
      <w:szCs w:val="26"/>
      <w:lang w:eastAsia="ru-RU"/>
    </w:rPr>
  </w:style>
  <w:style w:type="paragraph" w:styleId="722">
    <w:name w:val="Heading 4"/>
    <w:basedOn w:val="718"/>
    <w:next w:val="718"/>
    <w:link w:val="73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23">
    <w:name w:val="Heading 5"/>
    <w:basedOn w:val="718"/>
    <w:next w:val="718"/>
    <w:link w:val="73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24">
    <w:name w:val="Heading 6"/>
    <w:basedOn w:val="718"/>
    <w:next w:val="718"/>
    <w:link w:val="73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725">
    <w:name w:val="Heading 7"/>
    <w:basedOn w:val="718"/>
    <w:next w:val="718"/>
    <w:link w:val="73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726">
    <w:name w:val="Heading 8"/>
    <w:basedOn w:val="718"/>
    <w:next w:val="718"/>
    <w:link w:val="73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727">
    <w:name w:val="Heading 9"/>
    <w:basedOn w:val="718"/>
    <w:next w:val="718"/>
    <w:link w:val="73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28" w:default="1">
    <w:name w:val="Default Paragraph Font"/>
    <w:uiPriority w:val="1"/>
    <w:semiHidden/>
    <w:unhideWhenUsed/>
  </w:style>
  <w:style w:type="table" w:styleId="72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30" w:default="1">
    <w:name w:val="No List"/>
    <w:uiPriority w:val="99"/>
    <w:semiHidden/>
    <w:unhideWhenUsed/>
  </w:style>
  <w:style w:type="character" w:styleId="731" w:customStyle="1">
    <w:name w:val="Heading 1 Char"/>
    <w:basedOn w:val="728"/>
    <w:uiPriority w:val="9"/>
    <w:rPr>
      <w:rFonts w:ascii="Arial" w:hAnsi="Arial" w:eastAsia="Arial" w:cs="Arial"/>
      <w:sz w:val="40"/>
      <w:szCs w:val="40"/>
    </w:rPr>
  </w:style>
  <w:style w:type="character" w:styleId="732" w:customStyle="1">
    <w:name w:val="Heading 2 Char"/>
    <w:basedOn w:val="728"/>
    <w:uiPriority w:val="9"/>
    <w:rPr>
      <w:rFonts w:ascii="Arial" w:hAnsi="Arial" w:eastAsia="Arial" w:cs="Arial"/>
      <w:sz w:val="34"/>
    </w:rPr>
  </w:style>
  <w:style w:type="character" w:styleId="733" w:customStyle="1">
    <w:name w:val="Heading 3 Char"/>
    <w:basedOn w:val="728"/>
    <w:uiPriority w:val="9"/>
    <w:rPr>
      <w:rFonts w:ascii="Arial" w:hAnsi="Arial" w:eastAsia="Arial" w:cs="Arial"/>
      <w:sz w:val="30"/>
      <w:szCs w:val="30"/>
    </w:rPr>
  </w:style>
  <w:style w:type="character" w:styleId="734" w:customStyle="1">
    <w:name w:val="Заголовок 4 Знак"/>
    <w:basedOn w:val="728"/>
    <w:link w:val="722"/>
    <w:uiPriority w:val="9"/>
    <w:rPr>
      <w:rFonts w:ascii="Arial" w:hAnsi="Arial" w:eastAsia="Arial" w:cs="Arial"/>
      <w:b/>
      <w:bCs/>
      <w:sz w:val="26"/>
      <w:szCs w:val="26"/>
    </w:rPr>
  </w:style>
  <w:style w:type="character" w:styleId="735" w:customStyle="1">
    <w:name w:val="Заголовок 5 Знак"/>
    <w:basedOn w:val="728"/>
    <w:link w:val="723"/>
    <w:uiPriority w:val="9"/>
    <w:rPr>
      <w:rFonts w:ascii="Arial" w:hAnsi="Arial" w:eastAsia="Arial" w:cs="Arial"/>
      <w:b/>
      <w:bCs/>
      <w:sz w:val="24"/>
      <w:szCs w:val="24"/>
    </w:rPr>
  </w:style>
  <w:style w:type="character" w:styleId="736" w:customStyle="1">
    <w:name w:val="Заголовок 6 Знак"/>
    <w:basedOn w:val="728"/>
    <w:link w:val="724"/>
    <w:uiPriority w:val="9"/>
    <w:rPr>
      <w:rFonts w:ascii="Arial" w:hAnsi="Arial" w:eastAsia="Arial" w:cs="Arial"/>
      <w:b/>
      <w:bCs/>
      <w:sz w:val="22"/>
      <w:szCs w:val="22"/>
    </w:rPr>
  </w:style>
  <w:style w:type="character" w:styleId="737" w:customStyle="1">
    <w:name w:val="Заголовок 7 Знак"/>
    <w:basedOn w:val="728"/>
    <w:link w:val="7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38" w:customStyle="1">
    <w:name w:val="Заголовок 8 Знак"/>
    <w:basedOn w:val="728"/>
    <w:link w:val="726"/>
    <w:uiPriority w:val="9"/>
    <w:rPr>
      <w:rFonts w:ascii="Arial" w:hAnsi="Arial" w:eastAsia="Arial" w:cs="Arial"/>
      <w:i/>
      <w:iCs/>
      <w:sz w:val="22"/>
      <w:szCs w:val="22"/>
    </w:rPr>
  </w:style>
  <w:style w:type="character" w:styleId="739" w:customStyle="1">
    <w:name w:val="Заголовок 9 Знак"/>
    <w:basedOn w:val="728"/>
    <w:link w:val="727"/>
    <w:uiPriority w:val="9"/>
    <w:rPr>
      <w:rFonts w:ascii="Arial" w:hAnsi="Arial" w:eastAsia="Arial" w:cs="Arial"/>
      <w:i/>
      <w:iCs/>
      <w:sz w:val="21"/>
      <w:szCs w:val="21"/>
    </w:rPr>
  </w:style>
  <w:style w:type="paragraph" w:styleId="740">
    <w:name w:val="Title"/>
    <w:basedOn w:val="718"/>
    <w:next w:val="718"/>
    <w:link w:val="741"/>
    <w:uiPriority w:val="10"/>
    <w:qFormat/>
    <w:pPr>
      <w:contextualSpacing/>
      <w:spacing w:before="300"/>
    </w:pPr>
    <w:rPr>
      <w:sz w:val="48"/>
      <w:szCs w:val="48"/>
    </w:rPr>
  </w:style>
  <w:style w:type="character" w:styleId="741" w:customStyle="1">
    <w:name w:val="Название Знак"/>
    <w:basedOn w:val="728"/>
    <w:link w:val="740"/>
    <w:uiPriority w:val="10"/>
    <w:rPr>
      <w:sz w:val="48"/>
      <w:szCs w:val="48"/>
    </w:rPr>
  </w:style>
  <w:style w:type="paragraph" w:styleId="742">
    <w:name w:val="Subtitle"/>
    <w:basedOn w:val="718"/>
    <w:next w:val="718"/>
    <w:link w:val="743"/>
    <w:uiPriority w:val="11"/>
    <w:qFormat/>
    <w:pPr>
      <w:spacing w:before="200"/>
    </w:pPr>
    <w:rPr>
      <w:sz w:val="24"/>
      <w:szCs w:val="24"/>
    </w:rPr>
  </w:style>
  <w:style w:type="character" w:styleId="743" w:customStyle="1">
    <w:name w:val="Подзаголовок Знак"/>
    <w:basedOn w:val="728"/>
    <w:link w:val="742"/>
    <w:uiPriority w:val="11"/>
    <w:rPr>
      <w:sz w:val="24"/>
      <w:szCs w:val="24"/>
    </w:rPr>
  </w:style>
  <w:style w:type="paragraph" w:styleId="744">
    <w:name w:val="Quote"/>
    <w:basedOn w:val="718"/>
    <w:next w:val="718"/>
    <w:link w:val="745"/>
    <w:uiPriority w:val="29"/>
    <w:qFormat/>
    <w:pPr>
      <w:ind w:left="720" w:right="720"/>
    </w:pPr>
    <w:rPr>
      <w:i/>
    </w:rPr>
  </w:style>
  <w:style w:type="character" w:styleId="745" w:customStyle="1">
    <w:name w:val="Цитата 2 Знак"/>
    <w:link w:val="744"/>
    <w:uiPriority w:val="29"/>
    <w:rPr>
      <w:i/>
    </w:rPr>
  </w:style>
  <w:style w:type="paragraph" w:styleId="746">
    <w:name w:val="Intense Quote"/>
    <w:basedOn w:val="718"/>
    <w:next w:val="718"/>
    <w:link w:val="747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7" w:customStyle="1">
    <w:name w:val="Выделенная цитата Знак"/>
    <w:link w:val="746"/>
    <w:uiPriority w:val="30"/>
    <w:rPr>
      <w:i/>
    </w:rPr>
  </w:style>
  <w:style w:type="character" w:styleId="748" w:customStyle="1">
    <w:name w:val="Header Char"/>
    <w:basedOn w:val="728"/>
    <w:uiPriority w:val="99"/>
  </w:style>
  <w:style w:type="character" w:styleId="749" w:customStyle="1">
    <w:name w:val="Footer Char"/>
    <w:basedOn w:val="728"/>
    <w:uiPriority w:val="99"/>
  </w:style>
  <w:style w:type="character" w:styleId="750" w:customStyle="1">
    <w:name w:val="Caption Char"/>
    <w:uiPriority w:val="99"/>
  </w:style>
  <w:style w:type="table" w:styleId="751" w:customStyle="1">
    <w:name w:val="Table Grid Light"/>
    <w:basedOn w:val="729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2" w:customStyle="1">
    <w:name w:val="Таблица простая 11"/>
    <w:basedOn w:val="729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3" w:customStyle="1">
    <w:name w:val="Таблица простая 21"/>
    <w:basedOn w:val="729"/>
    <w:uiPriority w:val="59"/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4" w:customStyle="1">
    <w:name w:val="Таблица простая 31"/>
    <w:basedOn w:val="729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5" w:customStyle="1">
    <w:name w:val="Таблица простая 41"/>
    <w:basedOn w:val="729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 w:customStyle="1">
    <w:name w:val="Таблица простая 51"/>
    <w:basedOn w:val="729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7" w:customStyle="1">
    <w:name w:val="Таблица-сетка 1 светлая1"/>
    <w:basedOn w:val="729"/>
    <w:uiPriority w:val="99"/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 w:customStyle="1">
    <w:name w:val="Grid Table 1 Light - Accent 1"/>
    <w:basedOn w:val="729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 w:customStyle="1">
    <w:name w:val="Grid Table 1 Light - Accent 2"/>
    <w:basedOn w:val="729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 w:customStyle="1">
    <w:name w:val="Grid Table 1 Light - Accent 3"/>
    <w:basedOn w:val="729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 w:customStyle="1">
    <w:name w:val="Grid Table 1 Light - Accent 4"/>
    <w:basedOn w:val="729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 w:customStyle="1">
    <w:name w:val="Grid Table 1 Light - Accent 5"/>
    <w:basedOn w:val="729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 w:customStyle="1">
    <w:name w:val="Grid Table 1 Light - Accent 6"/>
    <w:basedOn w:val="729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 w:customStyle="1">
    <w:name w:val="Таблица-сетка 21"/>
    <w:basedOn w:val="729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2 - Accent 1"/>
    <w:basedOn w:val="729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2 - Accent 2"/>
    <w:basedOn w:val="729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2 - Accent 3"/>
    <w:basedOn w:val="729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2 - Accent 4"/>
    <w:basedOn w:val="729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2 - Accent 5"/>
    <w:basedOn w:val="729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2 - Accent 6"/>
    <w:basedOn w:val="729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Таблица-сетка 31"/>
    <w:basedOn w:val="729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3 - Accent 1"/>
    <w:basedOn w:val="729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3 - Accent 2"/>
    <w:basedOn w:val="729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3 - Accent 3"/>
    <w:basedOn w:val="729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Grid Table 3 - Accent 4"/>
    <w:basedOn w:val="729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Grid Table 3 - Accent 5"/>
    <w:basedOn w:val="729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Grid Table 3 - Accent 6"/>
    <w:basedOn w:val="729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Таблица-сетка 41"/>
    <w:basedOn w:val="729"/>
    <w:uiPriority w:val="5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9" w:customStyle="1">
    <w:name w:val="Grid Table 4 - Accent 1"/>
    <w:basedOn w:val="729"/>
    <w:uiPriority w:val="5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80" w:customStyle="1">
    <w:name w:val="Grid Table 4 - Accent 2"/>
    <w:basedOn w:val="729"/>
    <w:uiPriority w:val="5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81" w:customStyle="1">
    <w:name w:val="Grid Table 4 - Accent 3"/>
    <w:basedOn w:val="729"/>
    <w:uiPriority w:val="5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82" w:customStyle="1">
    <w:name w:val="Grid Table 4 - Accent 4"/>
    <w:basedOn w:val="729"/>
    <w:uiPriority w:val="5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83" w:customStyle="1">
    <w:name w:val="Grid Table 4 - Accent 5"/>
    <w:basedOn w:val="729"/>
    <w:uiPriority w:val="5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84" w:customStyle="1">
    <w:name w:val="Grid Table 4 - Accent 6"/>
    <w:basedOn w:val="729"/>
    <w:uiPriority w:val="5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85" w:customStyle="1">
    <w:name w:val="Таблица-сетка 5 темная1"/>
    <w:basedOn w:val="729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86" w:customStyle="1">
    <w:name w:val="Grid Table 5 Dark- Accent 1"/>
    <w:basedOn w:val="729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87" w:customStyle="1">
    <w:name w:val="Grid Table 5 Dark - Accent 2"/>
    <w:basedOn w:val="729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88" w:customStyle="1">
    <w:name w:val="Grid Table 5 Dark - Accent 3"/>
    <w:basedOn w:val="729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89" w:customStyle="1">
    <w:name w:val="Grid Table 5 Dark- Accent 4"/>
    <w:basedOn w:val="729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90" w:customStyle="1">
    <w:name w:val="Grid Table 5 Dark - Accent 5"/>
    <w:basedOn w:val="729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91" w:customStyle="1">
    <w:name w:val="Grid Table 5 Dark - Accent 6"/>
    <w:basedOn w:val="729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92" w:customStyle="1">
    <w:name w:val="Таблица-сетка 6 цветная1"/>
    <w:basedOn w:val="729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93" w:customStyle="1">
    <w:name w:val="Grid Table 6 Colorful - Accent 1"/>
    <w:basedOn w:val="729"/>
    <w:uiPriority w:val="99"/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94" w:customStyle="1">
    <w:name w:val="Grid Table 6 Colorful - Accent 2"/>
    <w:basedOn w:val="729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95" w:customStyle="1">
    <w:name w:val="Grid Table 6 Colorful - Accent 3"/>
    <w:basedOn w:val="729"/>
    <w:uiPriority w:val="99"/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96" w:customStyle="1">
    <w:name w:val="Grid Table 6 Colorful - Accent 4"/>
    <w:basedOn w:val="729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97" w:customStyle="1">
    <w:name w:val="Grid Table 6 Colorful - Accent 5"/>
    <w:basedOn w:val="729"/>
    <w:uiPriority w:val="99"/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8" w:customStyle="1">
    <w:name w:val="Grid Table 6 Colorful - Accent 6"/>
    <w:basedOn w:val="729"/>
    <w:uiPriority w:val="99"/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9" w:customStyle="1">
    <w:name w:val="Таблица-сетка 7 цветная1"/>
    <w:basedOn w:val="729"/>
    <w:uiPriority w:val="99"/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0" w:customStyle="1">
    <w:name w:val="Grid Table 7 Colorful - Accent 1"/>
    <w:basedOn w:val="729"/>
    <w:uiPriority w:val="99"/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1" w:customStyle="1">
    <w:name w:val="Grid Table 7 Colorful - Accent 2"/>
    <w:basedOn w:val="729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2" w:customStyle="1">
    <w:name w:val="Grid Table 7 Colorful - Accent 3"/>
    <w:basedOn w:val="729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Grid Table 7 Colorful - Accent 4"/>
    <w:basedOn w:val="729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Grid Table 7 Colorful - Accent 5"/>
    <w:basedOn w:val="729"/>
    <w:uiPriority w:val="99"/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Grid Table 7 Colorful - Accent 6"/>
    <w:basedOn w:val="729"/>
    <w:uiPriority w:val="99"/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Список-таблица 1 светлая1"/>
    <w:basedOn w:val="729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List Table 1 Light - Accent 1"/>
    <w:basedOn w:val="729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List Table 1 Light - Accent 2"/>
    <w:basedOn w:val="729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List Table 1 Light - Accent 3"/>
    <w:basedOn w:val="729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List Table 1 Light - Accent 4"/>
    <w:basedOn w:val="729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List Table 1 Light - Accent 5"/>
    <w:basedOn w:val="729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List Table 1 Light - Accent 6"/>
    <w:basedOn w:val="729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Список-таблица 21"/>
    <w:basedOn w:val="729"/>
    <w:uiPriority w:val="9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14" w:customStyle="1">
    <w:name w:val="List Table 2 - Accent 1"/>
    <w:basedOn w:val="729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15" w:customStyle="1">
    <w:name w:val="List Table 2 - Accent 2"/>
    <w:basedOn w:val="729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16" w:customStyle="1">
    <w:name w:val="List Table 2 - Accent 3"/>
    <w:basedOn w:val="729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17" w:customStyle="1">
    <w:name w:val="List Table 2 - Accent 4"/>
    <w:basedOn w:val="729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18" w:customStyle="1">
    <w:name w:val="List Table 2 - Accent 5"/>
    <w:basedOn w:val="729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19" w:customStyle="1">
    <w:name w:val="List Table 2 - Accent 6"/>
    <w:basedOn w:val="729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20" w:customStyle="1">
    <w:name w:val="Список-таблица 31"/>
    <w:basedOn w:val="729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List Table 3 - Accent 1"/>
    <w:basedOn w:val="729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List Table 3 - Accent 2"/>
    <w:basedOn w:val="729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List Table 3 - Accent 3"/>
    <w:basedOn w:val="729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List Table 3 - Accent 4"/>
    <w:basedOn w:val="729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List Table 3 - Accent 5"/>
    <w:basedOn w:val="729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List Table 3 - Accent 6"/>
    <w:basedOn w:val="729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Список-таблица 41"/>
    <w:basedOn w:val="729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List Table 4 - Accent 1"/>
    <w:basedOn w:val="729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List Table 4 - Accent 2"/>
    <w:basedOn w:val="729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 w:customStyle="1">
    <w:name w:val="List Table 4 - Accent 3"/>
    <w:basedOn w:val="729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 w:customStyle="1">
    <w:name w:val="List Table 4 - Accent 4"/>
    <w:basedOn w:val="729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 w:customStyle="1">
    <w:name w:val="List Table 4 - Accent 5"/>
    <w:basedOn w:val="729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 w:customStyle="1">
    <w:name w:val="List Table 4 - Accent 6"/>
    <w:basedOn w:val="729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 w:customStyle="1">
    <w:name w:val="Список-таблица 5 темная1"/>
    <w:basedOn w:val="729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5" w:customStyle="1">
    <w:name w:val="List Table 5 Dark - Accent 1"/>
    <w:basedOn w:val="729"/>
    <w:uiPriority w:val="99"/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6" w:customStyle="1">
    <w:name w:val="List Table 5 Dark - Accent 2"/>
    <w:basedOn w:val="729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7" w:customStyle="1">
    <w:name w:val="List Table 5 Dark - Accent 3"/>
    <w:basedOn w:val="729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8" w:customStyle="1">
    <w:name w:val="List Table 5 Dark - Accent 4"/>
    <w:basedOn w:val="729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9" w:customStyle="1">
    <w:name w:val="List Table 5 Dark - Accent 5"/>
    <w:basedOn w:val="729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0" w:customStyle="1">
    <w:name w:val="List Table 5 Dark - Accent 6"/>
    <w:basedOn w:val="729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1" w:customStyle="1">
    <w:name w:val="Список-таблица 6 цветная1"/>
    <w:basedOn w:val="729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42" w:customStyle="1">
    <w:name w:val="List Table 6 Colorful - Accent 1"/>
    <w:basedOn w:val="729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43" w:customStyle="1">
    <w:name w:val="List Table 6 Colorful - Accent 2"/>
    <w:basedOn w:val="729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44" w:customStyle="1">
    <w:name w:val="List Table 6 Colorful - Accent 3"/>
    <w:basedOn w:val="729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45" w:customStyle="1">
    <w:name w:val="List Table 6 Colorful - Accent 4"/>
    <w:basedOn w:val="729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46" w:customStyle="1">
    <w:name w:val="List Table 6 Colorful - Accent 5"/>
    <w:basedOn w:val="729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47" w:customStyle="1">
    <w:name w:val="List Table 6 Colorful - Accent 6"/>
    <w:basedOn w:val="729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48" w:customStyle="1">
    <w:name w:val="Список-таблица 7 цветная1"/>
    <w:basedOn w:val="729"/>
    <w:uiPriority w:val="99"/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9" w:customStyle="1">
    <w:name w:val="List Table 7 Colorful - Accent 1"/>
    <w:basedOn w:val="729"/>
    <w:uiPriority w:val="99"/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0" w:customStyle="1">
    <w:name w:val="List Table 7 Colorful - Accent 2"/>
    <w:basedOn w:val="729"/>
    <w:uiPriority w:val="99"/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1" w:customStyle="1">
    <w:name w:val="List Table 7 Colorful - Accent 3"/>
    <w:basedOn w:val="729"/>
    <w:uiPriority w:val="99"/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2" w:customStyle="1">
    <w:name w:val="List Table 7 Colorful - Accent 4"/>
    <w:basedOn w:val="729"/>
    <w:uiPriority w:val="99"/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3" w:customStyle="1">
    <w:name w:val="List Table 7 Colorful - Accent 5"/>
    <w:basedOn w:val="729"/>
    <w:uiPriority w:val="99"/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4" w:customStyle="1">
    <w:name w:val="List Table 7 Colorful - Accent 6"/>
    <w:basedOn w:val="729"/>
    <w:uiPriority w:val="99"/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5" w:customStyle="1">
    <w:name w:val="Lined - Accent"/>
    <w:basedOn w:val="729"/>
    <w:uiPriority w:val="99"/>
    <w:rPr>
      <w:color w:val="40404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6" w:customStyle="1">
    <w:name w:val="Lined - Accent 1"/>
    <w:basedOn w:val="729"/>
    <w:uiPriority w:val="99"/>
    <w:rPr>
      <w:color w:val="40404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7" w:customStyle="1">
    <w:name w:val="Lined - Accent 2"/>
    <w:basedOn w:val="729"/>
    <w:uiPriority w:val="99"/>
    <w:rPr>
      <w:color w:val="40404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8" w:customStyle="1">
    <w:name w:val="Lined - Accent 3"/>
    <w:basedOn w:val="729"/>
    <w:uiPriority w:val="99"/>
    <w:rPr>
      <w:color w:val="40404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9" w:customStyle="1">
    <w:name w:val="Lined - Accent 4"/>
    <w:basedOn w:val="729"/>
    <w:uiPriority w:val="99"/>
    <w:rPr>
      <w:color w:val="40404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0" w:customStyle="1">
    <w:name w:val="Lined - Accent 5"/>
    <w:basedOn w:val="729"/>
    <w:uiPriority w:val="99"/>
    <w:rPr>
      <w:color w:val="40404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1" w:customStyle="1">
    <w:name w:val="Lined - Accent 6"/>
    <w:basedOn w:val="729"/>
    <w:uiPriority w:val="99"/>
    <w:rPr>
      <w:color w:val="40404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2" w:customStyle="1">
    <w:name w:val="Bordered &amp; Lined - Accent"/>
    <w:basedOn w:val="729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3" w:customStyle="1">
    <w:name w:val="Bordered &amp; Lined - Accent 1"/>
    <w:basedOn w:val="729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4" w:customStyle="1">
    <w:name w:val="Bordered &amp; Lined - Accent 2"/>
    <w:basedOn w:val="729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5" w:customStyle="1">
    <w:name w:val="Bordered &amp; Lined - Accent 3"/>
    <w:basedOn w:val="729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6" w:customStyle="1">
    <w:name w:val="Bordered &amp; Lined - Accent 4"/>
    <w:basedOn w:val="729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7" w:customStyle="1">
    <w:name w:val="Bordered &amp; Lined - Accent 5"/>
    <w:basedOn w:val="729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8" w:customStyle="1">
    <w:name w:val="Bordered &amp; Lined - Accent 6"/>
    <w:basedOn w:val="729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9" w:customStyle="1">
    <w:name w:val="Bordered"/>
    <w:basedOn w:val="729"/>
    <w:uiPriority w:val="99"/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70" w:customStyle="1">
    <w:name w:val="Bordered - Accent 1"/>
    <w:basedOn w:val="729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71" w:customStyle="1">
    <w:name w:val="Bordered - Accent 2"/>
    <w:basedOn w:val="729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72" w:customStyle="1">
    <w:name w:val="Bordered - Accent 3"/>
    <w:basedOn w:val="729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73" w:customStyle="1">
    <w:name w:val="Bordered - Accent 4"/>
    <w:basedOn w:val="729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74" w:customStyle="1">
    <w:name w:val="Bordered - Accent 5"/>
    <w:basedOn w:val="729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75" w:customStyle="1">
    <w:name w:val="Bordered - Accent 6"/>
    <w:basedOn w:val="729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76">
    <w:name w:val="footnote text"/>
    <w:basedOn w:val="718"/>
    <w:link w:val="877"/>
    <w:uiPriority w:val="99"/>
    <w:semiHidden/>
    <w:unhideWhenUsed/>
    <w:pPr>
      <w:spacing w:after="40" w:line="240" w:lineRule="auto"/>
    </w:pPr>
    <w:rPr>
      <w:sz w:val="18"/>
    </w:rPr>
  </w:style>
  <w:style w:type="character" w:styleId="877" w:customStyle="1">
    <w:name w:val="Текст сноски Знак"/>
    <w:link w:val="876"/>
    <w:uiPriority w:val="99"/>
    <w:rPr>
      <w:sz w:val="18"/>
    </w:rPr>
  </w:style>
  <w:style w:type="character" w:styleId="878">
    <w:name w:val="footnote reference"/>
    <w:basedOn w:val="728"/>
    <w:uiPriority w:val="99"/>
    <w:unhideWhenUsed/>
    <w:rPr>
      <w:vertAlign w:val="superscript"/>
    </w:rPr>
  </w:style>
  <w:style w:type="paragraph" w:styleId="879">
    <w:name w:val="endnote text"/>
    <w:basedOn w:val="718"/>
    <w:link w:val="880"/>
    <w:uiPriority w:val="99"/>
    <w:semiHidden/>
    <w:unhideWhenUsed/>
    <w:pPr>
      <w:spacing w:after="0" w:line="240" w:lineRule="auto"/>
    </w:pPr>
    <w:rPr>
      <w:sz w:val="20"/>
    </w:rPr>
  </w:style>
  <w:style w:type="character" w:styleId="880" w:customStyle="1">
    <w:name w:val="Текст концевой сноски Знак"/>
    <w:link w:val="879"/>
    <w:uiPriority w:val="99"/>
    <w:rPr>
      <w:sz w:val="20"/>
    </w:rPr>
  </w:style>
  <w:style w:type="character" w:styleId="881">
    <w:name w:val="endnote reference"/>
    <w:basedOn w:val="728"/>
    <w:uiPriority w:val="99"/>
    <w:semiHidden/>
    <w:unhideWhenUsed/>
    <w:rPr>
      <w:vertAlign w:val="superscript"/>
    </w:rPr>
  </w:style>
  <w:style w:type="paragraph" w:styleId="882">
    <w:name w:val="toc 1"/>
    <w:basedOn w:val="718"/>
    <w:next w:val="718"/>
    <w:uiPriority w:val="39"/>
    <w:unhideWhenUsed/>
    <w:pPr>
      <w:spacing w:after="57"/>
    </w:pPr>
  </w:style>
  <w:style w:type="paragraph" w:styleId="883">
    <w:name w:val="toc 2"/>
    <w:basedOn w:val="718"/>
    <w:next w:val="718"/>
    <w:uiPriority w:val="39"/>
    <w:unhideWhenUsed/>
    <w:pPr>
      <w:ind w:left="283"/>
      <w:spacing w:after="57"/>
    </w:pPr>
  </w:style>
  <w:style w:type="paragraph" w:styleId="884">
    <w:name w:val="toc 3"/>
    <w:basedOn w:val="718"/>
    <w:next w:val="718"/>
    <w:uiPriority w:val="39"/>
    <w:unhideWhenUsed/>
    <w:pPr>
      <w:ind w:left="567"/>
      <w:spacing w:after="57"/>
    </w:pPr>
  </w:style>
  <w:style w:type="paragraph" w:styleId="885">
    <w:name w:val="toc 4"/>
    <w:basedOn w:val="718"/>
    <w:next w:val="718"/>
    <w:uiPriority w:val="39"/>
    <w:unhideWhenUsed/>
    <w:pPr>
      <w:ind w:left="850"/>
      <w:spacing w:after="57"/>
    </w:pPr>
  </w:style>
  <w:style w:type="paragraph" w:styleId="886">
    <w:name w:val="toc 5"/>
    <w:basedOn w:val="718"/>
    <w:next w:val="718"/>
    <w:uiPriority w:val="39"/>
    <w:unhideWhenUsed/>
    <w:pPr>
      <w:ind w:left="1134"/>
      <w:spacing w:after="57"/>
    </w:pPr>
  </w:style>
  <w:style w:type="paragraph" w:styleId="887">
    <w:name w:val="toc 6"/>
    <w:basedOn w:val="718"/>
    <w:next w:val="718"/>
    <w:uiPriority w:val="39"/>
    <w:unhideWhenUsed/>
    <w:pPr>
      <w:ind w:left="1417"/>
      <w:spacing w:after="57"/>
    </w:pPr>
  </w:style>
  <w:style w:type="paragraph" w:styleId="888">
    <w:name w:val="toc 7"/>
    <w:basedOn w:val="718"/>
    <w:next w:val="718"/>
    <w:uiPriority w:val="39"/>
    <w:unhideWhenUsed/>
    <w:pPr>
      <w:ind w:left="1701"/>
      <w:spacing w:after="57"/>
    </w:pPr>
  </w:style>
  <w:style w:type="paragraph" w:styleId="889">
    <w:name w:val="toc 8"/>
    <w:basedOn w:val="718"/>
    <w:next w:val="718"/>
    <w:uiPriority w:val="39"/>
    <w:unhideWhenUsed/>
    <w:pPr>
      <w:ind w:left="1984"/>
      <w:spacing w:after="57"/>
    </w:pPr>
  </w:style>
  <w:style w:type="paragraph" w:styleId="890">
    <w:name w:val="toc 9"/>
    <w:basedOn w:val="718"/>
    <w:next w:val="718"/>
    <w:uiPriority w:val="39"/>
    <w:unhideWhenUsed/>
    <w:pPr>
      <w:ind w:left="2268"/>
      <w:spacing w:after="57"/>
    </w:pPr>
  </w:style>
  <w:style w:type="paragraph" w:styleId="891">
    <w:name w:val="TOC Heading"/>
    <w:uiPriority w:val="39"/>
    <w:unhideWhenUsed/>
  </w:style>
  <w:style w:type="paragraph" w:styleId="892">
    <w:name w:val="table of figures"/>
    <w:basedOn w:val="718"/>
    <w:next w:val="718"/>
    <w:uiPriority w:val="99"/>
    <w:unhideWhenUsed/>
    <w:pPr>
      <w:spacing w:after="0"/>
    </w:pPr>
  </w:style>
  <w:style w:type="paragraph" w:styleId="893" w:customStyle="1">
    <w:name w:val="ConsPlusNormal"/>
    <w:pPr>
      <w:widowControl w:val="off"/>
    </w:pPr>
    <w:rPr>
      <w:rFonts w:eastAsia="Times New Roman" w:cs="Calibri"/>
      <w:sz w:val="22"/>
      <w:szCs w:val="22"/>
    </w:rPr>
  </w:style>
  <w:style w:type="paragraph" w:styleId="894" w:customStyle="1">
    <w:name w:val="ConsPlusNonformat"/>
    <w:uiPriority w:val="99"/>
    <w:pPr>
      <w:widowControl w:val="off"/>
    </w:pPr>
    <w:rPr>
      <w:rFonts w:ascii="Courier New" w:hAnsi="Courier New" w:eastAsia="Times New Roman" w:cs="Courier New"/>
    </w:rPr>
  </w:style>
  <w:style w:type="paragraph" w:styleId="895" w:customStyle="1">
    <w:name w:val="ConsPlusTitle"/>
    <w:pPr>
      <w:widowControl w:val="off"/>
    </w:pPr>
    <w:rPr>
      <w:rFonts w:eastAsia="Times New Roman" w:cs="Calibri"/>
      <w:b/>
      <w:bCs/>
      <w:sz w:val="22"/>
      <w:szCs w:val="22"/>
    </w:rPr>
  </w:style>
  <w:style w:type="paragraph" w:styleId="896" w:customStyle="1">
    <w:name w:val="ConsPlusCell"/>
    <w:uiPriority w:val="99"/>
    <w:pPr>
      <w:widowControl w:val="off"/>
    </w:pPr>
    <w:rPr>
      <w:rFonts w:eastAsia="Times New Roman" w:cs="Calibri"/>
      <w:sz w:val="22"/>
      <w:szCs w:val="22"/>
    </w:rPr>
  </w:style>
  <w:style w:type="character" w:styleId="897" w:customStyle="1">
    <w:name w:val="МОН Знак"/>
    <w:link w:val="898"/>
    <w:rPr>
      <w:sz w:val="24"/>
      <w:szCs w:val="24"/>
    </w:rPr>
  </w:style>
  <w:style w:type="paragraph" w:styleId="898" w:customStyle="1">
    <w:name w:val="МОН"/>
    <w:basedOn w:val="718"/>
    <w:link w:val="897"/>
    <w:pPr>
      <w:ind w:firstLine="709"/>
      <w:jc w:val="both"/>
      <w:spacing w:after="0" w:line="360" w:lineRule="auto"/>
    </w:pPr>
    <w:rPr>
      <w:sz w:val="24"/>
      <w:szCs w:val="24"/>
    </w:rPr>
  </w:style>
  <w:style w:type="character" w:styleId="899">
    <w:name w:val="Strong"/>
    <w:qFormat/>
    <w:rPr>
      <w:b/>
      <w:bCs/>
    </w:rPr>
  </w:style>
  <w:style w:type="paragraph" w:styleId="900">
    <w:name w:val="List Paragraph"/>
    <w:basedOn w:val="718"/>
    <w:qFormat/>
    <w:pPr>
      <w:contextualSpacing/>
      <w:ind w:left="720"/>
    </w:pPr>
  </w:style>
  <w:style w:type="character" w:styleId="901" w:customStyle="1">
    <w:name w:val="Основной текст_"/>
    <w:link w:val="902"/>
    <w:rPr>
      <w:rFonts w:ascii="Times New Roman" w:hAnsi="Times New Roman" w:eastAsia="Times New Roman" w:cs="Times New Roman"/>
      <w:spacing w:val="-1"/>
      <w:sz w:val="26"/>
      <w:szCs w:val="26"/>
      <w:shd w:val="clear" w:color="auto" w:fill="ffffff"/>
    </w:rPr>
  </w:style>
  <w:style w:type="paragraph" w:styleId="902" w:customStyle="1">
    <w:name w:val="Основной текст2"/>
    <w:basedOn w:val="718"/>
    <w:link w:val="901"/>
    <w:pPr>
      <w:jc w:val="both"/>
      <w:spacing w:before="420" w:after="0" w:line="322" w:lineRule="exact"/>
      <w:shd w:val="clear" w:color="auto" w:fill="ffffff"/>
      <w:widowControl w:val="off"/>
    </w:pPr>
    <w:rPr>
      <w:rFonts w:ascii="Times New Roman" w:hAnsi="Times New Roman" w:eastAsia="Times New Roman"/>
      <w:spacing w:val="-1"/>
      <w:sz w:val="26"/>
      <w:szCs w:val="26"/>
    </w:rPr>
  </w:style>
  <w:style w:type="paragraph" w:styleId="903">
    <w:name w:val="Body Text 2"/>
    <w:basedOn w:val="718"/>
    <w:link w:val="904"/>
    <w:pPr>
      <w:jc w:val="both"/>
      <w:spacing w:after="0" w:line="240" w:lineRule="auto"/>
    </w:pPr>
    <w:rPr>
      <w:rFonts w:ascii="Times New Roman" w:hAnsi="Times New Roman" w:eastAsia="Times New Roman"/>
      <w:b/>
      <w:bCs/>
      <w:sz w:val="24"/>
      <w:szCs w:val="20"/>
      <w:lang w:eastAsia="fi-FI"/>
    </w:rPr>
  </w:style>
  <w:style w:type="character" w:styleId="904" w:customStyle="1">
    <w:name w:val="Основной текст 2 Знак"/>
    <w:link w:val="903"/>
    <w:rPr>
      <w:rFonts w:ascii="Times New Roman" w:hAnsi="Times New Roman" w:eastAsia="Times New Roman" w:cs="Times New Roman"/>
      <w:b/>
      <w:bCs/>
      <w:sz w:val="24"/>
      <w:szCs w:val="20"/>
      <w:lang w:eastAsia="fi-FI"/>
    </w:rPr>
  </w:style>
  <w:style w:type="paragraph" w:styleId="905">
    <w:name w:val="Footer"/>
    <w:basedOn w:val="718"/>
    <w:link w:val="906"/>
    <w:uiPriority w:val="99"/>
    <w:unhideWhenUsed/>
    <w:pPr>
      <w:jc w:val="both"/>
      <w:spacing w:after="0" w:line="240" w:lineRule="auto"/>
      <w:tabs>
        <w:tab w:val="center" w:pos="4677" w:leader="none"/>
        <w:tab w:val="right" w:pos="9355" w:leader="none"/>
      </w:tabs>
    </w:pPr>
    <w:rPr>
      <w:rFonts w:ascii="Times New Roman" w:hAnsi="Times New Roman"/>
      <w:sz w:val="24"/>
      <w:szCs w:val="24"/>
    </w:rPr>
  </w:style>
  <w:style w:type="character" w:styleId="906" w:customStyle="1">
    <w:name w:val="Нижний колонтитул Знак"/>
    <w:link w:val="905"/>
    <w:uiPriority w:val="99"/>
    <w:rPr>
      <w:rFonts w:ascii="Times New Roman" w:hAnsi="Times New Roman" w:eastAsia="Calibri" w:cs="Times New Roman"/>
      <w:sz w:val="24"/>
      <w:szCs w:val="24"/>
    </w:rPr>
  </w:style>
  <w:style w:type="character" w:styleId="907" w:customStyle="1">
    <w:name w:val="Основной текст + 8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-2"/>
      <w:position w:val="0"/>
      <w:sz w:val="16"/>
      <w:szCs w:val="16"/>
      <w:u w:val="none"/>
      <w:lang w:val="ru-RU"/>
    </w:rPr>
  </w:style>
  <w:style w:type="paragraph" w:styleId="908" w:customStyle="1">
    <w:name w:val="32"/>
    <w:basedOn w:val="718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09" w:customStyle="1">
    <w:name w:val="Основной текст + 10;5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2"/>
      <w:position w:val="0"/>
      <w:sz w:val="21"/>
      <w:szCs w:val="21"/>
      <w:u w:val="none"/>
      <w:lang w:val="ru-RU"/>
    </w:rPr>
  </w:style>
  <w:style w:type="paragraph" w:styleId="910">
    <w:name w:val="Normal (Web)"/>
    <w:basedOn w:val="718"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11">
    <w:name w:val="Body Text Indent"/>
    <w:basedOn w:val="718"/>
    <w:link w:val="912"/>
    <w:pPr>
      <w:ind w:left="283"/>
      <w:spacing w:after="120" w:line="240" w:lineRule="auto"/>
    </w:pPr>
    <w:rPr>
      <w:rFonts w:ascii="Times New Roman" w:hAnsi="Times New Roman" w:eastAsia="Times New Roman"/>
      <w:sz w:val="24"/>
      <w:szCs w:val="24"/>
    </w:rPr>
  </w:style>
  <w:style w:type="character" w:styleId="912" w:customStyle="1">
    <w:name w:val="Основной текст с отступом Знак"/>
    <w:link w:val="911"/>
    <w:rPr>
      <w:rFonts w:ascii="Times New Roman" w:hAnsi="Times New Roman" w:eastAsia="Times New Roman" w:cs="Times New Roman"/>
      <w:sz w:val="24"/>
      <w:szCs w:val="24"/>
    </w:rPr>
  </w:style>
  <w:style w:type="character" w:styleId="913" w:customStyle="1">
    <w:name w:val="Заголовок 1 Знак"/>
    <w:link w:val="719"/>
    <w:uiPriority w:val="9"/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character" w:styleId="914" w:customStyle="1">
    <w:name w:val="Заголовок 2 Знак"/>
    <w:link w:val="720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915" w:customStyle="1">
    <w:name w:val="Заголовок 3 Знак"/>
    <w:link w:val="721"/>
    <w:rPr>
      <w:rFonts w:ascii="Cambria" w:hAnsi="Cambria" w:eastAsia="Times New Roman" w:cs="Times New Roman"/>
      <w:b/>
      <w:bCs/>
      <w:sz w:val="26"/>
      <w:szCs w:val="26"/>
      <w:lang w:eastAsia="ru-RU"/>
    </w:rPr>
  </w:style>
  <w:style w:type="table" w:styleId="916">
    <w:name w:val="Table Grid"/>
    <w:basedOn w:val="729"/>
    <w:uiPriority w:val="99"/>
    <w:rPr>
      <w:rFonts w:ascii="Times New Roman" w:hAnsi="Times New Roman" w:eastAsia="Times New Roman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917">
    <w:name w:val="Balloon Text"/>
    <w:basedOn w:val="718"/>
    <w:link w:val="918"/>
    <w:pPr>
      <w:spacing w:after="0" w:line="240" w:lineRule="auto"/>
    </w:pPr>
    <w:rPr>
      <w:rFonts w:ascii="Tahoma" w:hAnsi="Tahoma" w:eastAsia="Times New Roman" w:cs="Tahoma"/>
      <w:sz w:val="16"/>
      <w:szCs w:val="16"/>
      <w:lang w:eastAsia="ru-RU"/>
    </w:rPr>
  </w:style>
  <w:style w:type="character" w:styleId="918" w:customStyle="1">
    <w:name w:val="Текст выноски Знак"/>
    <w:link w:val="917"/>
    <w:rPr>
      <w:rFonts w:ascii="Tahoma" w:hAnsi="Tahoma" w:eastAsia="Times New Roman" w:cs="Tahoma"/>
      <w:sz w:val="16"/>
      <w:szCs w:val="16"/>
      <w:lang w:eastAsia="ru-RU"/>
    </w:rPr>
  </w:style>
  <w:style w:type="paragraph" w:styleId="919">
    <w:name w:val="Header"/>
    <w:basedOn w:val="718"/>
    <w:link w:val="920"/>
    <w:uiPriority w:val="99"/>
    <w:pPr>
      <w:spacing w:after="0" w:line="240" w:lineRule="auto"/>
      <w:tabs>
        <w:tab w:val="center" w:pos="4677" w:leader="none"/>
        <w:tab w:val="right" w:pos="9355" w:leader="none"/>
      </w:tabs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20" w:customStyle="1">
    <w:name w:val="Верхний колонтитул Знак"/>
    <w:link w:val="919"/>
    <w:uiPriority w:val="99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21">
    <w:name w:val="Emphasis"/>
    <w:qFormat/>
    <w:rPr>
      <w:i/>
      <w:iCs/>
    </w:rPr>
  </w:style>
  <w:style w:type="paragraph" w:styleId="922" w:customStyle="1">
    <w:name w:val="Содержимое таблицы"/>
    <w:basedOn w:val="718"/>
    <w:pPr>
      <w:spacing w:after="0" w:line="240" w:lineRule="auto"/>
      <w:widowControl w:val="off"/>
      <w:suppressLineNumbers/>
    </w:pPr>
    <w:rPr>
      <w:rFonts w:ascii="Times New Roman" w:hAnsi="Times New Roman"/>
      <w:sz w:val="24"/>
      <w:szCs w:val="24"/>
      <w:lang w:eastAsia="ar-SA"/>
    </w:rPr>
  </w:style>
  <w:style w:type="paragraph" w:styleId="923" w:customStyle="1">
    <w:name w:val="consplusnormal"/>
    <w:basedOn w:val="718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24" w:customStyle="1">
    <w:name w:val="a2"/>
    <w:basedOn w:val="718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25" w:customStyle="1">
    <w:name w:val="15"/>
    <w:basedOn w:val="718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26" w:customStyle="1">
    <w:name w:val="Знак Знак5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27" w:customStyle="1">
    <w:name w:val="h1"/>
    <w:basedOn w:val="718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28" w:customStyle="1">
    <w:name w:val="msonospacing"/>
    <w:basedOn w:val="718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29" w:customStyle="1">
    <w:name w:val="ac"/>
    <w:basedOn w:val="718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30">
    <w:name w:val="Body Text 3"/>
    <w:basedOn w:val="718"/>
    <w:link w:val="931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31" w:customStyle="1">
    <w:name w:val="Основной текст 3 Знак"/>
    <w:link w:val="930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32">
    <w:name w:val="HTML Bottom of Form"/>
    <w:basedOn w:val="718"/>
    <w:next w:val="718"/>
    <w:link w:val="933"/>
    <w:hidden/>
    <w:pPr>
      <w:jc w:val="center"/>
      <w:spacing w:after="0" w:line="240" w:lineRule="auto"/>
      <w:pBdr>
        <w:top w:val="single" w:color="000000" w:sz="6" w:space="1"/>
      </w:pBdr>
    </w:pPr>
    <w:rPr>
      <w:rFonts w:ascii="Arial" w:hAnsi="Arial" w:eastAsia="Times New Roman"/>
      <w:vanish/>
      <w:sz w:val="16"/>
      <w:szCs w:val="16"/>
      <w:lang w:eastAsia="ru-RU"/>
    </w:rPr>
  </w:style>
  <w:style w:type="character" w:styleId="933" w:customStyle="1">
    <w:name w:val="z-Конец формы Знак"/>
    <w:link w:val="932"/>
    <w:rPr>
      <w:rFonts w:ascii="Arial" w:hAnsi="Arial" w:eastAsia="Times New Roman" w:cs="Times New Roman"/>
      <w:vanish/>
      <w:sz w:val="16"/>
      <w:szCs w:val="16"/>
      <w:lang w:eastAsia="ru-RU"/>
    </w:rPr>
  </w:style>
  <w:style w:type="paragraph" w:styleId="934" w:customStyle="1">
    <w:name w:val="Style16"/>
    <w:basedOn w:val="718"/>
    <w:pPr>
      <w:spacing w:after="0" w:line="240" w:lineRule="auto"/>
      <w:widowControl w:val="off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35" w:customStyle="1">
    <w:name w:val="Font Style21"/>
    <w:rPr>
      <w:rFonts w:ascii="Times New Roman" w:hAnsi="Times New Roman" w:cs="Times New Roman"/>
      <w:b/>
      <w:bCs/>
      <w:sz w:val="24"/>
      <w:szCs w:val="24"/>
    </w:rPr>
  </w:style>
  <w:style w:type="paragraph" w:styleId="936">
    <w:name w:val="Caption"/>
    <w:basedOn w:val="718"/>
    <w:next w:val="718"/>
    <w:qFormat/>
    <w:pPr>
      <w:jc w:val="center"/>
      <w:spacing w:after="0" w:line="240" w:lineRule="auto"/>
    </w:pPr>
    <w:rPr>
      <w:rFonts w:ascii="Times New Roman" w:hAnsi="Times New Roman" w:eastAsia="Times New Roman"/>
      <w:b/>
      <w:sz w:val="32"/>
      <w:szCs w:val="20"/>
      <w:lang w:eastAsia="ru-RU"/>
    </w:rPr>
  </w:style>
  <w:style w:type="paragraph" w:styleId="937">
    <w:name w:val="Body Text"/>
    <w:basedOn w:val="718"/>
    <w:link w:val="938"/>
    <w:uiPriority w:val="99"/>
    <w:pPr>
      <w:spacing w:after="120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38" w:customStyle="1">
    <w:name w:val="Основной текст Знак"/>
    <w:link w:val="937"/>
    <w:uiPriority w:val="99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39">
    <w:name w:val="Body Text Indent 2"/>
    <w:basedOn w:val="718"/>
    <w:link w:val="940"/>
    <w:pPr>
      <w:ind w:left="283"/>
      <w:spacing w:after="120" w:line="48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40" w:customStyle="1">
    <w:name w:val="Основной текст с отступом 2 Знак"/>
    <w:link w:val="939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41" w:customStyle="1">
    <w:name w:val="Заголовок №2_"/>
    <w:link w:val="942"/>
    <w:rPr>
      <w:rFonts w:ascii="Times New Roman" w:hAnsi="Times New Roman" w:eastAsia="Times New Roman" w:cs="Times New Roman"/>
      <w:b/>
      <w:bCs/>
      <w:sz w:val="26"/>
      <w:szCs w:val="26"/>
      <w:shd w:val="clear" w:color="auto" w:fill="ffffff"/>
    </w:rPr>
  </w:style>
  <w:style w:type="paragraph" w:styleId="942" w:customStyle="1">
    <w:name w:val="Заголовок №2"/>
    <w:basedOn w:val="718"/>
    <w:link w:val="941"/>
    <w:pPr>
      <w:ind w:hanging="4760"/>
      <w:spacing w:after="420" w:line="0" w:lineRule="atLeast"/>
      <w:shd w:val="clear" w:color="auto" w:fill="ffffff"/>
      <w:widowControl w:val="off"/>
      <w:outlineLvl w:val="1"/>
    </w:pPr>
    <w:rPr>
      <w:rFonts w:ascii="Times New Roman" w:hAnsi="Times New Roman" w:eastAsia="Times New Roman"/>
      <w:b/>
      <w:bCs/>
      <w:sz w:val="26"/>
      <w:szCs w:val="26"/>
    </w:rPr>
  </w:style>
  <w:style w:type="paragraph" w:styleId="943">
    <w:name w:val="No Spacing"/>
    <w:uiPriority w:val="99"/>
    <w:qFormat/>
    <w:rPr>
      <w:sz w:val="22"/>
      <w:szCs w:val="22"/>
      <w:lang w:eastAsia="en-US"/>
    </w:rPr>
  </w:style>
  <w:style w:type="paragraph" w:styleId="944" w:customStyle="1">
    <w:name w:val="Default"/>
    <w:rPr>
      <w:rFonts w:ascii="Arial" w:hAnsi="Arial" w:cs="Arial"/>
      <w:color w:val="000000"/>
      <w:sz w:val="24"/>
      <w:szCs w:val="24"/>
    </w:rPr>
  </w:style>
  <w:style w:type="paragraph" w:styleId="945" w:customStyle="1">
    <w:name w:val="msonormalcxspmiddle"/>
    <w:basedOn w:val="718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numbering" w:styleId="946" w:customStyle="1">
    <w:name w:val="Нет списка1"/>
    <w:next w:val="730"/>
    <w:semiHidden/>
    <w:unhideWhenUsed/>
  </w:style>
  <w:style w:type="table" w:styleId="947" w:customStyle="1">
    <w:name w:val="Сетка таблицы1"/>
    <w:basedOn w:val="729"/>
    <w:next w:val="916"/>
    <w:rPr>
      <w:rFonts w:ascii="Times New Roman" w:hAnsi="Times New Roman" w:eastAsia="Times New Roman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948" w:customStyle="1">
    <w:name w:val="Абзац списка1"/>
    <w:basedOn w:val="718"/>
    <w:pPr>
      <w:ind w:left="720"/>
      <w:spacing w:after="0" w:line="240" w:lineRule="auto"/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949" w:customStyle="1">
    <w:name w:val="Знак Знак2"/>
    <w:basedOn w:val="718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50" w:customStyle="1">
    <w:name w:val="ConsNonformat"/>
    <w:pPr>
      <w:ind w:right="19772"/>
      <w:widowControl w:val="off"/>
    </w:pPr>
    <w:rPr>
      <w:rFonts w:ascii="Courier New" w:hAnsi="Courier New" w:eastAsia="Times New Roman" w:cs="Courier New"/>
    </w:rPr>
  </w:style>
  <w:style w:type="paragraph" w:styleId="951" w:customStyle="1">
    <w:name w:val="ConsNormal"/>
    <w:pPr>
      <w:ind w:right="19772" w:firstLine="720"/>
      <w:widowControl w:val="off"/>
    </w:pPr>
    <w:rPr>
      <w:rFonts w:ascii="Arial" w:hAnsi="Arial" w:eastAsia="Times New Roman" w:cs="Arial"/>
    </w:rPr>
  </w:style>
  <w:style w:type="paragraph" w:styleId="952" w:customStyle="1">
    <w:name w:val="Обычный (веб)18"/>
    <w:basedOn w:val="718"/>
    <w:pPr>
      <w:jc w:val="both"/>
      <w:spacing w:after="0" w:line="240" w:lineRule="auto"/>
    </w:pPr>
    <w:rPr>
      <w:rFonts w:ascii="Times New Roman" w:hAnsi="Times New Roman" w:eastAsia="Times New Roman"/>
      <w:bCs/>
      <w:color w:val="000000"/>
      <w:sz w:val="28"/>
      <w:szCs w:val="28"/>
      <w:lang w:eastAsia="ar-SA"/>
    </w:rPr>
  </w:style>
  <w:style w:type="paragraph" w:styleId="953" w:customStyle="1">
    <w:name w:val="Знак Знак25"/>
    <w:basedOn w:val="718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54" w:customStyle="1">
    <w:name w:val="Знак Знак24"/>
    <w:basedOn w:val="718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55" w:customStyle="1">
    <w:name w:val="Знак Знак2 Знак Знак Знак Знак Знак Знак"/>
    <w:basedOn w:val="718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56" w:customStyle="1">
    <w:name w:val="Знак Знак23"/>
    <w:basedOn w:val="718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57" w:customStyle="1">
    <w:name w:val="Знак Знак22"/>
    <w:basedOn w:val="718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58" w:customStyle="1">
    <w:name w:val="Знак Знак21"/>
    <w:basedOn w:val="718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59">
    <w:name w:val="Body Text Indent 3"/>
    <w:basedOn w:val="718"/>
    <w:link w:val="960"/>
    <w:uiPriority w:val="99"/>
    <w:semiHidden/>
    <w:unhideWhenUsed/>
    <w:pPr>
      <w:ind w:left="283"/>
      <w:spacing w:after="120"/>
    </w:pPr>
    <w:rPr>
      <w:sz w:val="16"/>
      <w:szCs w:val="16"/>
    </w:rPr>
  </w:style>
  <w:style w:type="character" w:styleId="960" w:customStyle="1">
    <w:name w:val="Основной текст с отступом 3 Знак"/>
    <w:link w:val="959"/>
    <w:uiPriority w:val="99"/>
    <w:semiHidden/>
    <w:rPr>
      <w:sz w:val="16"/>
      <w:szCs w:val="16"/>
    </w:rPr>
  </w:style>
  <w:style w:type="paragraph" w:styleId="961" w:customStyle="1">
    <w:name w:val="1"/>
    <w:basedOn w:val="718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character" w:styleId="962">
    <w:name w:val="Hyperlink"/>
    <w:rPr>
      <w:strike w:val="0"/>
      <w:color w:val="808080"/>
      <w:u w:val="none"/>
    </w:rPr>
  </w:style>
  <w:style w:type="character" w:styleId="963" w:customStyle="1">
    <w:name w:val="blk"/>
  </w:style>
  <w:style w:type="character" w:styleId="964" w:customStyle="1">
    <w:name w:val="Основной текст1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1"/>
      <w:szCs w:val="21"/>
      <w:u w:val="none"/>
      <w:lang w:val="ru-RU" w:eastAsia="ru-RU" w:bidi="ru-RU"/>
    </w:rPr>
  </w:style>
  <w:style w:type="paragraph" w:styleId="965" w:customStyle="1">
    <w:name w:val="Знак Знак2 Знак Знак Знак Знак Знак Знак Знак Знак Знак Знак Знак Знак Знак Знак Знак Знак"/>
    <w:basedOn w:val="718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66" w:customStyle="1">
    <w:name w:val="Прижатый влево"/>
    <w:basedOn w:val="718"/>
    <w:next w:val="718"/>
    <w:uiPriority w:val="99"/>
    <w:pPr>
      <w:spacing w:after="0" w:line="240" w:lineRule="auto"/>
    </w:pPr>
    <w:rPr>
      <w:rFonts w:ascii="Arial" w:hAnsi="Arial" w:eastAsia="Times New Roman" w:cs="Arial"/>
      <w:sz w:val="24"/>
      <w:szCs w:val="24"/>
      <w:lang w:eastAsia="ru-RU"/>
    </w:rPr>
  </w:style>
  <w:style w:type="paragraph" w:styleId="967" w:customStyle="1">
    <w:name w:val="Стиль 13 пт По ширине"/>
    <w:basedOn w:val="718"/>
    <w:pPr>
      <w:jc w:val="both"/>
      <w:spacing w:after="0" w:line="240" w:lineRule="auto"/>
    </w:pPr>
    <w:rPr>
      <w:rFonts w:ascii="Times New Roman" w:hAnsi="Times New Roman" w:eastAsia="Times New Roman"/>
      <w:sz w:val="26"/>
      <w:szCs w:val="20"/>
      <w:lang w:eastAsia="ru-RU"/>
    </w:rPr>
  </w:style>
  <w:style w:type="character" w:styleId="968" w:customStyle="1">
    <w:name w:val="Font Style65"/>
    <w:uiPriority w:val="99"/>
    <w:rPr>
      <w:rFonts w:ascii="Times New Roman" w:hAnsi="Times New Roman"/>
      <w:sz w:val="22"/>
    </w:rPr>
  </w:style>
  <w:style w:type="paragraph" w:styleId="969" w:customStyle="1">
    <w:name w:val="Style20"/>
    <w:basedOn w:val="718"/>
    <w:uiPriority w:val="99"/>
    <w:pPr>
      <w:spacing w:after="0" w:line="240" w:lineRule="auto"/>
      <w:widowControl w:val="off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70" w:customStyle="1">
    <w:name w:val="company-header__full-name"/>
    <w:basedOn w:val="718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71" w:customStyle="1">
    <w:name w:val="copy_target"/>
    <w:basedOn w:val="728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C6579D-6D75-4414-A1B8-A1620C1AC2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Обадина Анна Владимировна</dc:creator>
  <cp:revision>7</cp:revision>
  <dcterms:created xsi:type="dcterms:W3CDTF">2025-11-13T08:17:00Z</dcterms:created>
  <dcterms:modified xsi:type="dcterms:W3CDTF">2025-11-24T11:10:00Z</dcterms:modified>
</cp:coreProperties>
</file>