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8638296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rot="0" flipH="0" flipV="0"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rotation:0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8"/>
        </w:rPr>
      </w:pP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8"/>
        </w:rPr>
      </w:pP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8"/>
        </w:rPr>
      </w:pP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8"/>
        </w:rPr>
      </w:pP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44"/>
        </w:rPr>
      </w:pPr>
      <w:r>
        <w:rPr>
          <w:rFonts w:ascii="TimesNewRoman" w:hAnsi="TimesNewRoman" w:eastAsia="TimesNewRoman" w:cs="TimesNewRoman"/>
          <w:b/>
          <w:color w:val="000000"/>
          <w:sz w:val="44"/>
        </w:rPr>
        <w:t xml:space="preserve">АДМИНИСТРАЦИЯ </w:t>
      </w:r>
      <w:r>
        <w:rPr>
          <w:rFonts w:ascii="TimesNewRoman" w:hAnsi="TimesNewRoman" w:eastAsia="TimesNewRoman" w:cs="TimesNewRoman"/>
          <w:b/>
          <w:color w:val="000000"/>
          <w:sz w:val="44"/>
        </w:rPr>
      </w:r>
      <w:r>
        <w:rPr>
          <w:rFonts w:ascii="TimesNewRoman" w:hAnsi="TimesNewRoman" w:eastAsia="TimesNewRoman" w:cs="TimesNewRoman"/>
          <w:b/>
          <w:color w:val="000000"/>
          <w:sz w:val="4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8"/>
        </w:rPr>
      </w:pPr>
      <w:r>
        <w:rPr>
          <w:rFonts w:ascii="TimesNewRoman" w:hAnsi="TimesNewRoman" w:eastAsia="TimesNewRoman" w:cs="TimesNewRoman"/>
          <w:b/>
          <w:color w:val="000000"/>
          <w:sz w:val="28"/>
        </w:rPr>
        <w:t xml:space="preserve">ПЕЧЕНГСКОГО МУНИЦИПАЛЬНОГО ОКРУГА</w:t>
      </w: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8"/>
        </w:rPr>
      </w:pPr>
      <w:r>
        <w:rPr>
          <w:rFonts w:ascii="TimesNewRoman" w:hAnsi="TimesNewRoman" w:eastAsia="TimesNewRoman" w:cs="TimesNewRoman"/>
          <w:b/>
          <w:color w:val="000000"/>
          <w:sz w:val="28"/>
        </w:rPr>
        <w:t xml:space="preserve">МУРМАНСКОЙ ОБЛАСТИ</w:t>
      </w: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16"/>
        </w:rPr>
      </w:pPr>
      <w:r>
        <w:rPr>
          <w:rFonts w:ascii="TimesNewRoman" w:hAnsi="TimesNewRoman" w:eastAsia="TimesNewRoman" w:cs="TimesNewRoman"/>
          <w:b/>
          <w:color w:val="000000"/>
          <w:sz w:val="16"/>
        </w:rPr>
      </w:r>
      <w:r>
        <w:rPr>
          <w:rFonts w:ascii="TimesNewRoman" w:hAnsi="TimesNewRoman" w:eastAsia="TimesNewRoman" w:cs="TimesNewRoman"/>
          <w:b/>
          <w:color w:val="000000"/>
          <w:sz w:val="16"/>
        </w:rPr>
      </w:r>
      <w:r>
        <w:rPr>
          <w:rFonts w:ascii="TimesNewRoman" w:hAnsi="TimesNewRoman" w:eastAsia="TimesNewRoman" w:cs="TimesNewRoman"/>
          <w:b/>
          <w:color w:val="000000"/>
          <w:sz w:val="16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44"/>
        </w:rPr>
      </w:pPr>
      <w:r>
        <w:rPr>
          <w:rFonts w:ascii="TimesNewRoman" w:hAnsi="TimesNewRoman" w:eastAsia="TimesNewRoman" w:cs="TimesNewRoman"/>
          <w:b/>
          <w:color w:val="000000"/>
          <w:sz w:val="44"/>
        </w:rPr>
        <w:t xml:space="preserve">ПОСТАНОВЛЕНИЕ</w:t>
      </w:r>
      <w:r>
        <w:rPr>
          <w:rFonts w:ascii="TimesNewRoman" w:hAnsi="TimesNewRoman" w:eastAsia="TimesNewRoman" w:cs="TimesNewRoman"/>
          <w:b/>
          <w:color w:val="000000"/>
          <w:sz w:val="44"/>
        </w:rPr>
      </w:r>
      <w:r>
        <w:rPr>
          <w:rFonts w:ascii="TimesNewRoman" w:hAnsi="TimesNewRoman" w:eastAsia="TimesNewRoman" w:cs="TimesNewRoman"/>
          <w:b/>
          <w:color w:val="000000"/>
          <w:sz w:val="4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color w:val="000000"/>
          <w:sz w:val="20"/>
        </w:rPr>
      </w:pPr>
      <w:r>
        <w:rPr>
          <w:rFonts w:ascii="TimesNewRoman" w:hAnsi="TimesNewRoman" w:eastAsia="TimesNewRoman" w:cs="TimesNewRoman"/>
          <w:color w:val="000000"/>
          <w:sz w:val="20"/>
        </w:rPr>
      </w:r>
      <w:r>
        <w:rPr>
          <w:rFonts w:ascii="TimesNewRoman" w:hAnsi="TimesNewRoman" w:eastAsia="TimesNewRoman" w:cs="TimesNewRoman"/>
          <w:color w:val="000000"/>
          <w:sz w:val="20"/>
        </w:rPr>
      </w:r>
      <w:r>
        <w:rPr>
          <w:rFonts w:ascii="TimesNewRoman" w:hAnsi="TimesNewRoman" w:eastAsia="TimesNewRoman" w:cs="TimesNewRoman"/>
          <w:color w:val="000000"/>
          <w:sz w:val="20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color w:val="000000"/>
          <w:sz w:val="20"/>
        </w:rPr>
      </w:pPr>
      <w:r>
        <w:rPr>
          <w:rFonts w:ascii="TimesNewRoman" w:hAnsi="TimesNewRoman" w:eastAsia="TimesNewRoman" w:cs="TimesNewRoman"/>
          <w:color w:val="000000"/>
          <w:sz w:val="20"/>
        </w:rPr>
      </w:r>
      <w:r>
        <w:rPr>
          <w:rFonts w:ascii="TimesNewRoman" w:hAnsi="TimesNewRoman" w:eastAsia="TimesNewRoman" w:cs="TimesNewRoman"/>
          <w:color w:val="000000"/>
          <w:sz w:val="20"/>
        </w:rPr>
      </w:r>
      <w:r>
        <w:rPr>
          <w:rFonts w:ascii="TimesNewRoman" w:hAnsi="TimesNewRoman" w:eastAsia="TimesNewRoman" w:cs="TimesNewRoman"/>
          <w:color w:val="000000"/>
          <w:sz w:val="20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от 24.11.2025</w:t>
      </w:r>
      <w:r>
        <w:rPr>
          <w:rFonts w:ascii="TimesNewRoman" w:hAnsi="TimesNewRoman" w:eastAsia="TimesNewRoman" w:cs="TimesNewRoman"/>
          <w:b/>
          <w:color w:val="000000"/>
          <w:sz w:val="24"/>
        </w:rPr>
        <w:tab/>
      </w:r>
      <w:r>
        <w:rPr>
          <w:rFonts w:ascii="TimesNewRoman" w:hAnsi="TimesNewRoman" w:eastAsia="TimesNewRoman" w:cs="TimesNewRoman"/>
          <w:b/>
          <w:color w:val="000000"/>
          <w:sz w:val="24"/>
        </w:rPr>
        <w:tab/>
      </w:r>
      <w:r>
        <w:rPr>
          <w:rFonts w:ascii="TimesNewRoman" w:hAnsi="TimesNewRoman" w:eastAsia="TimesNewRoman" w:cs="TimesNewRoman"/>
          <w:b/>
          <w:color w:val="000000"/>
          <w:sz w:val="24"/>
        </w:rPr>
        <w:tab/>
      </w:r>
      <w:r>
        <w:rPr>
          <w:rFonts w:ascii="TimesNewRoman" w:hAnsi="TimesNewRoman" w:eastAsia="TimesNewRoman" w:cs="TimesNewRoman"/>
          <w:b/>
          <w:color w:val="000000"/>
          <w:sz w:val="24"/>
        </w:rPr>
        <w:tab/>
      </w:r>
      <w:r>
        <w:rPr>
          <w:rFonts w:ascii="TimesNewRoman" w:hAnsi="TimesNewRoman" w:eastAsia="TimesNewRoman" w:cs="TimesNewRoman"/>
          <w:b/>
          <w:color w:val="000000"/>
          <w:sz w:val="24"/>
        </w:rPr>
        <w:tab/>
      </w:r>
      <w:r>
        <w:rPr>
          <w:rFonts w:ascii="TimesNewRoman" w:hAnsi="TimesNewRoman" w:eastAsia="TimesNewRoman" w:cs="TimesNewRoman"/>
          <w:b/>
          <w:color w:val="000000"/>
          <w:sz w:val="24"/>
        </w:rPr>
        <w:tab/>
      </w:r>
      <w:r>
        <w:rPr>
          <w:rFonts w:ascii="TimesNewRoman" w:hAnsi="TimesNewRoman" w:eastAsia="TimesNewRoman" w:cs="TimesNewRoman"/>
          <w:b/>
          <w:color w:val="000000"/>
          <w:sz w:val="24"/>
        </w:rPr>
        <w:tab/>
      </w:r>
      <w:r>
        <w:rPr>
          <w:rFonts w:ascii="TimesNewRoman" w:hAnsi="TimesNewRoman" w:eastAsia="TimesNewRoman" w:cs="TimesNewRoman"/>
          <w:b/>
          <w:color w:val="000000"/>
          <w:sz w:val="24"/>
        </w:rPr>
        <w:tab/>
      </w:r>
      <w:r>
        <w:rPr>
          <w:rFonts w:ascii="TimesNewRoman" w:hAnsi="TimesNewRoman" w:eastAsia="TimesNewRoman" w:cs="TimesNewRoman"/>
          <w:b/>
          <w:color w:val="000000"/>
          <w:sz w:val="24"/>
        </w:rPr>
        <w:tab/>
      </w:r>
      <w:r>
        <w:rPr>
          <w:rFonts w:ascii="TimesNewRoman" w:hAnsi="TimesNewRoman" w:eastAsia="TimesNewRoman" w:cs="TimesNewRoman"/>
          <w:b/>
          <w:color w:val="000000"/>
          <w:sz w:val="24"/>
        </w:rPr>
        <w:tab/>
      </w: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             № 1942</w:t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8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п.г.т. Никель</w:t>
      </w:r>
      <w:r>
        <w:rPr>
          <w:rFonts w:ascii="TimesNewRoman" w:hAnsi="TimesNewRoman" w:eastAsia="TimesNewRoman" w:cs="TimesNewRoman"/>
          <w:b/>
          <w:color w:val="000000"/>
          <w:sz w:val="28"/>
        </w:rPr>
      </w:r>
      <w:r>
        <w:rPr>
          <w:rFonts w:ascii="TimesNewRoman" w:hAnsi="TimesNewRoman" w:eastAsia="TimesNewRoman" w:cs="TimesNewRoman"/>
          <w:b/>
          <w:color w:val="000000"/>
          <w:sz w:val="28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0"/>
        </w:rPr>
      </w:pPr>
      <w:r>
        <w:rPr>
          <w:rFonts w:ascii="TimesNewRoman" w:hAnsi="TimesNewRoman" w:eastAsia="TimesNewRoman" w:cs="TimesNewRoman"/>
          <w:color w:val="000000"/>
          <w:sz w:val="20"/>
        </w:rPr>
      </w:r>
      <w:r>
        <w:rPr>
          <w:rFonts w:ascii="TimesNewRoman" w:hAnsi="TimesNewRoman" w:eastAsia="TimesNewRoman" w:cs="TimesNewRoman"/>
          <w:color w:val="000000"/>
          <w:sz w:val="20"/>
        </w:rPr>
      </w:r>
      <w:r>
        <w:rPr>
          <w:rFonts w:ascii="TimesNewRoman" w:hAnsi="TimesNewRoman" w:eastAsia="TimesNewRoman" w:cs="TimesNewRoman"/>
          <w:color w:val="000000"/>
          <w:sz w:val="20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color w:val="000000"/>
          <w:sz w:val="20"/>
        </w:rPr>
      </w:pPr>
      <w:r>
        <w:rPr>
          <w:rFonts w:ascii="TimesNewRoman" w:hAnsi="TimesNewRoman" w:eastAsia="TimesNewRoman" w:cs="TimesNewRoman"/>
          <w:b/>
          <w:color w:val="000000"/>
          <w:sz w:val="20"/>
        </w:rPr>
        <w:t xml:space="preserve">Об утверждении Порядка организации образова</w:t>
      </w:r>
      <w:r>
        <w:rPr>
          <w:rFonts w:ascii="TimesNewRoman" w:hAnsi="TimesNewRoman" w:eastAsia="TimesNewRoman" w:cs="TimesNewRoman"/>
          <w:b/>
          <w:color w:val="000000"/>
          <w:sz w:val="20"/>
        </w:rPr>
        <w:t xml:space="preserve">ния земельных участков, находящихся в муниципальной собственности, и земельных участков, государственная собственность на которые не разграничена, для бесплатного предоставления в собственность многодетным семьям для индивидуального жилищного строительства</w:t>
      </w:r>
      <w:r>
        <w:rPr>
          <w:rFonts w:ascii="TimesNewRoman" w:hAnsi="TimesNewRoman" w:eastAsia="TimesNewRoman" w:cs="TimesNewRoman"/>
          <w:color w:val="000000"/>
          <w:sz w:val="20"/>
        </w:rPr>
      </w:r>
      <w:r>
        <w:rPr>
          <w:rFonts w:ascii="TimesNewRoman" w:hAnsi="TimesNewRoman" w:eastAsia="TimesNewRoman" w:cs="TimesNewRoman"/>
          <w:color w:val="000000"/>
          <w:sz w:val="20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На основании Федерального закона </w:t>
      </w:r>
      <w:hyperlink r:id="rId10" w:tooltip="https://pravo-search.minjust.ru/bigs/showDocument.html?id=96E20C02-1B12-465A-B64C-24AA92270007" w:history="1">
        <w:r>
          <w:rPr>
            <w:rFonts w:ascii="TimesNewRoman" w:hAnsi="TimesNewRoman" w:eastAsia="TimesNewRoman" w:cs="TimesNewRoman"/>
            <w:color w:val="000000"/>
            <w:sz w:val="24"/>
          </w:rPr>
          <w:t xml:space="preserve">от 06.10.2003 № 131-ФЗ</w:t>
        </w:r>
      </w:hyperlink>
      <w:r>
        <w:rPr>
          <w:rFonts w:ascii="TimesNewRoman" w:hAnsi="TimesNewRoman" w:eastAsia="TimesNewRoman" w:cs="TimesNewRoman"/>
          <w:color w:val="000000"/>
          <w:sz w:val="24"/>
        </w:rPr>
        <w:t xml:space="preserve"> «Об общих принципах организации местного самоуправления в Российской Федерации», в соответствии с Земельным кодексом Российской Федерации, Законом Мурманской области </w:t>
      </w:r>
      <w:hyperlink r:id="rId11" w:tooltip="https://pravo-search.minjust.ru/bigs/showDocument.html?id=E510829C-766D-4BB5-91AD-B298EAF7A274" w:history="1">
        <w:r>
          <w:rPr>
            <w:rFonts w:ascii="TimesNewRoman" w:hAnsi="TimesNewRoman" w:eastAsia="TimesNewRoman" w:cs="TimesNewRoman"/>
            <w:color w:val="000000"/>
            <w:sz w:val="24"/>
          </w:rPr>
          <w:t xml:space="preserve">от 31.12.2003 № 462-01-ЗМО</w:t>
        </w:r>
      </w:hyperlink>
      <w:r>
        <w:rPr>
          <w:rFonts w:ascii="TimesNewRoman" w:hAnsi="TimesNewRoman" w:eastAsia="TimesNewRoman" w:cs="TimesNewRoman"/>
          <w:color w:val="000000"/>
          <w:sz w:val="24"/>
        </w:rPr>
        <w:t xml:space="preserve"> «Об основах регулирования земельных отношений в Мурманской области», постановлением Правительства Мурманской области </w:t>
      </w:r>
      <w:hyperlink r:id="rId12" w:tooltip="https://pravo-search.minjust.ru/bigs/showDocument.html?id=1F2DB54E-6C97-4741-BA0A-EAFC2BE8BACC" w:history="1">
        <w:r>
          <w:rPr>
            <w:rFonts w:ascii="TimesNewRoman" w:hAnsi="TimesNewRoman" w:eastAsia="TimesNewRoman" w:cs="TimesNewRoman"/>
            <w:color w:val="000000"/>
            <w:sz w:val="24"/>
          </w:rPr>
          <w:t xml:space="preserve">от 28.02.2012 № 58-ПП</w:t>
        </w:r>
      </w:hyperlink>
      <w:r>
        <w:rPr>
          <w:rFonts w:ascii="TimesNewRoman" w:hAnsi="TimesNewRoman" w:eastAsia="TimesNewRoman" w:cs="TimesNewRoman"/>
          <w:color w:val="000000"/>
          <w:sz w:val="24"/>
        </w:rPr>
        <w:t xml:space="preserve"> «О мерах по реализации статьи 15.1 Закона Мурманской области от 31.12.2003 </w:t>
      </w:r>
      <w:r>
        <w:rPr>
          <w:rFonts w:ascii="TimesNewRoman" w:hAnsi="TimesNewRoman" w:eastAsia="TimesNewRoman" w:cs="TimesNewRoman"/>
          <w:color w:val="000000"/>
          <w:sz w:val="24"/>
        </w:rPr>
        <w:br/>
      </w:r>
      <w:r>
        <w:rPr>
          <w:rFonts w:ascii="TimesNewRoman" w:hAnsi="TimesNewRoman" w:eastAsia="TimesNewRoman" w:cs="TimesNewRoman"/>
          <w:color w:val="000000"/>
          <w:sz w:val="24"/>
        </w:rPr>
        <w:t xml:space="preserve">№ 462-01-ЗМО «Об основах регу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лирования земельных отношений Мурманской области», в целях организации образования земельных участков, находящихся в муниципальной собственности, и земельных участков, государственная собственность на которые не разграничена, для бесплатного предоставления</w:t>
      </w:r>
      <w:r>
        <w:rPr>
          <w:rFonts w:ascii="TimesNewRoman" w:hAnsi="TimesNewRoman" w:eastAsia="TimesNewRoman" w:cs="TimesNewRoman"/>
          <w:b/>
          <w:color w:val="000000"/>
          <w:sz w:val="22"/>
        </w:rPr>
        <w:t xml:space="preserve"> 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в собственность многодетным семьям для индивидуального жилищного строительства,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567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lef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ПОСТАНОВЛЯЮ:</w:t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both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1. Утвердить </w:t>
      </w:r>
      <w:hyperlink r:id="rId13" w:tooltip="https://pravo-search.minjust.ru/bigs/portal.html" w:history="1">
        <w:r>
          <w:rPr>
            <w:rFonts w:ascii="TimesNewRoman" w:hAnsi="TimesNewRoman" w:eastAsia="TimesNewRoman" w:cs="TimesNewRoman"/>
            <w:color w:val="000000"/>
            <w:sz w:val="24"/>
          </w:rPr>
          <w:t xml:space="preserve">Порядок</w:t>
        </w:r>
      </w:hyperlink>
      <w:r>
        <w:rPr>
          <w:rFonts w:ascii="TimesNewRoman" w:hAnsi="TimesNewRoman" w:eastAsia="TimesNewRoman" w:cs="TimesNewRoman"/>
          <w:color w:val="000000"/>
          <w:sz w:val="24"/>
        </w:rPr>
        <w:t xml:space="preserve"> организации образования земельных участков, находящихся в муниципальной собственности, и земельных участков, государственная собственность на которые не разграничена, для бесплатного предоставления</w:t>
      </w:r>
      <w:r>
        <w:rPr>
          <w:rFonts w:ascii="TimesNewRoman" w:hAnsi="TimesNewRoman" w:eastAsia="TimesNewRoman" w:cs="TimesNewRoman"/>
          <w:b/>
          <w:color w:val="000000"/>
          <w:sz w:val="22"/>
        </w:rPr>
        <w:t xml:space="preserve"> 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в собственность многодетным семьям для индивидуального жилищного строительства согласно приложению.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2. Признать утратившим силу постановления администрации Печенгского муниципального округа: 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- от 17.11.2022 № 1561 «Об утверждении Порядка 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строительства»;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- от 01.03.2023 № 356 «О внесении изменений в Пор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ядок 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строительства, утвержденный постановлением администрации Печенгского муниципального округа от 17.11.2022 № 1561»; 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- от 30.03.2023 № 485 «О внесении изменений в По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рядок 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строительства, утвержденный постановлением администрации Печенгского муниципального округа от 17.11.2022 № 1561»;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- от 26.06.2025 № 1095 «О внесении изменений в пос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тановление администрации Печенгского муниципального округа от 17.11.2022 № 1561 «Об утверждении Порядка 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строительства».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3. Настоящее постановление вступает в силу со дня его официального опубликования в газете «Печенга».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4. 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5. Контроль за исполнением настоящего постановления оставляю за собой.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left"/>
        <w:spacing w:before="0" w:after="0" w:line="240" w:lineRule="auto"/>
        <w:rPr>
          <w:rFonts w:ascii="TimesNewRoman" w:hAnsi="TimesNewRoman" w:eastAsia="TimesNewRoman" w:cs="TimesNewRoman"/>
          <w:b w:val="0"/>
          <w:color w:val="000000"/>
          <w:sz w:val="24"/>
        </w:rPr>
      </w:pPr>
      <w:r>
        <w:rPr>
          <w:rFonts w:ascii="TimesNewRoman" w:hAnsi="TimesNewRoman" w:eastAsia="TimesNewRoman" w:cs="TimesNewRoman"/>
          <w:b w:val="0"/>
          <w:color w:val="000000"/>
          <w:sz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NewRoman" w:hAnsi="TimesNewRoman" w:eastAsia="TimesNewRoman" w:cs="TimesNewRoman"/>
          <w:b w:val="0"/>
          <w:color w:val="000000"/>
          <w:sz w:val="24"/>
        </w:rPr>
      </w:r>
      <w:r>
        <w:rPr>
          <w:rFonts w:ascii="TimesNewRoman" w:hAnsi="TimesNewRoman" w:eastAsia="TimesNewRoman" w:cs="TimesNewRoman"/>
          <w:b w:val="0"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lef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tabs>
          <w:tab w:val="left" w:pos="567" w:leader="none"/>
          <w:tab w:val="left" w:pos="709" w:leader="none"/>
        </w:tabs>
        <w:rPr>
          <w:rFonts w:ascii="TimesNewRoman" w:hAnsi="TimesNewRoman" w:eastAsia="TimesNewRoman" w:cs="TimesNewRoman"/>
          <w:color w:val="000000"/>
          <w:sz w:val="20"/>
        </w:rPr>
      </w:pPr>
      <w:r>
        <w:rPr>
          <w:rFonts w:ascii="TimesNewRoman" w:hAnsi="TimesNewRoman" w:eastAsia="TimesNewRoman" w:cs="TimesNewRoman"/>
          <w:color w:val="000000"/>
          <w:sz w:val="20"/>
        </w:rPr>
        <w:t xml:space="preserve">Лаврущик С.С., 50579</w:t>
      </w:r>
      <w:r>
        <w:rPr>
          <w:rFonts w:ascii="TimesNewRoman" w:hAnsi="TimesNewRoman" w:eastAsia="TimesNewRoman" w:cs="TimesNewRoman"/>
          <w:color w:val="000000"/>
          <w:sz w:val="20"/>
        </w:rPr>
      </w:r>
      <w:r>
        <w:rPr>
          <w:rFonts w:ascii="TimesNewRoman" w:hAnsi="TimesNewRoman" w:eastAsia="TimesNewRoman" w:cs="TimesNewRoman"/>
          <w:color w:val="000000"/>
          <w:sz w:val="20"/>
        </w:rPr>
      </w:r>
    </w:p>
    <w:p>
      <w:pPr>
        <w:pStyle w:val="832"/>
        <w:ind w:left="552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Приложение 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552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к постановлению администрации Печенгского муниципального округа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552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от 24.11.2025 № 1942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 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ПОРЯДОК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организации образования земельных участков, находящихся в муниципальной собственности, и земельных участков, государственная собственность на которые не разграничена, для бесплатного предоставления</w:t>
      </w:r>
      <w:r>
        <w:rPr>
          <w:rFonts w:ascii="TimesNewRoman" w:hAnsi="TimesNewRoman" w:eastAsia="TimesNewRoman" w:cs="TimesNewRoman"/>
          <w:b/>
          <w:color w:val="000000"/>
          <w:sz w:val="22"/>
        </w:rPr>
        <w:t xml:space="preserve"> </w:t>
      </w: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в собственность многодетным семьям для индивидуального жилищного строительства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567"/>
        <w:jc w:val="center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 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1. Общие положения</w:t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1.1. Настоящий Порядок организации образования земельных участков, находящихся в муниципальной собственности, и земельных участков, государственная собственность на которые не разграничена, для бесплатного предоставления</w:t>
      </w:r>
      <w:r>
        <w:rPr>
          <w:rFonts w:ascii="TimesNewRoman" w:hAnsi="TimesNewRoman" w:eastAsia="TimesNewRoman" w:cs="TimesNewRoman"/>
          <w:b/>
          <w:color w:val="000000"/>
          <w:sz w:val="22"/>
        </w:rPr>
        <w:t xml:space="preserve"> 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в собственность многодетным семьям для индивидуального жилищного строительства (далее - Порядок) разработан в целях реализации статьи 39.5 </w:t>
      </w:r>
      <w:hyperlink r:id="rId14" w:tooltip="https://pravo-search.minjust.ru/bigs/showDocument.html?id=9CF2F1C3-393D-4051-A52D-9923B0E51C0C" w:history="1">
        <w:r>
          <w:rPr>
            <w:rFonts w:ascii="TimesNewRoman" w:hAnsi="TimesNewRoman" w:eastAsia="TimesNewRoman" w:cs="TimesNewRoman"/>
            <w:color w:val="000000"/>
            <w:sz w:val="24"/>
          </w:rPr>
          <w:t xml:space="preserve">Земельного кодекса</w:t>
        </w:r>
      </w:hyperlink>
      <w:r>
        <w:rPr>
          <w:rFonts w:ascii="TimesNewRoman" w:hAnsi="TimesNewRoman" w:eastAsia="TimesNewRoman" w:cs="TimesNewRoman"/>
          <w:color w:val="000000"/>
          <w:sz w:val="24"/>
        </w:rPr>
        <w:t xml:space="preserve"> Российской Федерации, Закона Мурманской области </w:t>
      </w:r>
      <w:hyperlink r:id="rId15" w:tooltip="https://pravo-search.minjust.ru/bigs/showDocument.html?id=E510829C-766D-4BB5-91AD-B298EAF7A274" w:history="1">
        <w:r>
          <w:rPr>
            <w:rFonts w:ascii="TimesNewRoman" w:hAnsi="TimesNewRoman" w:eastAsia="TimesNewRoman" w:cs="TimesNewRoman"/>
            <w:color w:val="000000"/>
            <w:sz w:val="24"/>
          </w:rPr>
          <w:t xml:space="preserve">от 31.12.2003 № 462-01-ЗМО</w:t>
        </w:r>
      </w:hyperlink>
      <w:r>
        <w:rPr>
          <w:rFonts w:ascii="TimesNewRoman" w:hAnsi="TimesNewRoman" w:eastAsia="TimesNewRoman" w:cs="TimesNewRoman"/>
          <w:color w:val="000000"/>
          <w:sz w:val="24"/>
        </w:rPr>
        <w:t xml:space="preserve"> </w:t>
      </w:r>
      <w:r>
        <w:rPr>
          <w:rFonts w:ascii="TimesNewRoman" w:hAnsi="TimesNewRoman" w:eastAsia="TimesNewRoman" w:cs="TimesNewRoman"/>
          <w:color w:val="000000"/>
          <w:sz w:val="24"/>
        </w:rPr>
        <w:br/>
      </w:r>
      <w:r>
        <w:rPr>
          <w:rFonts w:ascii="TimesNewRoman" w:hAnsi="TimesNewRoman" w:eastAsia="TimesNewRoman" w:cs="TimesNewRoman"/>
          <w:color w:val="000000"/>
          <w:sz w:val="24"/>
        </w:rPr>
        <w:t xml:space="preserve">«Об основах регулирования земельных отношений в Мурманской области» (далее - Закон) и постановления Правительства Мурманской области </w:t>
      </w:r>
      <w:hyperlink r:id="rId16" w:tooltip="https://pravo-search.minjust.ru/bigs/showDocument.html?id=1F2DB54E-6C97-4741-BA0A-EAFC2BE8BACC" w:history="1">
        <w:r>
          <w:rPr>
            <w:rFonts w:ascii="TimesNewRoman" w:hAnsi="TimesNewRoman" w:eastAsia="TimesNewRoman" w:cs="TimesNewRoman"/>
            <w:color w:val="000000"/>
            <w:sz w:val="24"/>
          </w:rPr>
          <w:t xml:space="preserve">от 28.02.2012 № 58-ПП</w:t>
        </w:r>
      </w:hyperlink>
      <w:r>
        <w:rPr>
          <w:rFonts w:ascii="TimesNewRoman" w:hAnsi="TimesNewRoman" w:eastAsia="TimesNewRoman" w:cs="TimesNewRoman"/>
          <w:color w:val="000000"/>
          <w:sz w:val="24"/>
        </w:rPr>
        <w:t xml:space="preserve"> «О мерах по реализации статьи 15.1 Закона Мурманской области от 31.12.2003 № 462-01 ЗМО </w:t>
      </w:r>
      <w:r>
        <w:rPr>
          <w:rFonts w:ascii="TimesNewRoman" w:hAnsi="TimesNewRoman" w:eastAsia="TimesNewRoman" w:cs="TimesNewRoman"/>
          <w:color w:val="000000"/>
          <w:sz w:val="24"/>
        </w:rPr>
        <w:br/>
      </w:r>
      <w:r>
        <w:rPr>
          <w:rFonts w:ascii="TimesNewRoman" w:hAnsi="TimesNewRoman" w:eastAsia="TimesNewRoman" w:cs="TimesNewRoman"/>
          <w:color w:val="000000"/>
          <w:sz w:val="24"/>
        </w:rPr>
        <w:t xml:space="preserve">«Об основах регулирования земельных отношений Мурманской области».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1.2. Многодетные семьи, проживающие на территории Мурманской области </w:t>
      </w:r>
      <w:r>
        <w:rPr>
          <w:rFonts w:ascii="TimesNewRoman" w:hAnsi="TimesNewRoman" w:eastAsia="TimesNewRoman" w:cs="TimesNewRoman"/>
          <w:color w:val="000000"/>
          <w:sz w:val="24"/>
        </w:rPr>
        <w:br/>
      </w:r>
      <w:r>
        <w:rPr>
          <w:rFonts w:ascii="TimesNewRoman" w:hAnsi="TimesNewRoman" w:eastAsia="TimesNewRoman" w:cs="TimesNewRoman"/>
          <w:color w:val="000000"/>
          <w:sz w:val="24"/>
        </w:rPr>
        <w:t xml:space="preserve">(далее - многодетные семьи), имеют право приобрести бесплатно без торгов земельные участки, находящиеся в муниципальной собственности, или земельные участки, государственная собственность на которые не 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разграничена, в случае, если они состоят на учете в качестве нуждающихся в предоставлении жилых помещений по договорам социального найма из жилищного фонда Мурманской области и (или) жилищных фондов муниципальных образований Мурманской области, и данные зе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мельные участки предоставляются для ведения гражданами садоводства для собственных нужд (с правом размещения на садовом земельном участке садовых домов, жилых домов, хозяйственных построек и гаражей) и осуществления индивидуального жилищного строительства </w:t>
      </w:r>
      <w:r>
        <w:rPr>
          <w:rFonts w:ascii="TimesNewRoman" w:hAnsi="TimesNewRoman" w:eastAsia="TimesNewRoman" w:cs="TimesNewRoman"/>
          <w:color w:val="000000"/>
          <w:sz w:val="24"/>
        </w:rPr>
        <w:br/>
      </w:r>
      <w:r>
        <w:rPr>
          <w:rFonts w:ascii="TimesNewRoman" w:hAnsi="TimesNewRoman" w:eastAsia="TimesNewRoman" w:cs="TimesNewRoman"/>
          <w:color w:val="000000"/>
          <w:sz w:val="24"/>
        </w:rPr>
        <w:t xml:space="preserve">(далее - жилищное строительство).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1.3. Бесплатное предоставление земельных участков, находящихся в муниципальной собственности, и земельных уча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стков, государственная собственность на которые не разграничена, в собственность многодетным семьям для индивидуального жилищного строительства осуществляется в соответствии с федеральными и региональными нормативными правовыми актами и настоящим Порядком.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tabs>
          <w:tab w:val="left" w:pos="795" w:leader="none"/>
        </w:tabs>
        <w:rPr>
          <w:rFonts w:ascii="TimesNewRoman" w:hAnsi="TimesNewRoman" w:eastAsia="TimesNewRoman" w:cs="TimesNewRoman"/>
          <w:color w:val="ff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1.4. Семьи, имевшие трех и более детей, сохраняют (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возобновляют) право на приобретение бесплатно без торгов земельных участков, находящихся в муниципальной собственности, или земельных участков, государственная собственность на которые не разграничена, в случае гибели (смерти, объявлении умершим, признания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 безвестно отсутствующим) одного или нескольких детей (с учетом которых такая семья ранее была поставлена на учет в целях бесплатного предоставления им в собственность земельных участков) в результате участия в специальной военной операции. При этом указан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ное право сохраняется (возобновляется) до достижения возраста 18 лет старшим ребенком, а в случае обучения этого ребенка по очной форме обучения в образовательных организациях- до окончания такого обучения, но не более чем до достижения им возраста 23 лет.</w:t>
      </w:r>
      <w:r>
        <w:rPr>
          <w:rFonts w:ascii="TimesNewRoman" w:hAnsi="TimesNewRoman" w:eastAsia="TimesNewRoman" w:cs="TimesNewRoman"/>
          <w:color w:val="ff0000"/>
          <w:sz w:val="24"/>
        </w:rPr>
      </w:r>
      <w:r>
        <w:rPr>
          <w:rFonts w:ascii="TimesNewRoman" w:hAnsi="TimesNewRoman" w:eastAsia="TimesNewRoman" w:cs="TimesNewRoman"/>
          <w:color w:val="ff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2. Образование земельных участков</w:t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2.1. Администраци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я Печенгского муниципального округа в лице Комитета по управлению имуществом (далее - Комитет) обеспечивает подготовку документации для организации торгов и размещение муниципального заказа на выполнение кадастровых работ по образованию земельных участков.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2.2. По результатам размещения муниципального заказа Комитет заключает контракт на выполнение кадастровых работ по образованию земельных участков.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В результате выполнения кадастровых работ подрядчиком обеспечивается постановка вновь образованных земельных участков на государственный кадастровый учет и представление в Комитет выписок из Единого государственного реестра недвижимости.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2.3. Комитет в течение трех рабочих дней со дня получения выписок из Единого государственного реестра недвижимости и технических условий подключения к инженерно-техническим сетям объектов капитального строительства подготавливает и утве</w:t>
      </w:r>
      <w:r>
        <w:rPr>
          <w:rFonts w:ascii="TimesNewRoman" w:hAnsi="TimesNewRoman" w:eastAsia="TimesNewRoman" w:cs="TimesNewRoman"/>
          <w:color w:val="000000"/>
          <w:sz w:val="24"/>
        </w:rPr>
        <w:t xml:space="preserve">рждает перечень земельных участков, предлагаемых к предоставлению бесплатно в собственность многодетным семьям (далее - Перечень), обеспечивает его размещение на сайте Печенгского муниципального округа по форме согласно приложению № 1 к настоящему Порядку.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709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 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567"/>
        <w:jc w:val="right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5528" w:firstLine="0"/>
        <w:jc w:val="left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Приложение № 1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5528" w:firstLine="0"/>
        <w:jc w:val="left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к Порядку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 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/>
      <w:bookmarkStart w:id="0" w:name="undefined"/>
      <w:r/>
      <w:bookmarkEnd w:id="0"/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ПЕРЕЧЕНЬ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земельных участков, находящихся в м</w:t>
      </w:r>
      <w:r>
        <w:rPr>
          <w:rFonts w:ascii="TimesNewRoman" w:hAnsi="TimesNewRoman" w:eastAsia="TimesNewRoman" w:cs="TimesNewRoman"/>
          <w:b/>
          <w:color w:val="000000"/>
          <w:sz w:val="24"/>
        </w:rPr>
        <w:t xml:space="preserve">униципальной собственности, а также земельных участков, государственная собственность на которые не разграничена, расположенных на территории Печенгского муниципального округа, образованных для бесплатного предоставления в собственность  многодетным семьям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000000"/>
          <w:sz w:val="24"/>
        </w:rPr>
      </w:pPr>
      <w:r>
        <w:rPr>
          <w:rFonts w:ascii="TimesNewRoman" w:hAnsi="TimesNewRoman" w:eastAsia="TimesNewRoman" w:cs="TimesNewRoman"/>
          <w:color w:val="000000"/>
          <w:sz w:val="24"/>
        </w:rPr>
        <w:t xml:space="preserve"> </w:t>
      </w:r>
      <w:r>
        <w:rPr>
          <w:rFonts w:ascii="TimesNewRoman" w:hAnsi="TimesNewRoman" w:eastAsia="TimesNewRoman" w:cs="TimesNewRoman"/>
          <w:color w:val="000000"/>
          <w:sz w:val="24"/>
        </w:rPr>
      </w:r>
      <w:r>
        <w:rPr>
          <w:rFonts w:ascii="TimesNewRoman" w:hAnsi="TimesNewRoman" w:eastAsia="TimesNewRoman" w:cs="TimesNewRoman"/>
          <w:color w:val="000000"/>
          <w:sz w:val="24"/>
        </w:rPr>
      </w:r>
    </w:p>
    <w:tbl>
      <w:tblPr>
        <w:tblpPr w:horzAnchor="text" w:tblpXSpec="left" w:vertAnchor="text" w:tblpY="1" w:leftFromText="180" w:topFromText="0" w:rightFromText="180" w:bottomFromText="0"/>
        <w:tblW w:w="9276" w:type="dxa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850"/>
        <w:gridCol w:w="1418"/>
        <w:gridCol w:w="1275"/>
        <w:gridCol w:w="1134"/>
        <w:gridCol w:w="1418"/>
        <w:gridCol w:w="1779"/>
        <w:gridCol w:w="91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№ п/п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850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Номер на схеме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Местоположение земельного участка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5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Разрешен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ное использование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Кадастровый номер земельного участка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Площадь земельного участка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(мІ)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79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  <w:suppressLineNumbers w:val="0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Информация о технических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  <w:suppressLineNumbers w:val="0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условиях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  <w:suppressLineNumbers w:val="0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подключения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  <w:suppressLineNumbers w:val="0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к сетям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  <w:p>
            <w:pPr>
              <w:pStyle w:val="832"/>
              <w:ind w:left="0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  <w:suppressLineNumbers w:val="0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инженерно-технического обеспечения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14" w:type="dxa"/>
            <w:vAlign w:val="top"/>
            <w:textDirection w:val="lrTb"/>
            <w:noWrap w:val="false"/>
          </w:tcPr>
          <w:p>
            <w:pPr>
              <w:pStyle w:val="832"/>
              <w:ind w:left="-61" w:firstLine="0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Приме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  <w:p>
            <w:pPr>
              <w:pStyle w:val="832"/>
              <w:ind w:left="80" w:hanging="142"/>
              <w:jc w:val="center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чание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1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850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2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3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5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4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5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6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79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7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1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8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</w:tr>
      <w:tr>
        <w:tblPrEx/>
        <w:trPr/>
        <w:tc>
          <w:tcPr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276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center"/>
              <w:spacing w:before="0" w:after="200" w:line="276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0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Раздел I. Земельные участки для распределения на жеребьевочной комиссии</w:t>
            </w:r>
            <w:r>
              <w:rPr>
                <w:rFonts w:ascii="TimesNewRoman" w:hAnsi="TimesNewRoman" w:eastAsia="TimesNewRoman" w:cs="TimesNewRoman"/>
                <w:color w:val="000000"/>
                <w:sz w:val="20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850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5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79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1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850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5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79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1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</w:tr>
      <w:tr>
        <w:tblPrEx/>
        <w:trPr/>
        <w:tc>
          <w:tcPr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276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center"/>
              <w:spacing w:before="0" w:after="200" w:line="276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0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Раздел II. Невостребованные земельные участки</w:t>
            </w:r>
            <w:r>
              <w:rPr>
                <w:rFonts w:ascii="TimesNewRoman" w:hAnsi="TimesNewRoman" w:eastAsia="TimesNewRoman" w:cs="TimesNewRoman"/>
                <w:color w:val="000000"/>
                <w:sz w:val="20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850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5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79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1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850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5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18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79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14" w:type="dxa"/>
            <w:vAlign w:val="top"/>
            <w:textDirection w:val="lrTb"/>
            <w:noWrap w:val="false"/>
          </w:tcPr>
          <w:p>
            <w:pPr>
              <w:pStyle w:val="832"/>
              <w:ind w:left="0" w:firstLine="0"/>
              <w:jc w:val="left"/>
              <w:spacing w:before="0" w:after="0" w:line="240" w:lineRule="auto"/>
              <w:widowControl w:val="off"/>
              <w:rPr>
                <w:rFonts w:ascii="TimesNewRoman" w:hAnsi="TimesNewRoman" w:eastAsia="TimesNewRoman" w:cs="TimesNewRoman"/>
                <w:color w:val="000000"/>
                <w:sz w:val="24"/>
              </w:rPr>
              <w:framePr w:lines="0" w:vSpace="0" w:hSpace="180" w:wrap="around" w:vAnchor="text" w:hAnchor="text" w:xAlign="left" w:y="1"/>
            </w:pPr>
            <w:r>
              <w:rPr>
                <w:rFonts w:ascii="TimesNewRoman" w:hAnsi="TimesNewRoman" w:eastAsia="TimesNewRoman" w:cs="TimesNewRoman"/>
                <w:color w:val="000000"/>
                <w:sz w:val="24"/>
              </w:rPr>
              <w:t xml:space="preserve"> </w:t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  <w:r>
              <w:rPr>
                <w:rFonts w:ascii="TimesNewRoman" w:hAnsi="TimesNewRoman" w:eastAsia="TimesNewRoman" w:cs="TimesNewRoman"/>
                <w:color w:val="000000"/>
                <w:sz w:val="24"/>
              </w:rPr>
            </w:r>
          </w:p>
        </w:tc>
      </w:tr>
    </w:tbl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ff0000"/>
          <w:sz w:val="24"/>
        </w:rPr>
      </w:pPr>
      <w:r>
        <w:rPr>
          <w:rFonts w:ascii="TimesNewRoman" w:hAnsi="TimesNewRoman" w:eastAsia="TimesNewRoman" w:cs="TimesNewRoman"/>
          <w:color w:val="ff0000"/>
          <w:sz w:val="24"/>
        </w:rPr>
      </w:r>
      <w:r>
        <w:rPr>
          <w:rFonts w:ascii="TimesNewRoman" w:hAnsi="TimesNewRoman" w:eastAsia="TimesNewRoman" w:cs="TimesNewRoman"/>
          <w:color w:val="ff0000"/>
          <w:sz w:val="24"/>
        </w:rPr>
      </w:r>
      <w:r>
        <w:rPr>
          <w:rFonts w:ascii="TimesNewRoman" w:hAnsi="TimesNewRoman" w:eastAsia="TimesNewRoman" w:cs="TimesNewRoman"/>
          <w:color w:val="ff0000"/>
          <w:sz w:val="24"/>
        </w:rPr>
      </w:r>
    </w:p>
    <w:p>
      <w:pPr>
        <w:pStyle w:val="832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color w:val="ff0000"/>
          <w:sz w:val="24"/>
        </w:rPr>
      </w:pPr>
      <w:r/>
      <w:bookmarkStart w:id="0" w:name="undefined"/>
      <w:r/>
      <w:bookmarkEnd w:id="0"/>
      <w:r>
        <w:rPr>
          <w:rFonts w:ascii="TimesNewRoman" w:hAnsi="TimesNewRoman" w:eastAsia="TimesNewRoman" w:cs="TimesNewRoman"/>
          <w:color w:val="ff0000"/>
          <w:sz w:val="24"/>
        </w:rPr>
        <w:br/>
      </w:r>
      <w:r>
        <w:rPr>
          <w:rFonts w:ascii="TimesNewRoman" w:hAnsi="TimesNewRoman" w:eastAsia="TimesNewRoman" w:cs="TimesNewRoman"/>
          <w:color w:val="ff0000"/>
          <w:sz w:val="24"/>
        </w:rPr>
      </w:r>
      <w:r>
        <w:rPr>
          <w:rFonts w:ascii="TimesNewRoman" w:hAnsi="TimesNewRoman" w:eastAsia="TimesNewRoman" w:cs="TimesNewRoman"/>
          <w:color w:val="ff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p>
      <w:pPr>
        <w:pStyle w:val="832"/>
        <w:ind w:left="0" w:firstLine="0"/>
        <w:jc w:val="center"/>
        <w:spacing w:before="0" w:after="0" w:line="240" w:lineRule="auto"/>
        <w:rPr>
          <w:rFonts w:ascii="TimesNewRoman" w:hAnsi="TimesNewRoman" w:eastAsia="TimesNewRoman" w:cs="TimesNewRoman"/>
          <w:b/>
          <w:color w:val="000000"/>
          <w:sz w:val="24"/>
        </w:rPr>
      </w:pP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  <w:r>
        <w:rPr>
          <w:rFonts w:ascii="TimesNewRoman" w:hAnsi="TimesNewRoman" w:eastAsia="TimesNewRoman" w:cs="TimesNewRoman"/>
          <w:b/>
          <w:color w:val="000000"/>
          <w:sz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">
    <w:panose1 w:val="020206030504050203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2"/>
      <w:lvlJc w:val="left"/>
      <w:pPr>
        <w:ind w:hanging="360"/>
      </w:pPr>
    </w:lvl>
    <w:lvl w:ilvl="1">
      <w:start w:val="5"/>
      <w:numFmt w:val="decimal"/>
      <w:isLgl w:val="false"/>
      <w:suff w:val="tab"/>
      <w:lvlText w:val="4□.%963"/>
      <w:lvlJc w:val="left"/>
      <w:pPr>
        <w:ind w:hanging="420"/>
      </w:pPr>
    </w:lvl>
    <w:lvl w:ilvl="2">
      <w:start w:val="1"/>
      <w:numFmt w:val="decimal"/>
      <w:isLgl w:val="false"/>
      <w:suff w:val="tab"/>
      <w:lvlText w:val="6□.%9633.%"/>
      <w:lvlJc w:val="left"/>
      <w:pPr>
        <w:ind w:hanging="720"/>
      </w:pPr>
    </w:lvl>
    <w:lvl w:ilvl="3">
      <w:start w:val="1"/>
      <w:numFmt w:val="decimal"/>
      <w:isLgl w:val="false"/>
      <w:suff w:val="tab"/>
      <w:lvlText w:val="8□.%9633.%1.%"/>
      <w:lvlJc w:val="left"/>
      <w:pPr>
        <w:ind w:hanging="720"/>
      </w:pPr>
    </w:lvl>
    <w:lvl w:ilvl="4">
      <w:start w:val="1"/>
      <w:numFmt w:val="decimal"/>
      <w:isLgl w:val="false"/>
      <w:suff w:val="tab"/>
      <w:lvlText w:val="10□.%9633.%1.%2.%"/>
      <w:lvlJc w:val="left"/>
      <w:pPr>
        <w:ind w:hanging="1080"/>
      </w:pPr>
    </w:lvl>
    <w:lvl w:ilvl="5">
      <w:start w:val="1"/>
      <w:numFmt w:val="decimal"/>
      <w:isLgl w:val="false"/>
      <w:suff w:val="tab"/>
      <w:lvlText w:val="%8633.%9633.%1.%2.%3.%"/>
      <w:lvlJc w:val="left"/>
      <w:pPr>
        <w:ind w:hanging="1080"/>
      </w:pPr>
    </w:lvl>
    <w:lvl w:ilvl="6">
      <w:start w:val="1"/>
      <w:numFmt w:val="decimal"/>
      <w:isLgl w:val="false"/>
      <w:suff w:val="tab"/>
      <w:lvlText w:val="%8633.%9633.%1.%2.%3.%4.%"/>
      <w:lvlJc w:val="left"/>
      <w:pPr>
        <w:ind w:hanging="1440"/>
      </w:pPr>
    </w:lvl>
    <w:lvl w:ilvl="7">
      <w:start w:val="1"/>
      <w:numFmt w:val="decimal"/>
      <w:isLgl w:val="false"/>
      <w:suff w:val="tab"/>
      <w:lvlText w:val="%8633.%9633.%1.%2.%3.%4.%5.%"/>
      <w:lvlJc w:val="left"/>
      <w:pPr>
        <w:ind w:hanging="1440"/>
      </w:pPr>
    </w:lvl>
    <w:lvl w:ilvl="8">
      <w:start w:val="1"/>
      <w:numFmt w:val="decimal"/>
      <w:isLgl w:val="false"/>
      <w:suff w:val="tab"/>
      <w:lvlText w:val="%8633.%9633.%1.%2.%3.%4.%5.%6.%"/>
      <w:lvlJc w:val="left"/>
      <w:pPr>
        <w:ind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2"/>
    <w:next w:val="832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2"/>
    <w:next w:val="832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2"/>
    <w:next w:val="832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Title"/>
    <w:basedOn w:val="832"/>
    <w:next w:val="832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link w:val="674"/>
    <w:uiPriority w:val="10"/>
    <w:rPr>
      <w:sz w:val="48"/>
      <w:szCs w:val="48"/>
    </w:rPr>
  </w:style>
  <w:style w:type="paragraph" w:styleId="676">
    <w:name w:val="Subtitle"/>
    <w:basedOn w:val="832"/>
    <w:next w:val="832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link w:val="676"/>
    <w:uiPriority w:val="11"/>
    <w:rPr>
      <w:sz w:val="24"/>
      <w:szCs w:val="24"/>
    </w:rPr>
  </w:style>
  <w:style w:type="paragraph" w:styleId="678">
    <w:name w:val="Quote"/>
    <w:basedOn w:val="832"/>
    <w:next w:val="832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2"/>
    <w:next w:val="832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2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link w:val="682"/>
    <w:uiPriority w:val="99"/>
  </w:style>
  <w:style w:type="paragraph" w:styleId="684">
    <w:name w:val="Footer"/>
    <w:basedOn w:val="832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link w:val="684"/>
    <w:uiPriority w:val="99"/>
  </w:style>
  <w:style w:type="paragraph" w:styleId="686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"/>
    <w:basedOn w:val="8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8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9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0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1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2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3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5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6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7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8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9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0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2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3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4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5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6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7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paragraph" w:styleId="835">
    <w:name w:val="No Spacing"/>
    <w:basedOn w:val="832"/>
    <w:uiPriority w:val="1"/>
    <w:qFormat/>
    <w:pPr>
      <w:spacing w:after="0" w:line="240" w:lineRule="auto"/>
    </w:pPr>
  </w:style>
  <w:style w:type="paragraph" w:styleId="836">
    <w:name w:val="List Paragraph"/>
    <w:basedOn w:val="832"/>
    <w:uiPriority w:val="34"/>
    <w:qFormat/>
    <w:pPr>
      <w:contextualSpacing/>
      <w:ind w:left="720"/>
    </w:pPr>
  </w:style>
  <w:style w:type="character" w:styleId="83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ravo-search.minjust.ru/bigs/showDocument.html?id=96E20C02-1B12-465A-B64C-24AA92270007" TargetMode="External"/><Relationship Id="rId11" Type="http://schemas.openxmlformats.org/officeDocument/2006/relationships/hyperlink" Target="https://pravo-search.minjust.ru/bigs/showDocument.html?id=E510829C-766D-4BB5-91AD-B298EAF7A274" TargetMode="External"/><Relationship Id="rId12" Type="http://schemas.openxmlformats.org/officeDocument/2006/relationships/hyperlink" Target="https://pravo-search.minjust.ru/bigs/showDocument.html?id=1F2DB54E-6C97-4741-BA0A-EAFC2BE8BACC" TargetMode="External"/><Relationship Id="rId13" Type="http://schemas.openxmlformats.org/officeDocument/2006/relationships/hyperlink" Target="https://pravo-search.minjust.ru/bigs/portal.html" TargetMode="External"/><Relationship Id="rId14" Type="http://schemas.openxmlformats.org/officeDocument/2006/relationships/hyperlink" Target="https://pravo-search.minjust.ru/bigs/showDocument.html?id=9CF2F1C3-393D-4051-A52D-9923B0E51C0C" TargetMode="External"/><Relationship Id="rId15" Type="http://schemas.openxmlformats.org/officeDocument/2006/relationships/hyperlink" Target="https://pravo-search.minjust.ru/bigs/showDocument.html?id=E510829C-766D-4BB5-91AD-B298EAF7A274" TargetMode="External"/><Relationship Id="rId16" Type="http://schemas.openxmlformats.org/officeDocument/2006/relationships/hyperlink" Target="https://pravo-search.minjust.ru/bigs/showDocument.html?id=1F2DB54E-6C97-4741-BA0A-EAFC2BE8BACC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2025-11-26T07:48:31Z</dcterms:modified>
</cp:coreProperties>
</file>