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2700020</wp:posOffset>
                </wp:positionH>
                <wp:positionV relativeFrom="paragraph">
                  <wp:posOffset>27955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9700145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60pt;mso-position-horizontal:absolute;mso-position-vertical-relative:text;margin-top:2.2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14.11.2025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       № 1874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плана реализации муниципальной программы 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Укрепление общественного здоровья на территории П</w:t>
      </w:r>
      <w:r>
        <w:rPr>
          <w:b/>
        </w:rPr>
        <w:t xml:space="preserve">еченгского муниципального округа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на 2026 - 2028 годы</w:t>
      </w:r>
      <w:r>
        <w:rPr>
          <w:b/>
        </w:rPr>
      </w:r>
      <w:r>
        <w:rPr>
          <w:b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</w:t>
      </w:r>
      <w:r>
        <w:rPr>
          <w:sz w:val="24"/>
          <w:szCs w:val="24"/>
        </w:rPr>
        <w:t xml:space="preserve"> пунктом 2.15 Порядка </w:t>
      </w:r>
      <w:r>
        <w:rPr>
          <w:sz w:val="24"/>
          <w:szCs w:val="24"/>
        </w:rPr>
        <w:t xml:space="preserve">разработки, реализации и оценки эффективности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муниципальных программ Печенгского муниципального округа</w:t>
      </w:r>
      <w:r>
        <w:rPr>
          <w:sz w:val="24"/>
          <w:szCs w:val="24"/>
        </w:rPr>
        <w:t xml:space="preserve">, утвержденного постановлением администрации Печенгского муниципального округа </w:t>
        <w:br/>
        <w:t xml:space="preserve">от 18.09.2025 № 1488, постановлением администрации Печенгского муниципальн</w:t>
      </w:r>
      <w:r>
        <w:rPr>
          <w:sz w:val="24"/>
          <w:szCs w:val="24"/>
        </w:rPr>
        <w:t xml:space="preserve">ого округа от 12.11.2025 №</w:t>
      </w:r>
      <w:r>
        <w:rPr>
          <w:sz w:val="24"/>
          <w:szCs w:val="24"/>
        </w:rPr>
        <w:t xml:space="preserve"> 1837</w:t>
      </w:r>
      <w:r>
        <w:rPr>
          <w:sz w:val="24"/>
          <w:szCs w:val="24"/>
        </w:rPr>
        <w:t xml:space="preserve"> «Об утверждении муниципальной программы Печ</w:t>
      </w:r>
      <w:r>
        <w:rPr>
          <w:sz w:val="24"/>
          <w:szCs w:val="24"/>
        </w:rPr>
        <w:t xml:space="preserve">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Укрепление общественного здоровья на территории П</w:t>
      </w:r>
      <w:r>
        <w:rPr>
          <w:sz w:val="24"/>
          <w:szCs w:val="24"/>
        </w:rPr>
        <w:t xml:space="preserve">еченгского 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2026 - 2028 годы, в целях повышения эффективности и результативности расходования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</w:t>
      </w:r>
      <w:r>
        <w:rPr>
          <w:b/>
          <w:sz w:val="26"/>
          <w:szCs w:val="26"/>
        </w:rPr>
        <w:t xml:space="preserve">ОСТАНОВЛЯ</w:t>
      </w:r>
      <w:r>
        <w:rPr>
          <w:b/>
          <w:sz w:val="26"/>
          <w:szCs w:val="26"/>
        </w:rPr>
        <w:t xml:space="preserve">Ю: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</w:t>
      </w:r>
      <w:r>
        <w:rPr>
          <w:color w:val="auto"/>
          <w:sz w:val="24"/>
          <w:szCs w:val="24"/>
        </w:rPr>
        <w:tab/>
        <w:t xml:space="preserve">Утвердить</w:t>
      </w:r>
      <w:r>
        <w:rPr>
          <w:color w:val="auto"/>
          <w:sz w:val="24"/>
          <w:szCs w:val="24"/>
        </w:rPr>
        <w:t xml:space="preserve"> план реализации</w:t>
      </w:r>
      <w:r>
        <w:rPr>
          <w:color w:val="auto"/>
          <w:sz w:val="24"/>
          <w:szCs w:val="24"/>
        </w:rPr>
        <w:t xml:space="preserve"> муниципальн</w:t>
      </w:r>
      <w:r>
        <w:rPr>
          <w:color w:val="auto"/>
          <w:sz w:val="24"/>
          <w:szCs w:val="24"/>
        </w:rPr>
        <w:t xml:space="preserve">ой</w:t>
      </w:r>
      <w:r>
        <w:rPr>
          <w:color w:val="auto"/>
          <w:sz w:val="24"/>
          <w:szCs w:val="24"/>
        </w:rPr>
        <w:t xml:space="preserve"> программ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Пе</w:t>
      </w:r>
      <w:r>
        <w:rPr>
          <w:color w:val="auto"/>
          <w:sz w:val="24"/>
          <w:szCs w:val="24"/>
        </w:rPr>
        <w:t xml:space="preserve">ченгского муниципального округа </w:t>
      </w:r>
      <w:r>
        <w:rPr>
          <w:color w:val="auto"/>
          <w:sz w:val="24"/>
          <w:szCs w:val="24"/>
        </w:rPr>
        <w:t xml:space="preserve">«Укрепление общественного здоровья в Печенгском муниципальном округе» на 2026 - 2028 годы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  <w:lang w:eastAsia="en-US"/>
        </w:rPr>
        <w:t xml:space="preserve">Настоящее постановление вступает в силу с 01 января 2026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eastAsia="Calibri"/>
          <w:color w:val="auto"/>
          <w:sz w:val="24"/>
          <w:szCs w:val="24"/>
        </w:rPr>
      </w:pPr>
      <w:r>
        <w:rPr>
          <w:color w:val="auto"/>
          <w:sz w:val="24"/>
          <w:szCs w:val="24"/>
          <w:lang w:eastAsia="en-US"/>
        </w:rPr>
        <w:t xml:space="preserve">3.</w:t>
      </w:r>
      <w:r>
        <w:rPr>
          <w:color w:val="auto"/>
          <w:sz w:val="24"/>
          <w:szCs w:val="24"/>
          <w:lang w:eastAsia="en-US"/>
        </w:rPr>
        <w:tab/>
        <w:t xml:space="preserve">Настоящее постановление разместить на с</w:t>
      </w:r>
      <w:r>
        <w:rPr>
          <w:color w:val="auto"/>
          <w:sz w:val="24"/>
          <w:szCs w:val="24"/>
        </w:rPr>
        <w:t xml:space="preserve">айте Печенгского муниципального округа</w:t>
      </w:r>
      <w:r>
        <w:rPr>
          <w:rFonts w:eastAsia="Calibri"/>
          <w:color w:val="auto"/>
          <w:sz w:val="24"/>
          <w:szCs w:val="24"/>
        </w:rPr>
        <w:t xml:space="preserve"> в сети Интернет.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134" w:leader="none"/>
        </w:tabs>
        <w:rPr>
          <w:rFonts w:eastAsia="Calibri"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  <w:lang w:eastAsia="en-US"/>
        </w:rPr>
        <w:t xml:space="preserve">Кон</w:t>
      </w:r>
      <w:r>
        <w:rPr>
          <w:rFonts w:eastAsia="Calibri"/>
          <w:color w:val="auto"/>
          <w:sz w:val="24"/>
          <w:szCs w:val="24"/>
          <w:lang w:eastAsia="en-US"/>
        </w:rPr>
        <w:t xml:space="preserve">троль за исполнением настоящего постановления оставляю за собой.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spacing w:after="200" w:line="276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 w:after="200" w:line="276" w:lineRule="auto"/>
        <w:rPr>
          <w:highlight w:val="none"/>
        </w:rPr>
        <w:sectPr>
          <w:footnotePr/>
          <w:endnotePr/>
          <w:type w:val="nextPage"/>
          <w:pgSz w:w="11906" w:h="16838" w:orient="portrait"/>
          <w:pgMar w:top="720" w:right="720" w:bottom="720" w:left="1701" w:header="709" w:footer="709" w:gutter="0"/>
          <w:rtlGutter/>
          <w:cols w:num="1" w:sep="0" w:space="709" w:equalWidth="1"/>
          <w:docGrid w:linePitch="360"/>
        </w:sectPr>
      </w:pPr>
      <w:r>
        <w:t xml:space="preserve">Рыжкова А.А., 25151</w:t>
      </w:r>
      <w:r>
        <w:rPr>
          <w:highlight w:val="none"/>
        </w:rPr>
      </w:r>
    </w:p>
    <w:p>
      <w:pPr>
        <w:ind w:left="9921" w:right="0" w:firstLine="0"/>
        <w:jc w:val="lef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921" w:right="0" w:firstLine="0"/>
        <w:jc w:val="left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  <w:br/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921" w:right="0" w:firstLine="0"/>
        <w:jc w:val="lef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14.11.2025 № </w:t>
      </w:r>
      <w:r>
        <w:rPr>
          <w:sz w:val="24"/>
          <w:szCs w:val="24"/>
        </w:rPr>
        <w:t xml:space="preserve">1874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70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62"/>
        <w:gridCol w:w="2239"/>
        <w:gridCol w:w="1290"/>
        <w:gridCol w:w="926"/>
        <w:gridCol w:w="1276"/>
        <w:gridCol w:w="1134"/>
        <w:gridCol w:w="1275"/>
        <w:gridCol w:w="1418"/>
        <w:gridCol w:w="3910"/>
        <w:gridCol w:w="1672"/>
      </w:tblGrid>
      <w:tr>
        <w:tblPrEx/>
        <w:trPr>
          <w:trHeight w:val="585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7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реал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изации муниципальной программы «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Укрепление общественного здоровья на территории Печенгского мун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и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ципального округа» 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на 2026 - 2028 годы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п/п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3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9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02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Объемы и источники финансирования (рублей)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Связь комплексов процессных и(или)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7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 годам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«</w:t>
            </w:r>
            <w:r>
              <w:rPr>
                <w:b/>
                <w:bCs/>
              </w:rPr>
              <w:t xml:space="preserve">Укрепление общественного здоровья на территории Печенгского мун</w:t>
            </w:r>
            <w:r>
              <w:rPr>
                <w:b/>
                <w:bCs/>
              </w:rPr>
              <w:t xml:space="preserve">и</w:t>
            </w:r>
            <w:r>
              <w:rPr>
                <w:b/>
                <w:bCs/>
              </w:rPr>
              <w:t xml:space="preserve">ципального округа»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2026 - 2028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2 370 000,00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 - </w:t>
            </w:r>
            <w:r/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ind w:left="42" w:hanging="42"/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  </w:t>
            </w:r>
            <w:r>
              <w:rPr>
                <w:color w:val="auto"/>
                <w:sz w:val="18"/>
                <w:szCs w:val="18"/>
              </w:rPr>
              <w:t xml:space="preserve">Администрация, </w:t>
            </w:r>
            <w:r>
              <w:rPr>
                <w:color w:val="auto"/>
                <w:sz w:val="18"/>
                <w:szCs w:val="18"/>
              </w:rPr>
              <w:t xml:space="preserve">сектор муниципальной службы и кадров; ОС и ЖКХ;  Отдел образования; Отдел КСиМП;  Печенгская ЦРБ 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4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2 370 000,00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1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ВБС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«Проведение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Отдел образования; </w:t>
            </w:r>
            <w:r>
              <w:rPr>
                <w:color w:val="auto"/>
                <w:sz w:val="18"/>
                <w:szCs w:val="18"/>
              </w:rPr>
              <w:t xml:space="preserve">Отдел КСиМП, </w:t>
            </w:r>
            <w:r>
              <w:rPr>
                <w:color w:val="auto"/>
                <w:sz w:val="18"/>
                <w:szCs w:val="18"/>
              </w:rPr>
              <w:br/>
              <w:t xml:space="preserve">П</w:t>
            </w:r>
            <w:r>
              <w:rPr>
                <w:color w:val="auto"/>
                <w:sz w:val="18"/>
                <w:szCs w:val="18"/>
              </w:rPr>
              <w:t xml:space="preserve">еченгская ЦРБ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МБ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ОБ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ФБ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ВБС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Размещение информации по вопросам ведения здорового образа жизни в средствах массовой информации (официальное издание газета «Печенга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  <w:t xml:space="preserve">), сайт органов местного самоуправления </w:t>
            </w:r>
            <w:r>
              <w:rPr>
                <w:sz w:val="18"/>
                <w:szCs w:val="18"/>
              </w:rPr>
              <w:t xml:space="preserve">Печенгского муниципального округа, официальные аккаунты Печенгского муници</w:t>
            </w:r>
            <w:r>
              <w:rPr>
                <w:sz w:val="18"/>
                <w:szCs w:val="18"/>
              </w:rPr>
              <w:t xml:space="preserve">пального округа в сети Интернет»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</w:t>
            </w:r>
            <w:r>
              <w:rPr>
                <w:sz w:val="18"/>
                <w:szCs w:val="18"/>
              </w:rPr>
              <w:t xml:space="preserve">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Отдел КСиМП, </w:t>
            </w:r>
            <w:r>
              <w:rPr>
                <w:color w:val="auto"/>
                <w:sz w:val="18"/>
                <w:szCs w:val="18"/>
              </w:rPr>
              <w:br/>
              <w:t xml:space="preserve">Печенгская ЦРБ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МБ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ОБ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ФБ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7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ВБС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Информирование населения через средства массовой информации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</w:t>
            </w:r>
            <w:r>
              <w:rPr>
                <w:sz w:val="18"/>
                <w:szCs w:val="18"/>
              </w:rPr>
              <w:t xml:space="preserve">ов»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Отдел КСиМП, </w:t>
            </w:r>
            <w:r>
              <w:rPr>
                <w:color w:val="auto"/>
                <w:sz w:val="18"/>
                <w:szCs w:val="18"/>
              </w:rPr>
              <w:t xml:space="preserve">О</w:t>
            </w:r>
            <w:r>
              <w:rPr>
                <w:color w:val="auto"/>
                <w:sz w:val="18"/>
                <w:szCs w:val="18"/>
              </w:rPr>
              <w:t xml:space="preserve">тдел образования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0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 Мероприятие «</w:t>
            </w:r>
            <w:r>
              <w:rPr>
                <w:color w:val="auto"/>
                <w:sz w:val="18"/>
                <w:szCs w:val="18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</w:t>
            </w:r>
            <w:r>
              <w:rPr>
                <w:color w:val="auto"/>
                <w:sz w:val="18"/>
                <w:szCs w:val="18"/>
              </w:rPr>
              <w:t xml:space="preserve">ий и факторов риска их развития»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Отдел образования, </w:t>
            </w:r>
            <w:r>
              <w:rPr>
                <w:color w:val="auto"/>
                <w:sz w:val="18"/>
                <w:szCs w:val="18"/>
              </w:rPr>
              <w:br/>
              <w:t xml:space="preserve">Печенгская ЦРБ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4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Распространение среди населения Печенгского муниципального округа обновленной санитарно-просветительской литературы по профилактике ХНИЗ и факторов риска их развития, предоставленной ЦОЗМП (плака</w:t>
            </w:r>
            <w:r>
              <w:rPr>
                <w:sz w:val="18"/>
                <w:szCs w:val="18"/>
              </w:rPr>
              <w:t xml:space="preserve">ты, буклеты, памятки, листовки)»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Печенгская ЦРБ</w:t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Распространение среди населения Печенгского муниципального округа санитарно-просветительной </w:t>
            </w:r>
            <w:r>
              <w:rPr>
                <w:sz w:val="18"/>
                <w:szCs w:val="18"/>
              </w:rPr>
              <w:t xml:space="preserve">литературы по профилактике артериальной гипертонии, предоставленной ЦЩ</w:t>
            </w:r>
            <w:r>
              <w:rPr>
                <w:sz w:val="18"/>
                <w:szCs w:val="18"/>
              </w:rPr>
              <w:t xml:space="preserve">ЗМП (плакаты, буклеты, памятки)»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</w:t>
            </w:r>
            <w:r>
              <w:rPr>
                <w:sz w:val="18"/>
                <w:szCs w:val="18"/>
              </w:rPr>
              <w:t xml:space="preserve">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Печенгская ЦРБ</w:t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Распространение среди населения Печенгского муниципального округа санитарно-просветительной литературы по популяции здорового питания, предоставленной ЦО</w:t>
            </w:r>
            <w:r>
              <w:rPr>
                <w:sz w:val="18"/>
                <w:szCs w:val="18"/>
              </w:rPr>
              <w:t xml:space="preserve">ЗМП (плакаты, буклеты, памятки)»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Печенгская ЦРБ</w:t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1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Подготовка и тиражирование информационных материалов по профилактике заболеваний репродуктивной сферы у мужчин, в том числе инфекций, передаваемых половым путем, для лиц подросткового возраста и </w:t>
            </w:r>
            <w:r>
              <w:rPr>
                <w:sz w:val="18"/>
                <w:szCs w:val="18"/>
              </w:rPr>
              <w:t xml:space="preserve">мужчин репродуктивного возраста»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</w:t>
            </w:r>
            <w:r>
              <w:rPr>
                <w:sz w:val="18"/>
                <w:szCs w:val="18"/>
              </w:rPr>
              <w:t xml:space="preserve"> информационно-коммуникационной кампании по формированию здорового образа жизни - это комплексный и мощный инструмент воздействия на общественное здоровье. Формирование единого и доверительного информационного поля. Официальные источники (газета, сайт, соц</w:t>
            </w:r>
            <w:r>
              <w:rPr>
                <w:sz w:val="18"/>
                <w:szCs w:val="18"/>
              </w:rPr>
              <w:t xml:space="preserve">иальные </w:t>
            </w:r>
            <w:r>
              <w:rPr>
                <w:sz w:val="18"/>
                <w:szCs w:val="18"/>
              </w:rPr>
              <w:t xml:space="preserve">сети администрации) восп</w:t>
            </w:r>
            <w:r>
              <w:rPr>
                <w:sz w:val="18"/>
                <w:szCs w:val="18"/>
              </w:rPr>
              <w:t xml:space="preserve">р</w:t>
            </w:r>
            <w:r>
              <w:rPr>
                <w:sz w:val="18"/>
                <w:szCs w:val="18"/>
              </w:rPr>
              <w:t xml:space="preserve">инимаются жи</w:t>
            </w:r>
            <w:r>
              <w:rPr>
                <w:sz w:val="18"/>
                <w:szCs w:val="18"/>
              </w:rPr>
              <w:t xml:space="preserve">телями как наиболее достоверные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Печенгская ЦРБ</w:t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мплекс процессных мероприятий 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«Осуществление профилактических мероприятий»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2 370 000,00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0.1. Доля сотрудников ОМСУ Печенсгкого муниципального округа и подведомственных уч</w:t>
            </w:r>
            <w:r>
              <w:rPr>
                <w:sz w:val="18"/>
                <w:szCs w:val="18"/>
              </w:rPr>
              <w:t xml:space="preserve">реждений, охваченных сезонной вакцинацией от гриппа                                                                                                                                0.2. Доля муниципальных служащих, прошедших диспансеризацию, от общего числа </w:t>
            </w:r>
            <w:r>
              <w:rPr>
                <w:sz w:val="18"/>
                <w:szCs w:val="18"/>
              </w:rPr>
              <w:t xml:space="preserve">муниц</w:t>
            </w:r>
            <w:r>
              <w:rPr>
                <w:sz w:val="18"/>
                <w:szCs w:val="18"/>
              </w:rPr>
              <w:t xml:space="preserve">ипальных служащих, подлежащих диспансеризации                                                                                                                             0.3. Доля сотрудников подведомственных учреждений, прошедших профилактический осмотр о</w:t>
            </w:r>
            <w:r>
              <w:rPr>
                <w:sz w:val="18"/>
                <w:szCs w:val="18"/>
              </w:rPr>
              <w:t xml:space="preserve">т общего числа сотрудников подведомственных учреждений                                                                                                                0.4. Доля граждан Печенгского округа, охваченных профилактическими мероприятиями (профилак</w:t>
            </w:r>
            <w:r>
              <w:rPr>
                <w:sz w:val="18"/>
                <w:szCs w:val="18"/>
              </w:rPr>
              <w:t xml:space="preserve">тические осмотры, диспансеризация, репродуктивная диспансеризация) от общего числа населения                                                                                                                     0.5. Доля обучающихся в образовательных учрежде</w:t>
            </w:r>
            <w:r>
              <w:rPr>
                <w:sz w:val="18"/>
                <w:szCs w:val="18"/>
              </w:rPr>
              <w:t xml:space="preserve">ниях от  3 до 18 лет охваченная вакцинацией от сезонного гриппа.                                                                  0.6. Доля граждан Печенгского округа, охваченных сезонной вакцинацией от гриппа, от общей численности прикрепленного населения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Администрация, сектор муниципальной службы и кадров, подведомственные учреждения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2 370 000,00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1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Проведение диспанс</w:t>
            </w:r>
            <w:r>
              <w:rPr>
                <w:sz w:val="18"/>
                <w:szCs w:val="18"/>
              </w:rPr>
              <w:t xml:space="preserve">еризации муниципальных служащих»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2 370 000,00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790 000,00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Планирование, подбор медицинской организации для прохождения плановой диспансеризации муниципальных служащих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Администрация, сектор муниципальной службы и кадров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2 370 000,00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790 000,00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Обеспечение проведения сезонной вакцинации от гриппа сотрудников ОМС</w:t>
            </w:r>
            <w:r>
              <w:rPr>
                <w:sz w:val="18"/>
                <w:szCs w:val="18"/>
              </w:rPr>
              <w:t xml:space="preserve">У и подведомственных учреждений»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Информирование, вовлечение, организация проведения сезонной вакцинации на рабочих местах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Администрация,                                                       сектор муниципальной службы и кадров, подведомственные учреждения,                                                  Печенгская ЦРБ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5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Обеспечение прохождения  сотрудников  подведомственных учреждений в прохождении профилактиче</w:t>
            </w:r>
            <w:r>
              <w:rPr>
                <w:sz w:val="18"/>
                <w:szCs w:val="18"/>
              </w:rPr>
              <w:t xml:space="preserve">ских осмотров и диспансеризации»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Информирование, вовлечение сотрудников в прохождение профилактических осмотров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Администрация,                                                       сектор муниципальной службы и кадров, подведомственные учреждения,                                                  Печенгская ЦРБ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мплекс процессных мероприятий 3 </w:t>
            </w:r>
            <w:r>
              <w:rPr>
                <w:b/>
                <w:bCs/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Создание благоприятных условий в целях привлечения медицинских работников для ра</w:t>
            </w:r>
            <w:r>
              <w:rPr>
                <w:sz w:val="18"/>
                <w:szCs w:val="18"/>
              </w:rPr>
              <w:t xml:space="preserve">боты в медицинских организациях»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0.7. Доля замещенных штатных единиц врачебного персонала (физические лица) Печенгской ЦРБ от  общей численности штатных единиц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ОС и ЖКХ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3.1.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Подбор и предоставление жилых помещений (квартир) прибывшим медицинским работникам на </w:t>
            </w:r>
            <w:r>
              <w:rPr>
                <w:sz w:val="18"/>
                <w:szCs w:val="18"/>
              </w:rPr>
              <w:t xml:space="preserve">основании поступивших обращений»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 и мониторинг о потребностях в жилых помещениях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Merge w:val="restart"/>
            <w:textDirection w:val="lrTb"/>
            <w:noWrap w:val="false"/>
          </w:tcPr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  <w:p>
            <w:pPr>
              <w:jc w:val="center"/>
              <w:spacing w:after="24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ОС и ЖКХ </w:t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  <w:br/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/>
            <w:bookmarkStart w:id="0" w:name="_GoBack"/>
            <w:r/>
            <w:bookmarkEnd w:id="0"/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9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7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</w:tbl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  </w:t>
      </w:r>
      <w:r>
        <w:rPr>
          <w:sz w:val="18"/>
          <w:szCs w:val="18"/>
          <w:u w:val="single"/>
        </w:rPr>
        <w:t xml:space="preserve">Соисполнители и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– 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КСиМП – Отдел культуры, спорта и молодежной политики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ОС и ЖКХ –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Печенгская ЦРБ </w:t>
      </w:r>
      <w:r>
        <w:rPr>
          <w:sz w:val="18"/>
          <w:szCs w:val="18"/>
        </w:rPr>
        <w:t xml:space="preserve">– Филиал ГОБУЗ «МОКБ им. П.А. Баяндина – Печенгская центральная районная больница;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Подведомственные учреждения - </w:t>
      </w:r>
      <w:r>
        <w:rPr>
          <w:sz w:val="18"/>
          <w:szCs w:val="18"/>
        </w:rPr>
        <w:t xml:space="preserve">Муниципальное казенное учреждение «Управление по обеспечению деятельности администрации»; Муниципальное бюджетное учреждение «Централизованная бухгалтерия», Муниципальное автономное учреждение «Информационный центр»; М</w:t>
      </w:r>
      <w:r>
        <w:rPr>
          <w:sz w:val="18"/>
          <w:szCs w:val="18"/>
        </w:rPr>
        <w:t xml:space="preserve">униципальное казенное учреждение «Единая дежурно-диспетчерская служба Печенгского муниципального округа;</w:t>
      </w:r>
      <w:r>
        <w:rPr>
          <w:sz w:val="18"/>
          <w:szCs w:val="18"/>
        </w:rPr>
        <w:t xml:space="preserve"> М</w:t>
      </w:r>
      <w:r>
        <w:rPr>
          <w:sz w:val="18"/>
          <w:szCs w:val="18"/>
        </w:rPr>
        <w:t xml:space="preserve">униципальное бюджетное учреждение «Ремонтно-эксплуатационная служба»;</w:t>
      </w:r>
      <w:r>
        <w:rPr>
          <w:sz w:val="18"/>
          <w:szCs w:val="18"/>
        </w:rPr>
        <w:t xml:space="preserve"> М</w:t>
      </w:r>
      <w:r>
        <w:rPr>
          <w:sz w:val="18"/>
          <w:szCs w:val="18"/>
        </w:rPr>
        <w:t xml:space="preserve">униципальное бюджетное учреждение «Никельская дорожная служба»;</w:t>
      </w:r>
      <w:r>
        <w:rPr>
          <w:sz w:val="18"/>
          <w:szCs w:val="18"/>
        </w:rPr>
        <w:t xml:space="preserve"> М</w:t>
      </w:r>
      <w:r>
        <w:rPr>
          <w:sz w:val="18"/>
          <w:szCs w:val="18"/>
        </w:rPr>
        <w:t xml:space="preserve">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общеобразовательное учреждение «Средняя общеобразовательная школа № 3»; Муниципальное бюджетное общеобразовательное учреждение «Средняя общеобразовательная школа</w:t>
      </w:r>
      <w:r>
        <w:rPr>
          <w:sz w:val="18"/>
          <w:szCs w:val="18"/>
        </w:rPr>
        <w:t xml:space="preserve"> № 5 имени Героя Российской Федерации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общеобразовательное учреждение «Средняя общеобразовательная школ</w:t>
      </w:r>
      <w:r>
        <w:rPr>
          <w:sz w:val="18"/>
          <w:szCs w:val="18"/>
        </w:rPr>
        <w:t xml:space="preserve">а № 9»; Муниципальное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Янкова»; Муниципальное бюджетное общеобразовате</w:t>
      </w:r>
      <w:r>
        <w:rPr>
          <w:sz w:val="18"/>
          <w:szCs w:val="18"/>
        </w:rPr>
        <w:t xml:space="preserve">льное учреждение «Основная общеобразовательная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</w:t>
      </w:r>
      <w:r>
        <w:rPr>
          <w:sz w:val="18"/>
          <w:szCs w:val="18"/>
        </w:rPr>
        <w:t xml:space="preserve">яя общеобразовательная школа № 23»; Муниципальное бюджетное дошкольное образовательное учреждение «Детский сад № 1»; Муниципальное бюджетное дошкольное образовательное учреждение «Детский сад № 4»; Муниципальное бюджетное дошкольное образовательное учрежде</w:t>
      </w:r>
      <w:r>
        <w:rPr>
          <w:sz w:val="18"/>
          <w:szCs w:val="18"/>
        </w:rPr>
        <w:t xml:space="preserve">ние «Детский сад № 6»; Муниципальное бюджетное дошкольное образовательное учреждение «Детский сад № 7»; Муниципальное бюджетное дошкольное образовательное учреждение «Детский сад № 8»; Муниципальное бюджетное дошкольное образовательное учреждение «Детский </w:t>
      </w:r>
      <w:r>
        <w:rPr>
          <w:sz w:val="18"/>
          <w:szCs w:val="18"/>
        </w:rPr>
        <w:t xml:space="preserve">сад № 10»; Муниципальное бюджетное дошкольное образовательное учреждение «Детский сад № 11»; Муниципальное бюджетное дошкольное образовательное учреждение «Детский сад № 13»; Муниципальное бюджетное дошкольное образовательное учреждение «Детский сад № 38»;</w:t>
      </w:r>
      <w:r>
        <w:rPr>
          <w:sz w:val="18"/>
          <w:szCs w:val="18"/>
        </w:rPr>
        <w:t xml:space="preserve"> Муниципальное бюджетное учреждение дополнительного образования «Дом детского творчества № 1»; Муниципальное бюджетное учреждение дополнительного образования «Дом детского творчества № 2»;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Муниципальное бюджетное учреждение дополнительного образования «Детско-юношеская спортивная школа»; </w:t>
      </w:r>
      <w:r>
        <w:rPr>
          <w:sz w:val="18"/>
          <w:szCs w:val="18"/>
        </w:rPr>
        <w:t xml:space="preserve">Муниципальное бюджетное учреждение культуры «Центр культуры Печенгского муниципального округа»; Муниципальное бюджетное учреждение дополнительного образования «Детская музыкальная</w:t>
      </w:r>
      <w:r>
        <w:rPr>
          <w:sz w:val="18"/>
          <w:szCs w:val="18"/>
        </w:rPr>
        <w:t xml:space="preserve"> школа» Печенгского муниципального округа; Муниципальное бюджетное учреждение дополнительного образования «Детская художественная школа» Печенгского муниципального округа; Муниципальное бюджетное культурно-просветительное учреждение «Печенгское межпоселенч</w:t>
      </w:r>
      <w:r>
        <w:rPr>
          <w:sz w:val="18"/>
          <w:szCs w:val="18"/>
        </w:rPr>
        <w:t xml:space="preserve">еское библиотечное объединение»; Муниципальное бюджетное учреждение «Историко-краеведческий музей Печенгского муниципального округа»; Муниципальное бюджетное учреждение «Центр подготовки и развития молодежных инициатив Печенгского муниципального округа».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rPr>
          <w:sz w:val="18"/>
          <w:szCs w:val="18"/>
          <w:u w:val="single"/>
        </w:rPr>
        <w:t xml:space="preserve">Используемые сокращения: </w:t>
      </w: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/>
    </w:p>
    <w:p>
      <w:pPr>
        <w:spacing w:after="200" w:line="276" w:lineRule="auto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395" w:bottom="707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12"/>
  </w:num>
  <w:num w:numId="10">
    <w:abstractNumId w:val="13"/>
  </w:num>
  <w:num w:numId="11">
    <w:abstractNumId w:val="11"/>
  </w:num>
  <w:num w:numId="12">
    <w:abstractNumId w:val="6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2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2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3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6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9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0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02">
    <w:name w:val="Heading 1"/>
    <w:basedOn w:val="701"/>
    <w:next w:val="701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17"/>
    <w:qFormat/>
    <w:pPr>
      <w:ind w:firstLine="709"/>
      <w:keepNext/>
      <w:outlineLvl w:val="3"/>
    </w:pPr>
    <w:rPr>
      <w:sz w:val="28"/>
    </w:rPr>
  </w:style>
  <w:style w:type="paragraph" w:styleId="706">
    <w:name w:val="Heading 5"/>
    <w:basedOn w:val="701"/>
    <w:next w:val="701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701"/>
    <w:next w:val="701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701"/>
    <w:next w:val="701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701"/>
    <w:next w:val="701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Заголовок 1 Знак"/>
    <w:basedOn w:val="711"/>
    <w:link w:val="702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711"/>
    <w:link w:val="703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711"/>
    <w:link w:val="704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711"/>
    <w:link w:val="70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8" w:customStyle="1">
    <w:name w:val="Заголовок 5 Знак"/>
    <w:basedOn w:val="711"/>
    <w:link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711"/>
    <w:link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711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711"/>
    <w:link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711"/>
    <w:link w:val="710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711"/>
    <w:uiPriority w:val="10"/>
    <w:rPr>
      <w:sz w:val="48"/>
      <w:szCs w:val="48"/>
    </w:rPr>
  </w:style>
  <w:style w:type="character" w:styleId="732" w:customStyle="1">
    <w:name w:val="Subtitle Char"/>
    <w:basedOn w:val="711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701"/>
    <w:next w:val="701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Заголовок Знак"/>
    <w:basedOn w:val="711"/>
    <w:link w:val="737"/>
    <w:uiPriority w:val="10"/>
    <w:rPr>
      <w:sz w:val="48"/>
      <w:szCs w:val="48"/>
    </w:rPr>
  </w:style>
  <w:style w:type="paragraph" w:styleId="739">
    <w:name w:val="Subtitle"/>
    <w:basedOn w:val="701"/>
    <w:next w:val="701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711"/>
    <w:link w:val="739"/>
    <w:uiPriority w:val="11"/>
    <w:rPr>
      <w:sz w:val="24"/>
      <w:szCs w:val="24"/>
    </w:rPr>
  </w:style>
  <w:style w:type="paragraph" w:styleId="741">
    <w:name w:val="Quote"/>
    <w:basedOn w:val="701"/>
    <w:next w:val="701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701"/>
    <w:next w:val="701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11"/>
    <w:uiPriority w:val="99"/>
  </w:style>
  <w:style w:type="character" w:styleId="746" w:customStyle="1">
    <w:name w:val="Footer Char"/>
    <w:basedOn w:val="711"/>
    <w:uiPriority w:val="99"/>
  </w:style>
  <w:style w:type="paragraph" w:styleId="747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7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701"/>
    <w:next w:val="701"/>
    <w:uiPriority w:val="39"/>
    <w:unhideWhenUsed/>
    <w:pPr>
      <w:spacing w:after="57"/>
    </w:pPr>
  </w:style>
  <w:style w:type="paragraph" w:styleId="878">
    <w:name w:val="toc 2"/>
    <w:basedOn w:val="701"/>
    <w:next w:val="701"/>
    <w:uiPriority w:val="39"/>
    <w:unhideWhenUsed/>
    <w:pPr>
      <w:ind w:left="283"/>
      <w:spacing w:after="57"/>
    </w:pPr>
  </w:style>
  <w:style w:type="paragraph" w:styleId="879">
    <w:name w:val="toc 3"/>
    <w:basedOn w:val="701"/>
    <w:next w:val="701"/>
    <w:uiPriority w:val="39"/>
    <w:unhideWhenUsed/>
    <w:pPr>
      <w:ind w:left="567"/>
      <w:spacing w:after="57"/>
    </w:pPr>
  </w:style>
  <w:style w:type="paragraph" w:styleId="880">
    <w:name w:val="toc 4"/>
    <w:basedOn w:val="701"/>
    <w:next w:val="701"/>
    <w:uiPriority w:val="39"/>
    <w:unhideWhenUsed/>
    <w:pPr>
      <w:ind w:left="850"/>
      <w:spacing w:after="57"/>
    </w:pPr>
  </w:style>
  <w:style w:type="paragraph" w:styleId="881">
    <w:name w:val="toc 5"/>
    <w:basedOn w:val="701"/>
    <w:next w:val="701"/>
    <w:uiPriority w:val="39"/>
    <w:unhideWhenUsed/>
    <w:pPr>
      <w:ind w:left="1134"/>
      <w:spacing w:after="57"/>
    </w:pPr>
  </w:style>
  <w:style w:type="paragraph" w:styleId="882">
    <w:name w:val="toc 6"/>
    <w:basedOn w:val="701"/>
    <w:next w:val="701"/>
    <w:uiPriority w:val="39"/>
    <w:unhideWhenUsed/>
    <w:pPr>
      <w:ind w:left="1417"/>
      <w:spacing w:after="57"/>
    </w:pPr>
  </w:style>
  <w:style w:type="paragraph" w:styleId="883">
    <w:name w:val="toc 7"/>
    <w:basedOn w:val="701"/>
    <w:next w:val="701"/>
    <w:uiPriority w:val="39"/>
    <w:unhideWhenUsed/>
    <w:pPr>
      <w:ind w:left="1701"/>
      <w:spacing w:after="57"/>
    </w:pPr>
  </w:style>
  <w:style w:type="paragraph" w:styleId="884">
    <w:name w:val="toc 8"/>
    <w:basedOn w:val="701"/>
    <w:next w:val="701"/>
    <w:uiPriority w:val="39"/>
    <w:unhideWhenUsed/>
    <w:pPr>
      <w:ind w:left="1984"/>
      <w:spacing w:after="57"/>
    </w:pPr>
  </w:style>
  <w:style w:type="paragraph" w:styleId="885">
    <w:name w:val="toc 9"/>
    <w:basedOn w:val="701"/>
    <w:next w:val="701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701"/>
    <w:next w:val="701"/>
    <w:uiPriority w:val="99"/>
    <w:unhideWhenUsed/>
  </w:style>
  <w:style w:type="paragraph" w:styleId="888">
    <w:name w:val="Body Text 2"/>
    <w:basedOn w:val="701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711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701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711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701"/>
    <w:uiPriority w:val="1"/>
    <w:qFormat/>
    <w:pPr>
      <w:contextualSpacing/>
      <w:ind w:left="720"/>
    </w:pPr>
  </w:style>
  <w:style w:type="paragraph" w:styleId="893">
    <w:name w:val="Header"/>
    <w:basedOn w:val="701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711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701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711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701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711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711"/>
    <w:uiPriority w:val="99"/>
    <w:semiHidden/>
    <w:rPr>
      <w:rFonts w:cs="Times New Roman"/>
      <w:vertAlign w:val="superscript"/>
    </w:rPr>
  </w:style>
  <w:style w:type="paragraph" w:styleId="900">
    <w:name w:val="endnote text"/>
    <w:basedOn w:val="701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711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711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71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711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701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701"/>
    <w:next w:val="701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701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711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706A6-317D-46E8-BA0E-1C1FC39BE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14</cp:revision>
  <dcterms:created xsi:type="dcterms:W3CDTF">2025-11-19T14:05:00Z</dcterms:created>
  <dcterms:modified xsi:type="dcterms:W3CDTF">2025-12-02T08:13:39Z</dcterms:modified>
</cp:coreProperties>
</file>