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color w:val="000000"/>
        </w:rPr>
        <w:t xml:space="preserve">  </w:t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left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18.11.2025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           </w:t>
      </w:r>
      <w:r>
        <w:rPr>
          <w:b/>
          <w:color w:val="000000"/>
          <w:szCs w:val="20"/>
        </w:rPr>
        <w:t xml:space="preserve">№ 1888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утверждении </w:t>
      </w:r>
      <w:r>
        <w:rPr>
          <w:b/>
          <w:bCs/>
          <w:sz w:val="20"/>
          <w:szCs w:val="20"/>
        </w:rPr>
        <w:t xml:space="preserve">плана реализации </w:t>
      </w:r>
      <w:r>
        <w:rPr>
          <w:b/>
          <w:bCs/>
          <w:sz w:val="20"/>
          <w:szCs w:val="20"/>
        </w:rPr>
        <w:t xml:space="preserve">муниципальной программы </w:t>
      </w:r>
      <w:r>
        <w:rPr>
          <w:b/>
          <w:bCs/>
          <w:sz w:val="20"/>
          <w:szCs w:val="20"/>
        </w:rPr>
        <w:t xml:space="preserve">Печенгского</w:t>
      </w:r>
      <w:r>
        <w:rPr>
          <w:b/>
          <w:bCs/>
          <w:sz w:val="20"/>
          <w:szCs w:val="20"/>
        </w:rPr>
        <w:t xml:space="preserve"> муниципального округа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</w:t>
      </w:r>
      <w:r>
        <w:rPr>
          <w:b/>
          <w:bCs/>
          <w:sz w:val="20"/>
          <w:szCs w:val="20"/>
        </w:rPr>
        <w:t xml:space="preserve">Обеспечение общественного порядка и безопасности населения</w:t>
      </w:r>
      <w:r>
        <w:rPr>
          <w:b/>
          <w:bCs/>
          <w:sz w:val="20"/>
          <w:szCs w:val="20"/>
        </w:rPr>
        <w:t xml:space="preserve">» на 2026 - 2028 годы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540"/>
        <w:jc w:val="both"/>
      </w:pPr>
      <w:r>
        <w:t xml:space="preserve">В</w:t>
      </w:r>
      <w:r>
        <w:t xml:space="preserve"> соответствии с пунктом 2.15 Порядка разработки, реализации и оценки эффективности муниципальных программ </w:t>
      </w:r>
      <w:r>
        <w:t xml:space="preserve">Печенгского</w:t>
      </w:r>
      <w:r>
        <w:t xml:space="preserve"> муниципального округа, утвержденн</w:t>
      </w:r>
      <w:r>
        <w:t xml:space="preserve">ого</w:t>
      </w:r>
      <w:r>
        <w:t xml:space="preserve"> постановлением администрации </w:t>
      </w:r>
      <w:r>
        <w:t xml:space="preserve">Печенгского</w:t>
      </w:r>
      <w:r>
        <w:t xml:space="preserve"> муниципального округа </w:t>
        <w:br/>
        <w:t xml:space="preserve">от 18.09.2025 № 1488</w:t>
      </w:r>
      <w:r>
        <w:t xml:space="preserve">, постановлением администрации </w:t>
      </w:r>
      <w:r>
        <w:t xml:space="preserve">Печенгского</w:t>
      </w:r>
      <w:r>
        <w:t xml:space="preserve"> муниципального округа от 12.11.2025 № 1839 «Об утверждении муниципальной программы </w:t>
      </w:r>
      <w:r>
        <w:t xml:space="preserve">Печенгского</w:t>
      </w:r>
      <w:r>
        <w:t xml:space="preserve"> муниципального округа «Обеспечение общественного порядка и безопасности населения» на 2026-2028 годы», в целях повышения эффективности и результативности расходования бюджетных средств,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</w:pPr>
      <w:r/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1. Утвердить </w:t>
      </w:r>
      <w:r>
        <w:t xml:space="preserve">план реализации </w:t>
      </w:r>
      <w:r>
        <w:t xml:space="preserve">муниципальн</w:t>
      </w:r>
      <w:r>
        <w:t xml:space="preserve">ой</w:t>
      </w:r>
      <w:r>
        <w:t xml:space="preserve"> программ</w:t>
      </w:r>
      <w:r>
        <w:t xml:space="preserve">ы</w:t>
      </w:r>
      <w:r>
        <w:t xml:space="preserve"> </w:t>
      </w:r>
      <w:r>
        <w:t xml:space="preserve">Печенгского</w:t>
      </w:r>
      <w:r>
        <w:t xml:space="preserve"> муниципального округа «Обеспечение общественного порядка и безопасности населения» на 2026 - 2028 годы согласно приложению.</w:t>
      </w:r>
      <w:r/>
    </w:p>
    <w:p>
      <w:pPr>
        <w:ind w:right="-5" w:firstLine="709"/>
        <w:jc w:val="both"/>
        <w:widowControl w:val="off"/>
      </w:pPr>
      <w:r>
        <w:t xml:space="preserve">2. Настоящее постановление вступает в силу с 01 января 2026 года.</w:t>
      </w:r>
      <w:r/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</w:pPr>
      <w:r>
        <w:t xml:space="preserve">3. Настоящее постановление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ind w:right="-5" w:firstLine="709"/>
        <w:jc w:val="both"/>
        <w:widowControl w:val="off"/>
      </w:pPr>
      <w:r>
        <w:t xml:space="preserve">4. Контроль за исполнением настоящего постановления возложить на заместителя Главы Печенгского муниципального округа Пономарева А.В.</w:t>
      </w:r>
      <w:r/>
    </w:p>
    <w:p>
      <w:pPr>
        <w:ind w:right="-5"/>
        <w:jc w:val="both"/>
        <w:widowControl w:val="off"/>
      </w:pPr>
      <w:r/>
      <w:r/>
    </w:p>
    <w:p>
      <w:pPr>
        <w:ind w:right="-5"/>
        <w:jc w:val="both"/>
        <w:widowControl w:val="off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А.В. Кузнецов</w:t>
      </w:r>
      <w:r/>
    </w:p>
    <w:p>
      <w:r/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Соболев А.В., 50007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</w:tabs>
      </w:pPr>
      <w:r>
        <w:t xml:space="preserve"> </w:t>
      </w:r>
      <w:r/>
    </w:p>
    <w:p>
      <w:pPr>
        <w:ind w:firstLine="709"/>
        <w:jc w:val="both"/>
        <w:tabs>
          <w:tab w:val="left" w:pos="993" w:leader="none"/>
        </w:tabs>
        <w:sectPr>
          <w:footnotePr/>
          <w:endnotePr/>
          <w:type w:val="nextPage"/>
          <w:pgSz w:w="11906" w:h="16838" w:orient="portrait"/>
          <w:pgMar w:top="1134" w:right="850" w:bottom="397" w:left="1701" w:header="708" w:footer="708" w:gutter="0"/>
          <w:cols w:num="1" w:sep="0" w:space="708" w:equalWidth="1"/>
          <w:docGrid w:linePitch="360"/>
        </w:sectPr>
      </w:pPr>
      <w:r/>
      <w:bookmarkStart w:id="0" w:name="P439"/>
      <w:r/>
      <w:bookmarkEnd w:id="0"/>
      <w:r/>
      <w:r/>
    </w:p>
    <w:p>
      <w:pPr>
        <w:pStyle w:val="884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/>
      <w:bookmarkStart w:id="1" w:name="P446"/>
      <w:r/>
      <w:bookmarkEnd w:id="1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0913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913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913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913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18.11.2025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1888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/>
        <w:jc w:val="center"/>
        <w:rPr>
          <w:b/>
          <w:sz w:val="26"/>
          <w:szCs w:val="26"/>
        </w:rPr>
        <w:suppressLineNumbers w:val="0"/>
      </w:pPr>
      <w:r/>
      <w:bookmarkStart w:id="2" w:name="p129"/>
      <w:r/>
      <w:bookmarkEnd w:id="2"/>
      <w:r>
        <w:rPr>
          <w:b/>
          <w:sz w:val="26"/>
          <w:szCs w:val="26"/>
        </w:rPr>
        <w:t xml:space="preserve">ПЛАН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0"/>
        <w:jc w:val="center"/>
        <w:rPr>
          <w:b/>
          <w:sz w:val="26"/>
          <w:szCs w:val="26"/>
        </w:rPr>
        <w:suppressLineNumbers w:val="0"/>
      </w:pPr>
      <w:r>
        <w:rPr>
          <w:b/>
          <w:sz w:val="26"/>
          <w:szCs w:val="26"/>
        </w:rPr>
        <w:t xml:space="preserve"> реализации муниципальной программы </w:t>
      </w:r>
      <w:r>
        <w:rPr>
          <w:b/>
          <w:sz w:val="26"/>
          <w:szCs w:val="26"/>
        </w:rPr>
        <w:t xml:space="preserve">Печенгского</w:t>
      </w:r>
      <w:r>
        <w:rPr>
          <w:b/>
          <w:sz w:val="26"/>
          <w:szCs w:val="26"/>
        </w:rPr>
        <w:t xml:space="preserve"> муниципального округа </w:t>
      </w:r>
      <w:r>
        <w:rPr>
          <w:b/>
          <w:sz w:val="26"/>
          <w:szCs w:val="26"/>
        </w:rPr>
        <w:t xml:space="preserve">«</w:t>
      </w:r>
      <w:r>
        <w:rPr>
          <w:b/>
          <w:sz w:val="26"/>
          <w:szCs w:val="26"/>
        </w:rPr>
        <w:t xml:space="preserve">Обеспечение общественного порядка и безопасности населения</w:t>
      </w:r>
      <w:r>
        <w:rPr>
          <w:b/>
          <w:sz w:val="26"/>
          <w:szCs w:val="26"/>
        </w:rPr>
        <w:t xml:space="preserve">»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на 2026 - 2028 годы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right"/>
        <w:spacing w:line="288" w:lineRule="atLeast"/>
      </w:pPr>
      <w:r/>
      <w:r/>
    </w:p>
    <w:tbl>
      <w:tblPr>
        <w:tblW w:w="15594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993"/>
        <w:gridCol w:w="708"/>
        <w:gridCol w:w="1134"/>
        <w:gridCol w:w="1134"/>
        <w:gridCol w:w="1134"/>
        <w:gridCol w:w="1134"/>
        <w:gridCol w:w="4536"/>
        <w:gridCol w:w="15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п/п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</w:t>
            </w:r>
            <w:r>
              <w:rPr>
                <w:sz w:val="18"/>
                <w:szCs w:val="18"/>
              </w:rPr>
              <w:t xml:space="preserve">направление</w:t>
            </w:r>
            <w:r>
              <w:rPr>
                <w:sz w:val="18"/>
                <w:szCs w:val="18"/>
              </w:rPr>
              <w:t xml:space="preserve"> (подпрограмм</w:t>
            </w:r>
            <w:r>
              <w:rPr>
                <w:sz w:val="18"/>
                <w:szCs w:val="18"/>
              </w:rPr>
              <w:t xml:space="preserve">а</w:t>
            </w:r>
            <w:r>
              <w:rPr>
                <w:sz w:val="18"/>
                <w:szCs w:val="18"/>
              </w:rPr>
              <w:t xml:space="preserve">)</w:t>
            </w:r>
            <w:r>
              <w:rPr>
                <w:sz w:val="18"/>
                <w:szCs w:val="18"/>
              </w:rPr>
              <w:t xml:space="preserve">, комплексы процессных и (или) проектных мероприятий, мероприятие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годам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Муниципальная программа «Обеспечение общественного порядка и безопасности населения»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97 001 310,00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44 262 770,00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26 361 820,00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26 376 720,00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  <w:t xml:space="preserve">МКУ «Е</w:t>
            </w:r>
            <w:r>
              <w:rPr>
                <w:sz w:val="16"/>
                <w:szCs w:val="16"/>
              </w:rPr>
              <w:t xml:space="preserve">ДДС»;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</w:t>
            </w:r>
            <w:r>
              <w:rPr>
                <w:sz w:val="16"/>
                <w:szCs w:val="16"/>
              </w:rPr>
              <w:t xml:space="preserve">УБиР</w:t>
            </w:r>
            <w:r>
              <w:rPr>
                <w:sz w:val="16"/>
                <w:szCs w:val="16"/>
              </w:rPr>
              <w:t xml:space="preserve">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</w:t>
            </w:r>
            <w:r>
              <w:rPr>
                <w:sz w:val="16"/>
                <w:szCs w:val="16"/>
              </w:rPr>
              <w:t xml:space="preserve">тдел образования; подведомственные Отделу образования учреждения;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Учреждения сферы культуры; 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 кадровый центр; ОМВД России «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»; МВК; ФКУ УИИ УФСИН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97 001 310,00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44 262 770,00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26 361 820,00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26 376 720,00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</w:rPr>
              <w:t xml:space="preserve"> «Повышение безопасности дорожного движения и снижение дорожно-транспортного травматизма»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10 00</w:t>
            </w:r>
            <w:r>
              <w:rPr>
                <w:b/>
                <w:sz w:val="16"/>
                <w:szCs w:val="16"/>
              </w:rPr>
              <w:t xml:space="preserve">0</w:t>
            </w:r>
            <w:r>
              <w:rPr>
                <w:b/>
                <w:sz w:val="16"/>
                <w:szCs w:val="16"/>
                <w:lang w:val="en-US"/>
              </w:rPr>
              <w:t xml:space="preserve"> 000</w:t>
            </w:r>
            <w:r>
              <w:rPr>
                <w:b/>
                <w:sz w:val="16"/>
                <w:szCs w:val="16"/>
              </w:rPr>
              <w:t xml:space="preserve">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10 00</w:t>
            </w:r>
            <w:r>
              <w:rPr>
                <w:b/>
                <w:sz w:val="16"/>
                <w:szCs w:val="16"/>
              </w:rPr>
              <w:t xml:space="preserve">0</w:t>
            </w:r>
            <w:r>
              <w:rPr>
                <w:b/>
                <w:sz w:val="16"/>
                <w:szCs w:val="16"/>
                <w:lang w:val="en-US"/>
              </w:rPr>
              <w:t xml:space="preserve"> 000</w:t>
            </w:r>
            <w:r>
              <w:rPr>
                <w:b/>
                <w:sz w:val="16"/>
                <w:szCs w:val="16"/>
              </w:rPr>
              <w:t xml:space="preserve">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</w:t>
            </w:r>
            <w:r>
              <w:rPr>
                <w:sz w:val="16"/>
                <w:szCs w:val="16"/>
              </w:rPr>
              <w:t xml:space="preserve">УБиР</w:t>
            </w:r>
            <w:r>
              <w:rPr>
                <w:sz w:val="16"/>
                <w:szCs w:val="16"/>
              </w:rPr>
              <w:t xml:space="preserve">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 ОМВД России «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sz w:val="18"/>
                <w:szCs w:val="18"/>
              </w:rPr>
              <w:t xml:space="preserve"> «Совершенствование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0.1. Количество зарегистрированных дорожно-транспортных происшествий на территории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 с погибшими и пострадавшими гражданами.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1.1. Количество проведенных заседаний МВК по обеспечению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1.2. Количество публикаций о состоянии аварийности на территории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1.3. Количество комиссионных проверок улично-дорожной сети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1.4. Доля исполненных решений по организации работ по устранению нарушений требований законодательства по безопасности дорожного движе</w:t>
            </w:r>
            <w:r>
              <w:rPr>
                <w:sz w:val="16"/>
                <w:szCs w:val="16"/>
              </w:rPr>
              <w:t xml:space="preserve">ния в общем числе таких решений, принятых в работу в текущем году.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</w:t>
            </w:r>
            <w:r>
              <w:rPr>
                <w:sz w:val="16"/>
                <w:szCs w:val="16"/>
              </w:rPr>
              <w:t xml:space="preserve">УБиР</w:t>
            </w:r>
            <w:r>
              <w:rPr>
                <w:sz w:val="16"/>
                <w:szCs w:val="16"/>
              </w:rPr>
              <w:t xml:space="preserve">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 ОМВД России «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</w:t>
            </w:r>
            <w:r>
              <w:rPr>
                <w:sz w:val="18"/>
                <w:szCs w:val="18"/>
              </w:rPr>
              <w:t xml:space="preserve"> «Устранение </w:t>
            </w:r>
            <w:r>
              <w:rPr>
                <w:sz w:val="18"/>
                <w:szCs w:val="18"/>
              </w:rPr>
              <w:t xml:space="preserve">нарушений требований законодательства по безопасности дорожного движения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предусматривает установку дополнительного освещения; пешеходного ограждения; обустройство пешеходных переходов и пешеходных дорожек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</w:t>
            </w:r>
            <w:r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</w:t>
            </w:r>
            <w:r>
              <w:rPr>
                <w:sz w:val="16"/>
                <w:szCs w:val="16"/>
              </w:rPr>
              <w:t xml:space="preserve">УБиР</w:t>
            </w:r>
            <w:r>
              <w:rPr>
                <w:sz w:val="16"/>
                <w:szCs w:val="16"/>
              </w:rPr>
              <w:t xml:space="preserve">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</w:rPr>
              <w:t xml:space="preserve"> «Формирование безопасного поведения участников дорожного движения и предупреждение детского дорожно-транспортного травматизма»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1.5. Количество проведенных мероприятий по профилактике детского дорожно-транспортного травматизма.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1.6. Количество публикаций о проводимых мероприятиях по совершенствованию системы обеспечения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1.7. Количество общеобразовательных учреждений, обучающиеся начальных классов, которых обеспечены светоотражающими </w:t>
            </w:r>
            <w:r>
              <w:rPr>
                <w:sz w:val="16"/>
                <w:szCs w:val="16"/>
              </w:rPr>
              <w:t xml:space="preserve">фликерами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1.8. Количество проведенных мероприятий, посвященных пропаганде безопасности дорожного движения, формированию навыков безопасного участия в дорожном движении среди учащихся образовательных учреждений.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1.9. Количество стендов, наглядных пособий в образовательных учреждениях по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ПБ, </w:t>
            </w: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образования</w:t>
            </w:r>
            <w:r>
              <w:rPr>
                <w:sz w:val="16"/>
                <w:szCs w:val="16"/>
              </w:rPr>
              <w:t xml:space="preserve">; ОМВД России «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8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Информирование населения о проводимых мероприятиях по совершенствованию системы обеспечения безопасности дорожного движения»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в местных СМИ и в сети Интернет отчетов о состоянии аварийности на территории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округа; информации о проводимых профилактических операциях по линии БДД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ОМВД России «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7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«Профилактика детского дорожно-транспортного травматизма»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(обновление) наглядных стендов по безопасности дорожного движения в образовательных и дошкольных учреждениях. Выдача учащимся начальных классов светоотражающих </w:t>
            </w:r>
            <w:r>
              <w:rPr>
                <w:sz w:val="16"/>
                <w:szCs w:val="16"/>
              </w:rPr>
              <w:t xml:space="preserve">фликеров</w:t>
            </w:r>
            <w:r>
              <w:rPr>
                <w:sz w:val="16"/>
                <w:szCs w:val="16"/>
              </w:rPr>
              <w:t xml:space="preserve">. Проведение тематических занятий</w:t>
            </w:r>
            <w:r>
              <w:rPr>
                <w:sz w:val="16"/>
                <w:szCs w:val="16"/>
              </w:rPr>
              <w:t xml:space="preserve"> по безопасности дорожного движения</w:t>
            </w:r>
            <w:r>
              <w:rPr>
                <w:sz w:val="16"/>
                <w:szCs w:val="16"/>
              </w:rPr>
              <w:t xml:space="preserve"> в общеобразовательных и дошкольных учреждениях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</w:t>
            </w:r>
            <w:r>
              <w:rPr>
                <w:b/>
                <w:sz w:val="18"/>
                <w:szCs w:val="18"/>
                <w:u w:val="single"/>
              </w:rPr>
              <w:t xml:space="preserve"> 2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«Профилактика правонарушений»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 ФКУ УИИ УФСИН; 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 кадровый центр; МВК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sz w:val="18"/>
                <w:szCs w:val="18"/>
              </w:rPr>
              <w:t xml:space="preserve"> «Создание условий для обеспечения правопорядка в общественных местах»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Раскрываемость преступлений, совершенных в общественных местах.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2.1. Количество проведенных заседаний МВК по профилактике правонарушений в </w:t>
            </w:r>
            <w:r>
              <w:rPr>
                <w:sz w:val="16"/>
                <w:szCs w:val="16"/>
              </w:rPr>
              <w:t xml:space="preserve">Печенгском</w:t>
            </w:r>
            <w:r>
              <w:rPr>
                <w:sz w:val="16"/>
                <w:szCs w:val="16"/>
              </w:rPr>
              <w:t xml:space="preserve"> муниципальном округе.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2.2. Количество информационных публикаций о состоянии преступности на территории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  <w:t xml:space="preserve">ОМВД России «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»; </w:t>
            </w:r>
            <w:r>
              <w:rPr>
                <w:sz w:val="16"/>
                <w:szCs w:val="16"/>
              </w:rPr>
              <w:t xml:space="preserve">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Информационно-пропагандистское сопровождение профилактики правонарушений и преступлений»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в местных СМИ и в сети Интернет отчетов о состоянии преступности на территории </w:t>
            </w:r>
            <w:r>
              <w:rPr>
                <w:sz w:val="16"/>
                <w:szCs w:val="16"/>
              </w:rPr>
              <w:t xml:space="preserve">Печенского</w:t>
            </w:r>
            <w:r>
              <w:rPr>
                <w:sz w:val="16"/>
                <w:szCs w:val="16"/>
              </w:rPr>
              <w:t xml:space="preserve"> муниципального округа; </w:t>
            </w:r>
            <w:r>
              <w:rPr>
                <w:sz w:val="16"/>
                <w:szCs w:val="16"/>
              </w:rPr>
              <w:t xml:space="preserve">информации о проводимых профилактических мероприятиях. Привлечение к охране общественного порядка народную дружину.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ОМВД России «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4</w:t>
            </w:r>
            <w:r>
              <w:rPr>
                <w:sz w:val="18"/>
                <w:szCs w:val="18"/>
              </w:rPr>
              <w:t xml:space="preserve"> «Развитие системы профилактики правонарушений»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Раскрываемость преступлений, совершенных в общественных местах.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2.3. Количество несовершеннолетних, привлеченных к административной ответственности за совершение правонарушений.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2.4. Количество преступлений и правонарушений, совершенных несовершеннолетними.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2.5. Количество повторно совершенных преступлений.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2.6. Организация и проведение мониторинга миграционной составляющей на рынке труда.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2.7. Приобретение печатной продукции профилактической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2.8. Оказание содействия в получении юридической, социальной и психологической помощи лицам, в отношении которых применяется пробация, от общего числа лиц</w:t>
            </w:r>
            <w:r>
              <w:rPr>
                <w:sz w:val="16"/>
                <w:szCs w:val="16"/>
              </w:rPr>
              <w:t xml:space="preserve">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2.9. Оказания содействия в восстановлении и формировании социально-полезных связей лицам, в отношении которых применяется пробация,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2.10. Привлечение организаций различных организ</w:t>
            </w:r>
            <w:r>
              <w:rPr>
                <w:sz w:val="16"/>
                <w:szCs w:val="16"/>
              </w:rPr>
              <w:t xml:space="preserve">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 ОМВД России «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»;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 кадровый центр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13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преступлений»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печатной продукции профилактической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«Обеспечение защиты населения и территорий от чрезвычайных ситуаций»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75 981 310,00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28 522 770,00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23 721 820,00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23 736 720,00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 МКУ «ЕДДС»;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75 981 310,00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28 522 770,00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23 721 820,00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23 736 720,00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0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3.</w:t>
            </w:r>
            <w:r>
              <w:rPr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b/>
                <w:sz w:val="18"/>
                <w:szCs w:val="18"/>
                <w:lang w:val="en-US"/>
              </w:rPr>
            </w:r>
            <w:r>
              <w:rPr>
                <w:b/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5</w:t>
            </w:r>
            <w:r>
              <w:rPr>
                <w:sz w:val="18"/>
                <w:szCs w:val="18"/>
              </w:rPr>
              <w:t xml:space="preserve"> «Совершенствование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</w:t>
            </w:r>
            <w:r>
              <w:rPr>
                <w:b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900 000,00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700 000,00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3.1. Доля обученного населения действиям ГО и ЧС.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3.2. Количество установленной наглядной агитации с разъяснением правил поведения граждан на водных объектах.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3.3. Количество проведенных конкурсов детского рисунка в образовательных организациях по правилам безопасности поведения на водных объектах.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3.4. Количество проведенных мероприятий по предупреждению гибели людей и повреждения имущества.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 Количество пожаров в жилых постройках, причиной которых является распространение огня при лесном пожаре.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3.10. Количество муниципальных учреждений, в которых выполнены работы по укреплению</w:t>
            </w:r>
            <w:r>
              <w:rPr>
                <w:sz w:val="16"/>
                <w:szCs w:val="16"/>
              </w:rPr>
              <w:t xml:space="preserve"> противопожарного состояния.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ПБ,</w:t>
            </w:r>
            <w:r>
              <w:rPr>
                <w:sz w:val="16"/>
                <w:szCs w:val="16"/>
              </w:rPr>
              <w:t xml:space="preserve"> Отдел образования; </w:t>
            </w:r>
            <w:r>
              <w:rPr>
                <w:sz w:val="16"/>
                <w:szCs w:val="16"/>
              </w:rPr>
              <w:t xml:space="preserve">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9</w:t>
            </w:r>
            <w:r>
              <w:rPr>
                <w:sz w:val="16"/>
                <w:szCs w:val="16"/>
              </w:rPr>
              <w:t xml:space="preserve">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700 000,00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«Проведение работ по обеспечению пожарной безопасности </w:t>
            </w:r>
            <w:r>
              <w:rPr>
                <w:sz w:val="16"/>
                <w:szCs w:val="16"/>
              </w:rPr>
              <w:t xml:space="preserve">в период летнего пожароопасного периода»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2 500 00</w:t>
            </w: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2 300 00</w:t>
            </w: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1000 00</w:t>
            </w: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100 00</w:t>
            </w: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Выполнение работ пожарных добровольцев; пожарных ГОБУ «Мурманская авиабаза»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Обустройство минерализованной полосы.</w:t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2 500 00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2 300  00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100 00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100 000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«Укрепление противопожарного состояния муниципальных учреждений»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4 400 00</w:t>
            </w: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3 400 00</w:t>
            </w: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500 00</w:t>
            </w: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500 00</w:t>
            </w: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Приведение к нормативным требованиям по пожарной безопасности объектов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Учреждения в сфере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4 400 00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3 400 00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500 00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500 00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</w:t>
            </w:r>
            <w:r>
              <w:rPr>
                <w:b/>
                <w:sz w:val="18"/>
                <w:szCs w:val="18"/>
                <w:lang w:val="en-US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</w:rPr>
              <w:t xml:space="preserve"> «Повышение готовности сил и средств гражданской обороны, муниципального звена РСЧС»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</w:t>
            </w:r>
            <w:r>
              <w:rPr>
                <w:b/>
                <w:sz w:val="16"/>
                <w:szCs w:val="16"/>
                <w:lang w:val="en-US"/>
              </w:rPr>
              <w:t xml:space="preserve">8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079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0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22 </w:t>
            </w:r>
            <w:r>
              <w:rPr>
                <w:b/>
                <w:sz w:val="16"/>
                <w:szCs w:val="16"/>
                <w:lang w:val="en-US"/>
              </w:rPr>
              <w:t xml:space="preserve">755</w:t>
            </w:r>
            <w:r>
              <w:rPr>
                <w:b/>
                <w:sz w:val="16"/>
                <w:szCs w:val="16"/>
              </w:rPr>
              <w:t xml:space="preserve"> 100,00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  <w:lang w:val="en-US"/>
              </w:rPr>
              <w:t xml:space="preserve">2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6</w:t>
            </w: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  <w:lang w:val="en-US"/>
              </w:rPr>
              <w:t xml:space="preserve">4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5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  <w:lang w:val="en-US"/>
              </w:rPr>
              <w:t xml:space="preserve">2</w:t>
            </w:r>
            <w:r>
              <w:rPr>
                <w:b/>
                <w:sz w:val="16"/>
                <w:szCs w:val="16"/>
              </w:rPr>
              <w:t xml:space="preserve"> 6</w:t>
            </w:r>
            <w:r>
              <w:rPr>
                <w:b/>
                <w:sz w:val="16"/>
                <w:szCs w:val="16"/>
                <w:lang w:val="en-US"/>
              </w:rPr>
              <w:t xml:space="preserve">69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4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0.5. Уровень охвата населения средствами оповещения.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3.6. Оснащение волонтеров противопожарным оборудованием, резервным запасом питьевой воды, СИЗ, при тушении лесных пожаров.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3.7. Количество приобретенных и установленных 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  <w:t xml:space="preserve">-камер.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3.8. Количество принятых и обработанных сообщений по системе 112.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 МКУ «ЕДДС»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</w:t>
            </w:r>
            <w:r>
              <w:rPr>
                <w:sz w:val="16"/>
                <w:szCs w:val="16"/>
              </w:rPr>
              <w:t xml:space="preserve">8</w:t>
            </w:r>
            <w:r>
              <w:rPr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  <w:t xml:space="preserve">079</w:t>
            </w:r>
            <w:r>
              <w:rPr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  <w:t xml:space="preserve">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</w:t>
            </w:r>
            <w:r>
              <w:rPr>
                <w:sz w:val="16"/>
                <w:szCs w:val="16"/>
              </w:rPr>
              <w:t xml:space="preserve">755</w:t>
            </w:r>
            <w:r>
              <w:rPr>
                <w:sz w:val="16"/>
                <w:szCs w:val="16"/>
              </w:rPr>
              <w:t xml:space="preserve"> 100,00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  <w:t xml:space="preserve">6</w:t>
            </w:r>
            <w:r>
              <w:rPr>
                <w:sz w:val="16"/>
                <w:szCs w:val="16"/>
              </w:rPr>
              <w:t xml:space="preserve">5</w:t>
            </w:r>
            <w:r>
              <w:rPr>
                <w:sz w:val="16"/>
                <w:szCs w:val="16"/>
              </w:rPr>
              <w:t xml:space="preserve">4</w:t>
            </w:r>
            <w:r>
              <w:rPr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  <w:t xml:space="preserve">5</w:t>
            </w:r>
            <w:r>
              <w:rPr>
                <w:sz w:val="16"/>
                <w:szCs w:val="16"/>
              </w:rPr>
              <w:t xml:space="preserve">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  <w:t xml:space="preserve"> 6</w:t>
            </w:r>
            <w:r>
              <w:rPr>
                <w:sz w:val="16"/>
                <w:szCs w:val="16"/>
              </w:rPr>
              <w:t xml:space="preserve">69</w:t>
            </w:r>
            <w:r>
              <w:rPr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  <w:t xml:space="preserve">4</w:t>
            </w:r>
            <w:r>
              <w:rPr>
                <w:sz w:val="16"/>
                <w:szCs w:val="16"/>
              </w:rPr>
              <w:t xml:space="preserve">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противопожарного, спасательного оборудования, СИЗ и другого имущества для создания </w:t>
            </w:r>
            <w:r>
              <w:rPr>
                <w:sz w:val="18"/>
                <w:szCs w:val="18"/>
              </w:rPr>
              <w:t xml:space="preserve">резерва администрации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</w:t>
            </w:r>
            <w:r>
              <w:rPr>
                <w:b/>
                <w:sz w:val="16"/>
                <w:szCs w:val="16"/>
              </w:rPr>
              <w:t xml:space="preserve">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</w:t>
            </w:r>
            <w:r>
              <w:rPr>
                <w:b/>
                <w:sz w:val="16"/>
                <w:szCs w:val="16"/>
              </w:rPr>
              <w:t xml:space="preserve">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</w:t>
            </w:r>
            <w:r>
              <w:rPr>
                <w:b/>
                <w:sz w:val="16"/>
                <w:szCs w:val="16"/>
              </w:rPr>
              <w:t xml:space="preserve">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противопожарного оборудования, питьевой воды, дополнительного оборудования для создания резерва администрации.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и установка сетевых </w:t>
            </w:r>
            <w:r>
              <w:rPr>
                <w:sz w:val="18"/>
                <w:szCs w:val="18"/>
                <w:lang w:val="en-US"/>
              </w:rPr>
              <w:t xml:space="preserve">IP</w:t>
            </w:r>
            <w:r>
              <w:rPr>
                <w:sz w:val="18"/>
                <w:szCs w:val="18"/>
              </w:rPr>
              <w:t xml:space="preserve">-камер АПК «Безопасный город»»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1 90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и установка 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  <w:t xml:space="preserve">-камер в населенных пунктах.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ГО,ЧС и ПБ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1 90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«Техническое обслуживание системы информирования и оповещения населения»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165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</w:rPr>
              <w:t xml:space="preserve">6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Поддержание в рабочем состоянии системы информирования и оповещения населения.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>
              <w:rPr>
                <w:sz w:val="16"/>
                <w:szCs w:val="16"/>
              </w:rPr>
              <w:t xml:space="preserve">Отдел ГО,ЧС и ПБ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165 6</w:t>
            </w:r>
            <w:r>
              <w:rPr>
                <w:sz w:val="16"/>
                <w:szCs w:val="16"/>
              </w:rPr>
              <w:t xml:space="preserve">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</w:t>
            </w:r>
            <w:r>
              <w:rPr>
                <w:sz w:val="16"/>
                <w:szCs w:val="16"/>
              </w:rPr>
              <w:t xml:space="preserve">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</w:t>
            </w:r>
            <w:r>
              <w:rPr>
                <w:sz w:val="16"/>
                <w:szCs w:val="16"/>
              </w:rPr>
              <w:t xml:space="preserve">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</w:t>
            </w:r>
            <w:r>
              <w:rPr>
                <w:sz w:val="16"/>
                <w:szCs w:val="16"/>
              </w:rPr>
              <w:t xml:space="preserve">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«Обеспечение функционирования МКУ «ЕДДС»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65 713 400,00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21 899 900,00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21 899 300,00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21 914 200,00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постоянной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«ЕДДС»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65 713 400,00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21 899 900,00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21 899 300,00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21 914 200,00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проектных мероприятий 7 </w:t>
            </w:r>
            <w:r>
              <w:rPr>
                <w:sz w:val="18"/>
                <w:szCs w:val="18"/>
              </w:rPr>
              <w:t xml:space="preserve">«Проведение капитального ремонта защитных сооружений гражданской обороны»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1 002 310,00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67 670,00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3.10. Количество защитных сооружений гражданской обороны, в отношении которых проведен капитальный ремонт.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1 002 310,00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67 670,00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4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«Приведение в нормативное состояние (готовность) защитных сооружений гражданской обороны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1 002 310,00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67 670,00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Комплексное обследование защитных сооружений гражданской обороны; разработка ПСД на каждое защитное сооружение; капитальный ремонт помещений защитных сооружений гражданской обороны.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1 002 310,00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67 670,00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4</w:t>
            </w:r>
            <w:r>
              <w:rPr>
                <w:b/>
                <w:sz w:val="18"/>
                <w:szCs w:val="18"/>
              </w:rPr>
              <w:t xml:space="preserve"> «Противодействие терроризму и профилактика экстремизма»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10 990 000,00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5 730 000,00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образования, О</w:t>
            </w:r>
            <w:r>
              <w:rPr>
                <w:sz w:val="16"/>
                <w:szCs w:val="16"/>
              </w:rPr>
              <w:t xml:space="preserve">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подведомственные Отделу образования учреждения;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10 990 000,00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5 730 000,00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57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</w:t>
            </w: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8</w:t>
            </w:r>
            <w:r>
              <w:rPr>
                <w:sz w:val="18"/>
                <w:szCs w:val="18"/>
              </w:rPr>
              <w:t xml:space="preserve"> «Профилактика терроризма и экстремизма»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4.1. Количество проведенных заседаний антитеррористической комиссии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4.2. Количество размещенной информации по профилактике терроризма и экстремизма в СМИ, на сайте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4.3. Количество публикаций о порядке действий при угрозе возникновения террористических актов посредством размещения информации в СМИ, на сайте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4.4. Количество проверок объектов массового пребывания граждан на соответствие установленным нормам антитеррористической защищенности.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4.5. Информирование жителей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4.6. 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4.7. Количество мероприятий по повышению уровня компетентности обучающихся образовательных организаций в вопросах профилактики терроризма, экстремизма, межнациональных и </w:t>
            </w:r>
            <w:r>
              <w:rPr>
                <w:sz w:val="16"/>
                <w:szCs w:val="16"/>
              </w:rPr>
              <w:t xml:space="preserve">межконфессионных</w:t>
            </w:r>
            <w:r>
              <w:rPr>
                <w:sz w:val="16"/>
                <w:szCs w:val="16"/>
              </w:rPr>
              <w:t xml:space="preserve">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4.8. 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 Доля лиц, прибывающих в 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 муниципальный округ из Донецкой, Луганской народных республик, Запорожской, Харьковской областей и Украины, которым произведены выплаты от общего числа обратившихся данной категории.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образования, О</w:t>
            </w:r>
            <w:r>
              <w:rPr>
                <w:sz w:val="16"/>
                <w:szCs w:val="16"/>
              </w:rPr>
              <w:t xml:space="preserve">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>
          <w:trHeight w:val="1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390 000,00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терроризма и экстремизма»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печатной продукции антитеррористической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9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«Проведение </w:t>
            </w:r>
            <w:r>
              <w:rPr>
                <w:sz w:val="18"/>
                <w:szCs w:val="18"/>
              </w:rPr>
              <w:t xml:space="preserve">адресной и индивидуальной работы с прибывающими в регионы лицами, из Донецкой, Луганской народных республик, Запорожской, Херсонской областей и Украины»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</w:t>
            </w:r>
            <w:r>
              <w:rPr>
                <w:b/>
                <w:sz w:val="16"/>
                <w:szCs w:val="16"/>
              </w:rPr>
              <w:t xml:space="preserve">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Выплаты нуждающимся лицам, прибывающим в 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 муниципальный округ из Донецкой, Луганской народных </w:t>
            </w:r>
            <w:r>
              <w:rPr>
                <w:sz w:val="16"/>
                <w:szCs w:val="16"/>
              </w:rPr>
              <w:t xml:space="preserve">республик, Запорожской, Херсонской областей и Украины.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4.9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9.</w:t>
            </w:r>
            <w:r>
              <w:rPr>
                <w:sz w:val="18"/>
                <w:szCs w:val="18"/>
              </w:rPr>
              <w:t xml:space="preserve"> «Повышение антитеррористической защищенности объектов, находящихся в ведении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террористической направленности, а также совершенных на почве межнациональных (межэтнических</w:t>
            </w:r>
            <w:r>
              <w:rPr>
                <w:sz w:val="16"/>
                <w:szCs w:val="16"/>
              </w:rPr>
              <w:t xml:space="preserve">)</w:t>
            </w:r>
            <w:r>
              <w:rPr>
                <w:sz w:val="16"/>
                <w:szCs w:val="16"/>
              </w:rPr>
              <w:t xml:space="preserve">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4.10. Доля осуществленных мероприятий, направленных на усиление антитеррористической защищенности объектов, находящихся в ведении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округа, об общего числа запланированных мероприятий.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подведомственные Отделу образования учреждения; </w:t>
            </w:r>
            <w:r>
              <w:rPr>
                <w:sz w:val="16"/>
                <w:szCs w:val="16"/>
              </w:rPr>
              <w:t xml:space="preserve">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</w:t>
            </w:r>
            <w:r>
              <w:rPr>
                <w:sz w:val="16"/>
                <w:szCs w:val="16"/>
              </w:rPr>
              <w:t xml:space="preserve">1</w:t>
            </w:r>
            <w:bookmarkStart w:id="3" w:name="_GoBack"/>
            <w:r/>
            <w:bookmarkEnd w:id="3"/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«Усиление антитеррористической защищенности объектов, находящихся в ведении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10 60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5 600</w:t>
            </w:r>
            <w:r>
              <w:rPr>
                <w:b/>
                <w:sz w:val="16"/>
                <w:szCs w:val="16"/>
              </w:rPr>
              <w:t xml:space="preserve">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</w:t>
            </w:r>
            <w:r>
              <w:rPr>
                <w:b/>
                <w:sz w:val="16"/>
                <w:szCs w:val="16"/>
              </w:rPr>
              <w:t xml:space="preserve">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</w:t>
            </w:r>
            <w:r>
              <w:rPr>
                <w:b/>
                <w:sz w:val="16"/>
                <w:szCs w:val="16"/>
              </w:rPr>
              <w:t xml:space="preserve">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камер видеонаблюдения на объектах;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заборного ограждения объектов;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систем оповещения о готовящемся теракте.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подведомственные Отделу образования учреждения; </w:t>
            </w:r>
            <w:r>
              <w:rPr>
                <w:sz w:val="16"/>
                <w:szCs w:val="16"/>
              </w:rPr>
              <w:t xml:space="preserve">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10 60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5 60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</w:t>
            </w:r>
            <w:r>
              <w:rPr>
                <w:sz w:val="16"/>
                <w:szCs w:val="16"/>
              </w:rPr>
              <w:t xml:space="preserve">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  <w:vertAlign w:val="superscript"/>
        </w:rPr>
        <w:t xml:space="preserve">1</w:t>
      </w:r>
      <w:r>
        <w:rPr>
          <w:sz w:val="18"/>
          <w:szCs w:val="18"/>
          <w:u w:val="single"/>
          <w:vertAlign w:val="superscript"/>
        </w:rPr>
        <w:t xml:space="preserve">  </w:t>
      </w:r>
      <w:r>
        <w:rPr>
          <w:sz w:val="18"/>
          <w:szCs w:val="18"/>
          <w:u w:val="single"/>
        </w:rPr>
        <w:t xml:space="preserve">Соисполнители</w:t>
      </w:r>
      <w:r>
        <w:rPr>
          <w:sz w:val="18"/>
          <w:szCs w:val="18"/>
          <w:u w:val="single"/>
        </w:rPr>
        <w:t xml:space="preserve"> и участники</w:t>
      </w:r>
      <w:r>
        <w:rPr>
          <w:sz w:val="18"/>
          <w:szCs w:val="18"/>
          <w:u w:val="single"/>
        </w:rPr>
        <w:t xml:space="preserve">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ГО, ЧС и ПБ </w:t>
      </w: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Администрация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 (</w:t>
      </w:r>
      <w:r>
        <w:rPr>
          <w:sz w:val="18"/>
          <w:szCs w:val="18"/>
        </w:rPr>
        <w:t xml:space="preserve">Отдел </w:t>
      </w:r>
      <w:r>
        <w:rPr>
          <w:sz w:val="18"/>
          <w:szCs w:val="18"/>
        </w:rPr>
        <w:t xml:space="preserve">гражданской обороны, чрезвычайной ситуации и пожарной безопасности администрации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</w:t>
      </w:r>
      <w:r>
        <w:rPr>
          <w:sz w:val="18"/>
          <w:szCs w:val="18"/>
        </w:rPr>
        <w:t xml:space="preserve">);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образования – </w:t>
      </w:r>
      <w:r>
        <w:rPr>
          <w:sz w:val="18"/>
          <w:szCs w:val="18"/>
        </w:rPr>
        <w:t xml:space="preserve">Отдел образования</w:t>
      </w:r>
      <w:r>
        <w:rPr>
          <w:sz w:val="18"/>
          <w:szCs w:val="18"/>
        </w:rPr>
        <w:t xml:space="preserve"> администрации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</w:t>
      </w:r>
      <w:r>
        <w:rPr>
          <w:sz w:val="18"/>
          <w:szCs w:val="18"/>
        </w:rPr>
        <w:t xml:space="preserve">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</w:t>
      </w:r>
      <w:r>
        <w:rPr>
          <w:sz w:val="18"/>
          <w:szCs w:val="18"/>
        </w:rPr>
        <w:t xml:space="preserve">КСиМП</w:t>
      </w:r>
      <w:r>
        <w:rPr>
          <w:sz w:val="18"/>
          <w:szCs w:val="18"/>
        </w:rPr>
        <w:t xml:space="preserve"> – Отдел культуры, спорта и молодежной политики администрации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«ЕДДС» - муниципальное казенное учреждение «Единая дежурно-диспетчерская служба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«РЭС» - муниципальное бюджетное учреждение «Ремонтно-эксплуатационная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«НДС» - муниципальное бюджетное учреждение «</w:t>
      </w:r>
      <w:r>
        <w:rPr>
          <w:sz w:val="18"/>
          <w:szCs w:val="18"/>
        </w:rPr>
        <w:t xml:space="preserve">Никельская</w:t>
      </w:r>
      <w:r>
        <w:rPr>
          <w:sz w:val="18"/>
          <w:szCs w:val="18"/>
        </w:rPr>
        <w:t xml:space="preserve"> дорожная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</w:t>
      </w:r>
      <w:r>
        <w:rPr>
          <w:sz w:val="18"/>
          <w:szCs w:val="18"/>
        </w:rPr>
        <w:t xml:space="preserve">УБиР</w:t>
      </w:r>
      <w:r>
        <w:rPr>
          <w:sz w:val="18"/>
          <w:szCs w:val="18"/>
        </w:rPr>
        <w:t xml:space="preserve">» - </w:t>
      </w:r>
      <w:r>
        <w:rPr>
          <w:sz w:val="18"/>
          <w:szCs w:val="18"/>
        </w:rPr>
        <w:t xml:space="preserve">муниципальное казенное учреждение «Управление благоустройства и развития»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 Мурманской области</w:t>
      </w:r>
      <w:r>
        <w:rPr>
          <w:sz w:val="18"/>
          <w:szCs w:val="18"/>
        </w:rPr>
        <w:t xml:space="preserve">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Печенгский</w:t>
      </w:r>
      <w:r>
        <w:rPr>
          <w:sz w:val="18"/>
          <w:szCs w:val="18"/>
        </w:rPr>
        <w:t xml:space="preserve"> кадровый центр –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Печенгский</w:t>
      </w:r>
      <w:r>
        <w:rPr>
          <w:sz w:val="18"/>
          <w:szCs w:val="18"/>
        </w:rPr>
        <w:t xml:space="preserve"> кадровый центр </w:t>
      </w:r>
      <w:r>
        <w:rPr>
          <w:sz w:val="18"/>
          <w:szCs w:val="18"/>
        </w:rPr>
        <w:t xml:space="preserve">ГОБУ ЦЗН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ОМВД России «</w:t>
      </w:r>
      <w:r>
        <w:rPr>
          <w:sz w:val="18"/>
          <w:szCs w:val="18"/>
        </w:rPr>
        <w:t xml:space="preserve">Печенгский</w:t>
      </w:r>
      <w:r>
        <w:rPr>
          <w:sz w:val="18"/>
          <w:szCs w:val="18"/>
        </w:rPr>
        <w:t xml:space="preserve">» -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ОМВД России «</w:t>
      </w:r>
      <w:r>
        <w:rPr>
          <w:sz w:val="18"/>
          <w:szCs w:val="18"/>
        </w:rPr>
        <w:t xml:space="preserve">Печенгский</w:t>
      </w:r>
      <w:r>
        <w:rPr>
          <w:sz w:val="18"/>
          <w:szCs w:val="18"/>
        </w:rPr>
        <w:t xml:space="preserve">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МВК –</w:t>
      </w:r>
      <w:r>
        <w:rPr>
          <w:sz w:val="18"/>
          <w:szCs w:val="18"/>
        </w:rPr>
        <w:t xml:space="preserve"> межведомственная комиссия по обеспечению безопасности дорожного движения;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ФКУ УИИ УФСИН </w:t>
      </w:r>
      <w:r>
        <w:rPr>
          <w:sz w:val="18"/>
          <w:szCs w:val="18"/>
        </w:rPr>
        <w:t xml:space="preserve">–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филиал по </w:t>
      </w:r>
      <w:r>
        <w:rPr>
          <w:sz w:val="18"/>
          <w:szCs w:val="18"/>
        </w:rPr>
        <w:t xml:space="preserve">Печенгскому</w:t>
      </w:r>
      <w:r>
        <w:rPr>
          <w:sz w:val="18"/>
          <w:szCs w:val="18"/>
        </w:rPr>
        <w:t xml:space="preserve"> району ФКУ УИИ УФСИН России по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подведомственные Отделу образования учреждения – Муниципальное бюджетное общеобразовательное учреждение «Средняя общеобразовательная школа № 3»; Муниципальное бюджетное общеобразовательно</w:t>
      </w:r>
      <w:r>
        <w:rPr>
          <w:sz w:val="18"/>
          <w:szCs w:val="18"/>
        </w:rPr>
        <w:t xml:space="preserve">е учреждение «Средняя общеобразовательная школа № 5 имени Героя Российской Федерации М.С. Попова»; Муниципальное бюджетное общеобразовательное учреждение «Средняя общеобразовательная школа № 7 имени Ю.А. Гагарина»; Муниципальное бюджетное общеобразовательн</w:t>
      </w:r>
      <w:r>
        <w:rPr>
          <w:sz w:val="18"/>
          <w:szCs w:val="18"/>
        </w:rPr>
        <w:t xml:space="preserve">ое учреждение «Средняя общеобразовательная школа № 9»; Муниципальное бюджетное общеобразовательное учреждение «Средняя общеобразовательная школа № 11»; Муниципальное бюджетное общеобразовательное учреждение «Средняя общеобразовательная школа № 19 им. М.Р. </w:t>
      </w:r>
      <w:r>
        <w:rPr>
          <w:sz w:val="18"/>
          <w:szCs w:val="18"/>
        </w:rPr>
        <w:t xml:space="preserve">Янкова</w:t>
      </w:r>
      <w:r>
        <w:rPr>
          <w:sz w:val="18"/>
          <w:szCs w:val="18"/>
        </w:rPr>
        <w:t xml:space="preserve">»; Муниципальное бюджетное общеобразовательное учреждение «Основная общеобра</w:t>
      </w:r>
      <w:r>
        <w:rPr>
          <w:sz w:val="18"/>
          <w:szCs w:val="18"/>
        </w:rPr>
        <w:t xml:space="preserve">зовательная школа № 20 имени М.Ю. Козлова»; Муниципальное бюджетное общеобразовательное учреждение «Основная общеобразовательная школа № 22 им. Б.Ф. Сафонова»; Муниципальное бюджетное общеобразовательное учреждение «Средняя общеобразовательная школа № 23»;</w:t>
      </w:r>
      <w:r>
        <w:rPr>
          <w:sz w:val="18"/>
          <w:szCs w:val="18"/>
        </w:rPr>
        <w:t xml:space="preserve"> Муниципальное бюджетное дошкольное образовательное учреждение «Детский сад № 1»;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дошкольное образовательное учреждение «Детский сад № 4»;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дошкольное образовательное учреждение «Детский сад </w:t>
        <w:br/>
        <w:t xml:space="preserve">№ 6»;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дошкольное образовательное учреждение «Детский сад № 7»;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дошкольное образовательное учреждение «Детский сад № 8»;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дошкольное образовательное учреждение «Детский сад № 10»;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дошкольное образовательное учреждение «Детский сад № 11»;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дошкольное образовательное учреждение «Детский сад № 13»; Муниципальное бюджетное дошкольное образовательное учреждение «Детский сад № 38»;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Учреждения сферы культуры </w:t>
      </w:r>
      <w:r>
        <w:rPr>
          <w:sz w:val="18"/>
          <w:szCs w:val="18"/>
        </w:rPr>
        <w:t xml:space="preserve">– Муниципальное бюджетное учреждение культуры «Центр культуры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округа»;  Муниципальное бюджетное учреждение дополнительного образования «Детская музыкальная школа»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округа; Муниципальное бюджетное учреждение дополнительного образования «Детская художественная школа»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округа; Муниципальное бюджетное культурно-просветительное учреждение «</w:t>
      </w:r>
      <w:r>
        <w:rPr>
          <w:sz w:val="18"/>
          <w:szCs w:val="18"/>
        </w:rPr>
        <w:t xml:space="preserve">Печенгское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межпоселенческое</w:t>
      </w:r>
      <w:r>
        <w:rPr>
          <w:sz w:val="18"/>
          <w:szCs w:val="18"/>
        </w:rPr>
        <w:t xml:space="preserve"> библиотечное объединение».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</w:pPr>
      <w:r>
        <w:rPr>
          <w:sz w:val="18"/>
          <w:szCs w:val="18"/>
          <w:u w:val="single"/>
        </w:rPr>
        <w:t xml:space="preserve">И</w:t>
      </w:r>
      <w:r>
        <w:rPr>
          <w:sz w:val="18"/>
          <w:szCs w:val="18"/>
          <w:u w:val="single"/>
        </w:rPr>
        <w:t xml:space="preserve">спользуемые </w:t>
      </w:r>
      <w:r>
        <w:rPr>
          <w:sz w:val="18"/>
          <w:szCs w:val="18"/>
          <w:u w:val="single"/>
        </w:rPr>
        <w:t xml:space="preserve">сокращения</w:t>
      </w:r>
      <w:r>
        <w:rPr>
          <w:sz w:val="18"/>
          <w:szCs w:val="18"/>
          <w:u w:val="single"/>
        </w:rPr>
        <w:t xml:space="preserve">:</w:t>
      </w:r>
      <w:r>
        <w:rPr>
          <w:sz w:val="18"/>
          <w:szCs w:val="18"/>
          <w:u w:val="single"/>
        </w:rPr>
        <w:t xml:space="preserve"> </w:t>
      </w:r>
      <w:r>
        <w:rPr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/>
    </w:p>
    <w:p>
      <w:pPr>
        <w:pStyle w:val="884"/>
        <w:jc w:val="both"/>
        <w:spacing w:before="0" w:beforeAutospacing="0" w:after="0" w:afterAutospacing="0" w:line="288" w:lineRule="atLeast"/>
        <w:sectPr>
          <w:footnotePr/>
          <w:endnotePr/>
          <w:type w:val="nextPage"/>
          <w:pgSz w:w="16838" w:h="11906" w:orient="landscape"/>
          <w:pgMar w:top="851" w:right="962" w:bottom="709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6"/>
  </w:num>
  <w:num w:numId="4">
    <w:abstractNumId w:val="2"/>
  </w:num>
  <w:num w:numId="5">
    <w:abstractNumId w:val="14"/>
  </w:num>
  <w:num w:numId="6">
    <w:abstractNumId w:val="1"/>
  </w:num>
  <w:num w:numId="7">
    <w:abstractNumId w:val="19"/>
  </w:num>
  <w:num w:numId="8">
    <w:abstractNumId w:val="8"/>
  </w:num>
  <w:num w:numId="9">
    <w:abstractNumId w:val="10"/>
  </w:num>
  <w:num w:numId="10">
    <w:abstractNumId w:val="4"/>
  </w:num>
  <w:num w:numId="11">
    <w:abstractNumId w:val="7"/>
  </w:num>
  <w:num w:numId="12">
    <w:abstractNumId w:val="5"/>
  </w:num>
  <w:num w:numId="13">
    <w:abstractNumId w:val="17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0"/>
  </w:num>
  <w:num w:numId="18">
    <w:abstractNumId w:val="9"/>
  </w:num>
  <w:num w:numId="19">
    <w:abstractNumId w:val="12"/>
  </w:num>
  <w:num w:numId="20">
    <w:abstractNumId w:val="15"/>
  </w:num>
  <w:num w:numId="21">
    <w:abstractNumId w:val="3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>
    <w:name w:val="Heading 1"/>
    <w:basedOn w:val="872"/>
    <w:next w:val="872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9">
    <w:name w:val="Heading 1 Char"/>
    <w:basedOn w:val="874"/>
    <w:link w:val="698"/>
    <w:uiPriority w:val="9"/>
    <w:rPr>
      <w:rFonts w:ascii="Arial" w:hAnsi="Arial" w:eastAsia="Arial" w:cs="Arial"/>
      <w:sz w:val="40"/>
      <w:szCs w:val="40"/>
    </w:rPr>
  </w:style>
  <w:style w:type="paragraph" w:styleId="700">
    <w:name w:val="Heading 2"/>
    <w:basedOn w:val="872"/>
    <w:next w:val="872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1">
    <w:name w:val="Heading 2 Char"/>
    <w:basedOn w:val="874"/>
    <w:link w:val="700"/>
    <w:uiPriority w:val="9"/>
    <w:rPr>
      <w:rFonts w:ascii="Arial" w:hAnsi="Arial" w:eastAsia="Arial" w:cs="Arial"/>
      <w:sz w:val="34"/>
    </w:rPr>
  </w:style>
  <w:style w:type="paragraph" w:styleId="702">
    <w:name w:val="Heading 3"/>
    <w:basedOn w:val="872"/>
    <w:next w:val="872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3">
    <w:name w:val="Heading 3 Char"/>
    <w:basedOn w:val="874"/>
    <w:link w:val="702"/>
    <w:uiPriority w:val="9"/>
    <w:rPr>
      <w:rFonts w:ascii="Arial" w:hAnsi="Arial" w:eastAsia="Arial" w:cs="Arial"/>
      <w:sz w:val="30"/>
      <w:szCs w:val="30"/>
    </w:rPr>
  </w:style>
  <w:style w:type="paragraph" w:styleId="704">
    <w:name w:val="Heading 4"/>
    <w:basedOn w:val="872"/>
    <w:next w:val="872"/>
    <w:link w:val="70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5">
    <w:name w:val="Heading 4 Char"/>
    <w:basedOn w:val="874"/>
    <w:link w:val="704"/>
    <w:uiPriority w:val="9"/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872"/>
    <w:next w:val="872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7">
    <w:name w:val="Heading 5 Char"/>
    <w:basedOn w:val="874"/>
    <w:link w:val="706"/>
    <w:uiPriority w:val="9"/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872"/>
    <w:next w:val="872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9">
    <w:name w:val="Heading 6 Char"/>
    <w:basedOn w:val="874"/>
    <w:link w:val="708"/>
    <w:uiPriority w:val="9"/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872"/>
    <w:next w:val="87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7 Char"/>
    <w:basedOn w:val="874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8 Char"/>
    <w:basedOn w:val="874"/>
    <w:link w:val="873"/>
    <w:uiPriority w:val="9"/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872"/>
    <w:next w:val="872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Heading 9 Char"/>
    <w:basedOn w:val="87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  <w:pPr>
      <w:spacing w:before="0" w:after="0" w:line="240" w:lineRule="auto"/>
    </w:pPr>
  </w:style>
  <w:style w:type="paragraph" w:styleId="716">
    <w:name w:val="Title"/>
    <w:basedOn w:val="872"/>
    <w:next w:val="872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>
    <w:name w:val="Title Char"/>
    <w:basedOn w:val="874"/>
    <w:link w:val="716"/>
    <w:uiPriority w:val="10"/>
    <w:rPr>
      <w:sz w:val="48"/>
      <w:szCs w:val="48"/>
    </w:rPr>
  </w:style>
  <w:style w:type="paragraph" w:styleId="718">
    <w:name w:val="Subtitle"/>
    <w:basedOn w:val="872"/>
    <w:next w:val="872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>
    <w:name w:val="Subtitle Char"/>
    <w:basedOn w:val="874"/>
    <w:link w:val="718"/>
    <w:uiPriority w:val="11"/>
    <w:rPr>
      <w:sz w:val="24"/>
      <w:szCs w:val="24"/>
    </w:rPr>
  </w:style>
  <w:style w:type="paragraph" w:styleId="720">
    <w:name w:val="Quote"/>
    <w:basedOn w:val="872"/>
    <w:next w:val="872"/>
    <w:link w:val="721"/>
    <w:uiPriority w:val="29"/>
    <w:qFormat/>
    <w:pPr>
      <w:ind w:left="720" w:right="720"/>
    </w:pPr>
    <w:rPr>
      <w:i/>
    </w:rPr>
  </w:style>
  <w:style w:type="character" w:styleId="721">
    <w:name w:val="Quote Char"/>
    <w:link w:val="720"/>
    <w:uiPriority w:val="29"/>
    <w:rPr>
      <w:i/>
    </w:rPr>
  </w:style>
  <w:style w:type="paragraph" w:styleId="722">
    <w:name w:val="Intense Quote"/>
    <w:basedOn w:val="872"/>
    <w:next w:val="872"/>
    <w:link w:val="72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>
    <w:name w:val="Intense Quote Char"/>
    <w:link w:val="722"/>
    <w:uiPriority w:val="30"/>
    <w:rPr>
      <w:i/>
    </w:rPr>
  </w:style>
  <w:style w:type="character" w:styleId="724">
    <w:name w:val="Header Char"/>
    <w:basedOn w:val="874"/>
    <w:link w:val="880"/>
    <w:uiPriority w:val="99"/>
  </w:style>
  <w:style w:type="paragraph" w:styleId="725">
    <w:name w:val="Footer"/>
    <w:basedOn w:val="872"/>
    <w:link w:val="72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6">
    <w:name w:val="Footer Char"/>
    <w:basedOn w:val="874"/>
    <w:link w:val="725"/>
    <w:uiPriority w:val="99"/>
  </w:style>
  <w:style w:type="paragraph" w:styleId="727">
    <w:name w:val="Caption"/>
    <w:basedOn w:val="872"/>
    <w:next w:val="8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727"/>
    <w:link w:val="725"/>
    <w:uiPriority w:val="99"/>
  </w:style>
  <w:style w:type="table" w:styleId="729">
    <w:name w:val="Table Grid"/>
    <w:basedOn w:val="87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2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3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4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5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6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8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9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0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1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2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3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4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5">
    <w:name w:val="footnote text"/>
    <w:basedOn w:val="872"/>
    <w:link w:val="856"/>
    <w:uiPriority w:val="99"/>
    <w:semiHidden/>
    <w:unhideWhenUsed/>
    <w:pPr>
      <w:spacing w:after="40" w:line="240" w:lineRule="auto"/>
    </w:pPr>
    <w:rPr>
      <w:sz w:val="18"/>
    </w:rPr>
  </w:style>
  <w:style w:type="character" w:styleId="856">
    <w:name w:val="Footnote Text Char"/>
    <w:link w:val="855"/>
    <w:uiPriority w:val="99"/>
    <w:rPr>
      <w:sz w:val="18"/>
    </w:rPr>
  </w:style>
  <w:style w:type="character" w:styleId="857">
    <w:name w:val="footnote reference"/>
    <w:basedOn w:val="874"/>
    <w:uiPriority w:val="99"/>
    <w:unhideWhenUsed/>
    <w:rPr>
      <w:vertAlign w:val="superscript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basedOn w:val="874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73">
    <w:name w:val="Heading 8"/>
    <w:basedOn w:val="872"/>
    <w:next w:val="872"/>
    <w:link w:val="889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paragraph" w:styleId="877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78">
    <w:name w:val="Body Text"/>
    <w:basedOn w:val="872"/>
    <w:link w:val="879"/>
    <w:pPr>
      <w:spacing w:after="120"/>
      <w:widowControl w:val="off"/>
    </w:pPr>
    <w:rPr>
      <w:sz w:val="20"/>
      <w:szCs w:val="20"/>
    </w:rPr>
  </w:style>
  <w:style w:type="character" w:styleId="879" w:customStyle="1">
    <w:name w:val="Основной текст Знак"/>
    <w:basedOn w:val="874"/>
    <w:link w:val="878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0">
    <w:name w:val="Header"/>
    <w:basedOn w:val="872"/>
    <w:link w:val="881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81" w:customStyle="1">
    <w:name w:val="Верхний колонтитул Знак"/>
    <w:basedOn w:val="874"/>
    <w:link w:val="880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82">
    <w:name w:val="Hyperlink"/>
    <w:basedOn w:val="874"/>
    <w:uiPriority w:val="99"/>
    <w:unhideWhenUsed/>
    <w:rPr>
      <w:color w:val="0000ff" w:themeColor="hyperlink"/>
      <w:u w:val="single"/>
    </w:rPr>
  </w:style>
  <w:style w:type="paragraph" w:styleId="883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84">
    <w:name w:val="Normal (Web)"/>
    <w:basedOn w:val="872"/>
    <w:unhideWhenUsed/>
    <w:pPr>
      <w:spacing w:before="100" w:beforeAutospacing="1" w:after="100" w:afterAutospacing="1"/>
    </w:pPr>
  </w:style>
  <w:style w:type="paragraph" w:styleId="885">
    <w:name w:val="Balloon Text"/>
    <w:basedOn w:val="872"/>
    <w:link w:val="886"/>
    <w:uiPriority w:val="99"/>
    <w:semiHidden/>
    <w:unhideWhenUsed/>
    <w:rPr>
      <w:rFonts w:ascii="Tahoma" w:hAnsi="Tahoma" w:cs="Tahoma"/>
      <w:sz w:val="16"/>
      <w:szCs w:val="16"/>
    </w:rPr>
  </w:style>
  <w:style w:type="character" w:styleId="886" w:customStyle="1">
    <w:name w:val="Текст выноски Знак"/>
    <w:basedOn w:val="874"/>
    <w:link w:val="88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87">
    <w:name w:val="Placeholder Text"/>
    <w:basedOn w:val="874"/>
    <w:uiPriority w:val="99"/>
    <w:semiHidden/>
    <w:rPr>
      <w:color w:val="808080"/>
    </w:rPr>
  </w:style>
  <w:style w:type="paragraph" w:styleId="888">
    <w:name w:val="List Paragraph"/>
    <w:basedOn w:val="872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89" w:customStyle="1">
    <w:name w:val="Заголовок 8 Знак"/>
    <w:basedOn w:val="874"/>
    <w:link w:val="873"/>
    <w:uiPriority w:val="9"/>
    <w:rPr>
      <w:rFonts w:ascii="Arial" w:hAnsi="Arial" w:eastAsia="Arial" w:cs="Arial"/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753DB-EF50-4DFC-8A9A-7052EAEA9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49</cp:revision>
  <dcterms:created xsi:type="dcterms:W3CDTF">2025-11-13T06:05:00Z</dcterms:created>
  <dcterms:modified xsi:type="dcterms:W3CDTF">2025-12-02T08:13:13Z</dcterms:modified>
</cp:coreProperties>
</file>