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18.11.2025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1890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плана реализации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соответствии с пунктом 2.15 Порядк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</w:t>
        <w:br/>
        <w:t xml:space="preserve">от 18.09.2025 № 1488, постановлением администрации Печенгского муниципаль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ного округа от 12.11.2025 № 1846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«Об утверждении муниципальной программы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2026 - 2028 годы», в целях повышения эффективности и результативности расходования бюд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жетных средств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план реализации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ой 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 xml:space="preserve">возложить на заместителя Главы Печенгского муниципального округа Пономарева А.В.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.11.2025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8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1"/>
        <w:gridCol w:w="2417"/>
        <w:gridCol w:w="1277"/>
        <w:gridCol w:w="850"/>
        <w:gridCol w:w="1276"/>
        <w:gridCol w:w="1276"/>
        <w:gridCol w:w="1275"/>
        <w:gridCol w:w="1276"/>
        <w:gridCol w:w="3969"/>
        <w:gridCol w:w="1559"/>
      </w:tblGrid>
      <w:tr>
        <w:tblPrEx/>
        <w:trPr>
          <w:trHeight w:val="270"/>
        </w:trPr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п/п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595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</w:t>
            </w:r>
            <w:r>
              <w:rPr>
                <w:sz w:val="18"/>
                <w:szCs w:val="18"/>
                <w:lang w:eastAsia="ru-RU"/>
              </w:rPr>
              <w:t xml:space="preserve">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2026 - 2028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736 714 288,38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370 183 630,38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183 266 679,00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183 263 979,00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 </w:t>
            </w: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МБ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620 570 851,38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257 419 851,38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ОБ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50 600 737,00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47 221 079,00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1 688 379,00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1 691 279,00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ФБ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  <w:lang w:eastAsia="ru-RU"/>
              </w:rPr>
              <w:t xml:space="preserve"> «Экологическая безопасность и окружающая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1.1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с процессных мероприятий 1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0.1. </w:t>
            </w:r>
            <w:r>
              <w:rPr>
                <w:sz w:val="16"/>
                <w:szCs w:val="16"/>
                <w:lang w:eastAsia="ru-RU"/>
              </w:rP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1.1. Количество вновь созданных и отремонтированных контейнерных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1.2. Количество договоров, заключенных с региональным оператором, по вывозу мусора с территорий общего пользования.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1.3. Количество рекультивированных, ликвидированных несанкционированных (санкционированных) свалок, включая разработку ПСД.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1.4. Количество эвакуированного бесхозяйного (брошенного) транспорта с дворовых территорий.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1.5. Количество отловленных животных без владельцев с территорий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Создание и ремонт контейнерных площадок для накопления твердых коммунальных отходов»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вывоза мусора с территорий общего пользования»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518 100,00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Вывоз мусора с мест массового отдыха граждан («Первый мост» пгт. Никель)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518 100,00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«Ликвидация объекта накопленного вреда окружающей среде «Санкционированная свалка на территории пгт. Никель Мурманской области»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1.1.4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«Эвакуация с дворовых территорий бесхозяйного (брошенного) транспорта»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 МБУ «НДС»</w:t>
            </w:r>
            <w:r>
              <w:rPr>
                <w:sz w:val="18"/>
                <w:szCs w:val="18"/>
                <w:lang w:val="en-US" w:eastAsia="ru-RU"/>
              </w:rPr>
            </w:r>
            <w:r>
              <w:rPr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900 000,00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1.1.5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мероприятий при осуществлении деятельности по обращению животных без владельцев»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681 517 200,00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327 066 200,00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570 439 000,00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215 988 000,00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мероприятий 2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«Устойчивое и надежное функционирование систем коммунальной инфраструктуры»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0.3. Выполнение мероприятий по подготовке объектов жилищно-коммунального хозяйства, расположенных </w:t>
            </w:r>
            <w:r>
              <w:rPr>
                <w:sz w:val="16"/>
                <w:szCs w:val="16"/>
                <w:lang w:eastAsia="ru-RU"/>
              </w:rPr>
              <w:t xml:space="preserve">на территории Печенгского муниципального округа, к работе в отопительный период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2.1. Протяженность отремонтированных инженерных сетей.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2.2. Наличие актуализированных схемы теплоснабжения и программы комплексного развития системы коммунальной инфраструктуры.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Капитальный ремонт магистральных и внутриквартальных сетей теплоснабжения, водоснабжения и водоотведения»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Капитальный ремонт</w:t>
            </w:r>
            <w:r>
              <w:rPr>
                <w:sz w:val="16"/>
                <w:szCs w:val="16"/>
                <w:lang w:eastAsia="ru-RU"/>
              </w:rPr>
              <w:t xml:space="preserve"> сети теплоснабжения в целях обеспечения бесперебойного функционирования объектов жилищно-коммунального хозяйства, в том числе разработка сметной документации, проведение экспертизы сметных расчетов стоимости ремонтных работ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схемы теплоснабжения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утвержденных постановлением РФ от 14.06.2013 </w:t>
              <w:br/>
              <w:t xml:space="preserve">№ 502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271 089 300,00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171 089 300,00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0.4. Уровень качества городской среды.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2.3. Количество благоустроенных общественных территорий.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2.4. Количество благоустроенных дворовых территорий многоквартирных домов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160 011 100,00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60 011 100,00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Благоустройство общественных территорий»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маломобильными гражданами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многоквартирных домов»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проживания в многоквартирных домах путем благоустройства придомовых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в рамках реализации мероприятий планов социального развития экономического роста субъектов РФ Арктической зоны РФ»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111 089 300,00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11 089 300,00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Благоустройство дворовых территорий: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пгт. Печенга, Печенгское шоссе, 8 - 10, 7 - 12, 6 - 11, 3, 4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Стадионная, 3, 4, 7, 5 - 8, 9,10;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ж/д ст. Печенга, д. 1, 2, 3, 4;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Луостари, ул. Нижняя, 4 - 10 - 12, 3, 2, 5, 9, 8,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Верхняя, 4 - 5, 1 - 2, 11, 13;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Спутник, ул. Новая, 19 - 21, 18 - 20, 16 - 17, 8 - 15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11 100,00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11 100,00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2.4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2.5. Надлежащее содержание, улучшение санитарного, технического и эстетического состояния </w:t>
            </w:r>
            <w:r>
              <w:rPr>
                <w:sz w:val="16"/>
                <w:szCs w:val="16"/>
                <w:lang w:eastAsia="ru-RU"/>
              </w:rPr>
              <w:t xml:space="preserve">объектов благоустройства</w:t>
            </w:r>
            <w:r>
              <w:rPr>
                <w:sz w:val="16"/>
                <w:szCs w:val="16"/>
                <w:lang w:eastAsia="ru-RU"/>
              </w:rPr>
              <w:t xml:space="preserve"> городской среды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2.6. Количество благоустроенных детских игровых и спортивных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2.7. Выполнение мероприятий по организации уличного освещения.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Повышение привлекательности объектов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«Создание, благоустройство и обслуживание инфраструктуры для комфортного развития детей, молодежи»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«Техническое обслуживание и устройство наружного освещения, оплата электроэнергии наружного освещения»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освещения, модернизация и замена устаревшего оборудования сетей уличного о</w:t>
            </w:r>
            <w:r>
              <w:rPr>
                <w:sz w:val="16"/>
                <w:szCs w:val="16"/>
                <w:lang w:eastAsia="ru-RU"/>
              </w:rPr>
              <w:t xml:space="preserve">свещения</w:t>
            </w:r>
            <w:r>
              <w:rPr>
                <w:sz w:val="16"/>
                <w:szCs w:val="16"/>
                <w:lang w:eastAsia="ru-RU"/>
              </w:rPr>
              <w:t xml:space="preserve">, обустройство наружного освещения в районе детских площадок, неосвещенных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2.5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5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проекта «Работа Рядом!»»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2.8. Численность граждан, привлеченных к временным общественно полезным работам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 трудовых бригад на </w:t>
            </w:r>
            <w:r>
              <w:rPr>
                <w:sz w:val="18"/>
                <w:szCs w:val="18"/>
                <w:lang w:eastAsia="ru-RU"/>
              </w:rPr>
              <w:t xml:space="preserve">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</w:t>
            </w:r>
            <w:r>
              <w:rPr>
                <w:sz w:val="16"/>
                <w:szCs w:val="16"/>
                <w:lang w:eastAsia="ru-RU"/>
              </w:rPr>
              <w:t xml:space="preserve">квалификации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2.6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  <w:lang w:eastAsia="ru-RU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2.9. Обеспечение деятельности муниципального казенного учреждения в сфере благоустройства.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В</w:t>
            </w:r>
            <w:r>
              <w:rPr>
                <w:b/>
                <w:sz w:val="18"/>
                <w:szCs w:val="18"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2026 - 2028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3.7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</w:t>
            </w:r>
            <w:r>
              <w:rPr>
                <w:sz w:val="18"/>
                <w:szCs w:val="18"/>
                <w:lang w:eastAsia="ru-RU"/>
              </w:rPr>
              <w:t xml:space="preserve"> «Организация ритуальных услуг и содержание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3.2. Выполнение мероприятий по организации захоронений трупов, невостребованных родственниками.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Содержание мест захоронения (кладбищ), ритуальные услуги»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2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2026 - 2028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выплат по гарантированному перечню услуг по погребению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7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2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Комитет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отдел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работы с населением муниципального казенного учреждения «Управление по обеспечению деятельности администрации Печенгского муниципального округа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</w:t>
      </w:r>
      <w:bookmarkStart w:id="0" w:name="_GoBack"/>
      <w:r/>
      <w:bookmarkEnd w:id="0"/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851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1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6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5"/>
  </w:num>
  <w:num w:numId="15">
    <w:abstractNumId w:val="17"/>
  </w:num>
  <w:num w:numId="16">
    <w:abstractNumId w:val="0"/>
  </w:num>
  <w:num w:numId="17">
    <w:abstractNumId w:val="2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4 Char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692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693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694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696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697">
    <w:name w:val="Title Char"/>
    <w:basedOn w:val="732"/>
    <w:link w:val="744"/>
    <w:uiPriority w:val="10"/>
    <w:rPr>
      <w:sz w:val="48"/>
      <w:szCs w:val="48"/>
    </w:rPr>
  </w:style>
  <w:style w:type="character" w:styleId="698">
    <w:name w:val="Subtitle Char"/>
    <w:basedOn w:val="732"/>
    <w:link w:val="746"/>
    <w:uiPriority w:val="11"/>
    <w:rPr>
      <w:sz w:val="24"/>
      <w:szCs w:val="24"/>
    </w:rPr>
  </w:style>
  <w:style w:type="character" w:styleId="699">
    <w:name w:val="Quote Char"/>
    <w:link w:val="748"/>
    <w:uiPriority w:val="29"/>
    <w:rPr>
      <w:i/>
    </w:rPr>
  </w:style>
  <w:style w:type="character" w:styleId="700">
    <w:name w:val="Intense Quote Char"/>
    <w:link w:val="750"/>
    <w:uiPriority w:val="30"/>
    <w:rPr>
      <w:i/>
    </w:rPr>
  </w:style>
  <w:style w:type="table" w:styleId="701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5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8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9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0">
    <w:name w:val="Footnote Text Char"/>
    <w:link w:val="880"/>
    <w:uiPriority w:val="99"/>
    <w:rPr>
      <w:sz w:val="18"/>
    </w:rPr>
  </w:style>
  <w:style w:type="character" w:styleId="721">
    <w:name w:val="Endnote Text Char"/>
    <w:link w:val="883"/>
    <w:uiPriority w:val="99"/>
    <w:rPr>
      <w:sz w:val="20"/>
    </w:rPr>
  </w:style>
  <w:style w:type="paragraph" w:styleId="72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3">
    <w:name w:val="Heading 1"/>
    <w:basedOn w:val="722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4">
    <w:name w:val="Heading 2"/>
    <w:basedOn w:val="722"/>
    <w:next w:val="722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5">
    <w:name w:val="Heading 3"/>
    <w:basedOn w:val="722"/>
    <w:next w:val="722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6">
    <w:name w:val="Heading 4"/>
    <w:basedOn w:val="722"/>
    <w:next w:val="722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722"/>
    <w:next w:val="722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722"/>
    <w:next w:val="722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9">
    <w:name w:val="Heading 7"/>
    <w:basedOn w:val="722"/>
    <w:next w:val="722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0">
    <w:name w:val="Heading 8"/>
    <w:basedOn w:val="722"/>
    <w:next w:val="722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1">
    <w:name w:val="Heading 9"/>
    <w:basedOn w:val="722"/>
    <w:next w:val="722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Heading 1 Char"/>
    <w:basedOn w:val="732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32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2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722"/>
    <w:next w:val="722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Заголовок Знак"/>
    <w:basedOn w:val="732"/>
    <w:link w:val="744"/>
    <w:uiPriority w:val="10"/>
    <w:rPr>
      <w:sz w:val="48"/>
      <w:szCs w:val="48"/>
    </w:rPr>
  </w:style>
  <w:style w:type="paragraph" w:styleId="746">
    <w:name w:val="Subtitle"/>
    <w:basedOn w:val="722"/>
    <w:next w:val="722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32"/>
    <w:link w:val="746"/>
    <w:uiPriority w:val="11"/>
    <w:rPr>
      <w:sz w:val="24"/>
      <w:szCs w:val="24"/>
    </w:rPr>
  </w:style>
  <w:style w:type="paragraph" w:styleId="748">
    <w:name w:val="Quote"/>
    <w:basedOn w:val="722"/>
    <w:next w:val="722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2"/>
    <w:next w:val="722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32"/>
    <w:uiPriority w:val="99"/>
  </w:style>
  <w:style w:type="character" w:styleId="753" w:customStyle="1">
    <w:name w:val="Footer Char"/>
    <w:basedOn w:val="732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2"/>
    <w:uiPriority w:val="99"/>
    <w:unhideWhenUsed/>
    <w:rPr>
      <w:vertAlign w:val="superscript"/>
    </w:rPr>
  </w:style>
  <w:style w:type="paragraph" w:styleId="883">
    <w:name w:val="endnote text"/>
    <w:basedOn w:val="72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2"/>
    <w:uiPriority w:val="99"/>
    <w:semiHidden/>
    <w:unhideWhenUsed/>
    <w:rPr>
      <w:vertAlign w:val="superscript"/>
    </w:rPr>
  </w:style>
  <w:style w:type="paragraph" w:styleId="886">
    <w:name w:val="toc 1"/>
    <w:basedOn w:val="722"/>
    <w:next w:val="722"/>
    <w:uiPriority w:val="39"/>
    <w:unhideWhenUsed/>
    <w:pPr>
      <w:spacing w:after="57"/>
    </w:pPr>
  </w:style>
  <w:style w:type="paragraph" w:styleId="887">
    <w:name w:val="toc 2"/>
    <w:basedOn w:val="722"/>
    <w:next w:val="722"/>
    <w:uiPriority w:val="39"/>
    <w:unhideWhenUsed/>
    <w:pPr>
      <w:ind w:left="283"/>
      <w:spacing w:after="57"/>
    </w:pPr>
  </w:style>
  <w:style w:type="paragraph" w:styleId="888">
    <w:name w:val="toc 3"/>
    <w:basedOn w:val="722"/>
    <w:next w:val="722"/>
    <w:uiPriority w:val="39"/>
    <w:unhideWhenUsed/>
    <w:pPr>
      <w:ind w:left="567"/>
      <w:spacing w:after="57"/>
    </w:pPr>
  </w:style>
  <w:style w:type="paragraph" w:styleId="889">
    <w:name w:val="toc 4"/>
    <w:basedOn w:val="722"/>
    <w:next w:val="722"/>
    <w:uiPriority w:val="39"/>
    <w:unhideWhenUsed/>
    <w:pPr>
      <w:ind w:left="850"/>
      <w:spacing w:after="57"/>
    </w:pPr>
  </w:style>
  <w:style w:type="paragraph" w:styleId="890">
    <w:name w:val="toc 5"/>
    <w:basedOn w:val="722"/>
    <w:next w:val="722"/>
    <w:uiPriority w:val="39"/>
    <w:unhideWhenUsed/>
    <w:pPr>
      <w:ind w:left="1134"/>
      <w:spacing w:after="57"/>
    </w:pPr>
  </w:style>
  <w:style w:type="paragraph" w:styleId="891">
    <w:name w:val="toc 6"/>
    <w:basedOn w:val="722"/>
    <w:next w:val="722"/>
    <w:uiPriority w:val="39"/>
    <w:unhideWhenUsed/>
    <w:pPr>
      <w:ind w:left="1417"/>
      <w:spacing w:after="57"/>
    </w:pPr>
  </w:style>
  <w:style w:type="paragraph" w:styleId="892">
    <w:name w:val="toc 7"/>
    <w:basedOn w:val="722"/>
    <w:next w:val="722"/>
    <w:uiPriority w:val="39"/>
    <w:unhideWhenUsed/>
    <w:pPr>
      <w:ind w:left="1701"/>
      <w:spacing w:after="57"/>
    </w:pPr>
  </w:style>
  <w:style w:type="paragraph" w:styleId="893">
    <w:name w:val="toc 8"/>
    <w:basedOn w:val="722"/>
    <w:next w:val="722"/>
    <w:uiPriority w:val="39"/>
    <w:unhideWhenUsed/>
    <w:pPr>
      <w:ind w:left="1984"/>
      <w:spacing w:after="57"/>
    </w:pPr>
  </w:style>
  <w:style w:type="paragraph" w:styleId="894">
    <w:name w:val="toc 9"/>
    <w:basedOn w:val="722"/>
    <w:next w:val="72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2"/>
    <w:next w:val="722"/>
    <w:uiPriority w:val="99"/>
    <w:unhideWhenUsed/>
    <w:pPr>
      <w:spacing w:after="0"/>
    </w:pPr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722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722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722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722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722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72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722"/>
    <w:link w:val="91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72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72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72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3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722"/>
    <w:link w:val="92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722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72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722"/>
    <w:link w:val="93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722"/>
    <w:next w:val="722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72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722"/>
    <w:next w:val="72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722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722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722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34"/>
    <w:semiHidden/>
    <w:unhideWhenUsed/>
  </w:style>
  <w:style w:type="table" w:styleId="951" w:customStyle="1">
    <w:name w:val="Сетка таблицы1"/>
    <w:basedOn w:val="733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72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72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722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722"/>
    <w:next w:val="722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722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722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32"/>
  </w:style>
  <w:style w:type="character" w:styleId="976">
    <w:name w:val="annotation reference"/>
    <w:basedOn w:val="732"/>
    <w:uiPriority w:val="99"/>
    <w:semiHidden/>
    <w:unhideWhenUsed/>
    <w:rPr>
      <w:sz w:val="16"/>
      <w:szCs w:val="16"/>
    </w:rPr>
  </w:style>
  <w:style w:type="paragraph" w:styleId="977">
    <w:name w:val="annotation text"/>
    <w:basedOn w:val="722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32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A0CF7-AA4E-4BC0-8A6D-28A01F21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28</cp:revision>
  <dcterms:created xsi:type="dcterms:W3CDTF">2025-11-12T14:19:00Z</dcterms:created>
  <dcterms:modified xsi:type="dcterms:W3CDTF">2025-12-03T08:38:28Z</dcterms:modified>
</cp:coreProperties>
</file>