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6.75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18.11.2025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 xml:space="preserve">       </w:t>
      </w:r>
      <w:r>
        <w:rPr>
          <w:b/>
        </w:rPr>
        <w:t xml:space="preserve">              № 1891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0"/>
        <w:jc w:val="center"/>
        <w:tabs>
          <w:tab w:val="left" w:pos="9900" w:leader="none"/>
        </w:tabs>
        <w:rPr>
          <w:b/>
          <w:sz w:val="20"/>
          <w:szCs w:val="20"/>
        </w:rPr>
        <w:suppressLineNumbers w:val="0"/>
      </w:pPr>
      <w:r>
        <w:rPr>
          <w:b/>
          <w:sz w:val="20"/>
          <w:szCs w:val="20"/>
        </w:rPr>
        <w:t xml:space="preserve">Об утверждении </w:t>
      </w:r>
      <w:r>
        <w:rPr>
          <w:b/>
          <w:sz w:val="20"/>
          <w:szCs w:val="20"/>
        </w:rPr>
        <w:t xml:space="preserve">плана реализации </w:t>
      </w:r>
      <w:r>
        <w:rPr>
          <w:b/>
          <w:sz w:val="20"/>
          <w:szCs w:val="20"/>
        </w:rPr>
        <w:t xml:space="preserve">муниципальной программы 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0"/>
        <w:jc w:val="center"/>
        <w:tabs>
          <w:tab w:val="left" w:pos="9900" w:leader="none"/>
        </w:tabs>
        <w:rPr>
          <w:b/>
          <w:sz w:val="20"/>
          <w:szCs w:val="20"/>
        </w:rPr>
        <w:suppressLineNumbers w:val="0"/>
      </w:pPr>
      <w:r>
        <w:rPr>
          <w:b/>
          <w:sz w:val="20"/>
          <w:szCs w:val="20"/>
        </w:rPr>
        <w:t xml:space="preserve">«Транспортная система» на 202</w:t>
      </w:r>
      <w:r>
        <w:rPr>
          <w:b/>
          <w:sz w:val="20"/>
          <w:szCs w:val="20"/>
        </w:rPr>
        <w:t xml:space="preserve">6 </w:t>
      </w:r>
      <w:r>
        <w:rPr>
          <w:b/>
          <w:sz w:val="20"/>
          <w:szCs w:val="20"/>
        </w:rPr>
        <w:t xml:space="preserve">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/>
      <w:r/>
    </w:p>
    <w:p>
      <w:pPr>
        <w:ind w:left="0" w:right="0" w:firstLine="709"/>
        <w:jc w:val="both"/>
      </w:pPr>
      <w:r>
        <w:t xml:space="preserve">В</w:t>
      </w:r>
      <w:r>
        <w:t xml:space="preserve"> соответствии с пунктом 2.15 Порядка разработки, реализации и оценки эффективности муниципальных программ Печенгского муниципального округа, утвержденн</w:t>
      </w:r>
      <w:r>
        <w:t xml:space="preserve">ого</w:t>
      </w:r>
      <w:r>
        <w:t xml:space="preserve"> постановлением администрации Печенгского муниципального округа </w:t>
        <w:br/>
        <w:t xml:space="preserve">от 18.09.2025 № 1488</w:t>
      </w:r>
      <w:r>
        <w:t xml:space="preserve">, постановлением администраци</w:t>
      </w:r>
      <w:r>
        <w:t xml:space="preserve">и </w:t>
      </w:r>
      <w:r>
        <w:t xml:space="preserve">Печенгского муниципального округа от 12.11.2025 № 1847 «Об утверждении муниципальной программы Печенгского муниципального округа «Транспортная система» на 2026 - 2028 годы», в целях повышения эффективности и результативности расходования бюджетных средств,</w:t>
      </w:r>
      <w:r/>
    </w:p>
    <w:p>
      <w:pPr>
        <w:ind w:firstLine="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right="-5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ind w:firstLine="709"/>
        <w:jc w:val="both"/>
      </w:pPr>
      <w:r>
        <w:t xml:space="preserve">1. Утвердить</w:t>
      </w:r>
      <w:r>
        <w:t xml:space="preserve"> план реализации</w:t>
      </w:r>
      <w:r>
        <w:t xml:space="preserve"> муниципальн</w:t>
      </w:r>
      <w:r>
        <w:t xml:space="preserve">ой</w:t>
      </w:r>
      <w:r>
        <w:t xml:space="preserve"> программ</w:t>
      </w:r>
      <w:r>
        <w:t xml:space="preserve">ы</w:t>
      </w:r>
      <w:r>
        <w:t xml:space="preserve"> Печенгского муниципального округа «Транспортная система» на 2026 - 2028 годы согласно приложению.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rFonts w:eastAsia="Calibri"/>
          <w:lang w:eastAsia="en-US"/>
        </w:rPr>
        <w:t xml:space="preserve">2. </w:t>
      </w:r>
      <w:r>
        <w:rPr>
          <w:lang w:eastAsia="en-US"/>
        </w:rPr>
        <w:t xml:space="preserve">Настоящее постановление вступает в силу с 01 января 2026 года.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lang w:eastAsia="en-US"/>
        </w:rPr>
      </w:pPr>
      <w:r>
        <w:rPr>
          <w:lang w:eastAsia="en-US"/>
        </w:rPr>
        <w:t xml:space="preserve">3. Настоящее постановление разместить на сайте Печенгского муниципального округа в сети Интернет. </w:t>
      </w:r>
      <w:r>
        <w:rPr>
          <w:rFonts w:eastAsia="Lucida Sans Unicode"/>
          <w:lang w:eastAsia="en-US"/>
        </w:rPr>
      </w:r>
      <w:r>
        <w:rPr>
          <w:rFonts w:eastAsia="Lucida Sans Unicode"/>
          <w:lang w:eastAsia="en-US"/>
        </w:rPr>
      </w:r>
    </w:p>
    <w:p>
      <w:pPr>
        <w:ind w:firstLine="709"/>
        <w:jc w:val="both"/>
        <w:rPr>
          <w:rFonts w:eastAsia="Calibri"/>
          <w:lang w:eastAsia="en-US"/>
        </w:rPr>
      </w:pPr>
      <w:r>
        <w:t xml:space="preserve">4. </w:t>
      </w:r>
      <w:r>
        <w:rPr>
          <w:rFonts w:eastAsia="Calibri"/>
          <w:lang w:eastAsia="en-US"/>
        </w:rPr>
        <w:t xml:space="preserve">Контроль за исполнением настоящего постановления </w:t>
      </w:r>
      <w:r>
        <w:rPr>
          <w:rFonts w:eastAsia="Calibri"/>
          <w:lang w:eastAsia="en-US"/>
        </w:rPr>
        <w:t xml:space="preserve">оставляю за собой.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81"/>
        <w:contextualSpacing/>
        <w:ind w:left="709"/>
        <w:jc w:val="both"/>
        <w:spacing w:before="240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</w:pPr>
      <w:r/>
      <w:r/>
    </w:p>
    <w:p>
      <w:pPr>
        <w:jc w:val="both"/>
        <w:tabs>
          <w:tab w:val="right" w:pos="9355" w:leader="none"/>
        </w:tabs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Шавырова Ю.В.</w:t>
      </w:r>
      <w:r>
        <w:rPr>
          <w:sz w:val="20"/>
          <w:szCs w:val="20"/>
        </w:rPr>
        <w:t xml:space="preserve">, 51291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78"/>
        <w:sectPr>
          <w:footnotePr/>
          <w:endnotePr/>
          <w:type w:val="nextPage"/>
          <w:pgSz w:w="11906" w:h="16838" w:orient="portrait"/>
          <w:pgMar w:top="1134" w:right="851" w:bottom="539" w:left="1701" w:header="709" w:footer="709" w:gutter="0"/>
          <w:cols w:num="1" w:sep="0" w:space="708" w:equalWidth="1"/>
          <w:docGrid w:linePitch="360"/>
        </w:sectPr>
        <w:outlineLvl w:val="2"/>
      </w:pPr>
      <w:r/>
      <w:r/>
    </w:p>
    <w:p>
      <w:pPr>
        <w:pStyle w:val="878"/>
        <w:jc w:val="center"/>
        <w:rPr>
          <w:b/>
        </w:rPr>
      </w:pPr>
      <w:r/>
      <w:bookmarkStart w:id="0" w:name="P446"/>
      <w:r/>
      <w:bookmarkEnd w:id="0"/>
      <w:r>
        <w:rPr>
          <w:b/>
        </w:rPr>
      </w:r>
      <w:r>
        <w:rPr>
          <w:b/>
        </w:rPr>
      </w:r>
    </w:p>
    <w:p>
      <w:pPr>
        <w:ind w:left="11055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от 18.11.2025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1891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0"/>
        <w:jc w:val="center"/>
        <w:rPr>
          <w:b/>
        </w:rPr>
        <w:suppressLineNumbers w:val="0"/>
      </w:pPr>
      <w:r>
        <w:rPr>
          <w:b/>
        </w:rPr>
        <w:t xml:space="preserve">ПЛАН</w:t>
      </w:r>
      <w:r>
        <w:rPr>
          <w:b/>
        </w:rPr>
      </w:r>
      <w:r>
        <w:rPr>
          <w:b/>
        </w:rPr>
      </w:r>
    </w:p>
    <w:p>
      <w:pPr>
        <w:ind w:left="0"/>
        <w:jc w:val="center"/>
        <w:rPr>
          <w:b/>
        </w:rPr>
        <w:suppressLineNumbers w:val="0"/>
      </w:pPr>
      <w:r>
        <w:rPr>
          <w:b/>
        </w:rPr>
        <w:t xml:space="preserve">реализации</w:t>
      </w:r>
      <w:r>
        <w:rPr>
          <w:b/>
        </w:rPr>
        <w:t xml:space="preserve"> муниципальной программы </w:t>
      </w:r>
      <w:r>
        <w:rPr>
          <w:b/>
        </w:rPr>
        <w:t xml:space="preserve">Печенгского муниципального округа «Транспортная система»</w:t>
      </w:r>
      <w:r>
        <w:rPr>
          <w:b/>
        </w:rPr>
      </w:r>
      <w:r>
        <w:rPr>
          <w:b/>
        </w:rPr>
      </w:r>
    </w:p>
    <w:p>
      <w:pPr>
        <w:ind w:left="0"/>
        <w:jc w:val="center"/>
        <w:rPr>
          <w:b/>
        </w:rPr>
        <w:suppressLineNumbers w:val="0"/>
      </w:pPr>
      <w:r>
        <w:rPr>
          <w:b/>
        </w:rPr>
        <w:t xml:space="preserve">на 2026 - 2028 годы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b/>
        </w:rPr>
      </w:pPr>
      <w:r>
        <w:t xml:space="preserve">  </w:t>
      </w:r>
      <w:r>
        <w:rPr>
          <w:b/>
        </w:rPr>
        <w:t xml:space="preserve">  </w:t>
      </w:r>
      <w:r>
        <w:rPr>
          <w:b/>
        </w:rPr>
      </w:r>
      <w:r>
        <w:rPr>
          <w:b/>
        </w:rPr>
      </w: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694"/>
        <w:gridCol w:w="992"/>
        <w:gridCol w:w="848"/>
        <w:gridCol w:w="1134"/>
        <w:gridCol w:w="1276"/>
        <w:gridCol w:w="1276"/>
        <w:gridCol w:w="1276"/>
        <w:gridCol w:w="4113"/>
        <w:gridCol w:w="127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п/п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направлени</w:t>
            </w:r>
            <w:r>
              <w:rPr>
                <w:sz w:val="18"/>
                <w:szCs w:val="18"/>
              </w:rPr>
              <w:t xml:space="preserve">е</w:t>
            </w:r>
            <w:r>
              <w:rPr>
                <w:sz w:val="18"/>
                <w:szCs w:val="18"/>
              </w:rPr>
              <w:t xml:space="preserve"> (подпрограмм</w:t>
            </w:r>
            <w:r>
              <w:rPr>
                <w:sz w:val="18"/>
                <w:szCs w:val="18"/>
              </w:rPr>
              <w:t xml:space="preserve">а</w:t>
            </w:r>
            <w:r>
              <w:rPr>
                <w:sz w:val="18"/>
                <w:szCs w:val="18"/>
              </w:rPr>
              <w:t xml:space="preserve">)</w:t>
            </w:r>
            <w:r>
              <w:rPr>
                <w:sz w:val="18"/>
                <w:szCs w:val="18"/>
              </w:rPr>
              <w:t xml:space="preserve">, комплексы процессных и(или) проектных мероприятий, мероприятие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Объемы и источники финансирования (рублей)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</w:t>
            </w:r>
            <w:r>
              <w:rPr>
                <w:sz w:val="18"/>
                <w:szCs w:val="18"/>
              </w:rPr>
              <w:t xml:space="preserve">, участники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trike/>
                <w:sz w:val="18"/>
                <w:szCs w:val="18"/>
                <w:vertAlign w:val="superscript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годам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/>
            <w:bookmarkStart w:id="1" w:name="_GoBack"/>
            <w:r/>
            <w:bookmarkEnd w:id="1"/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Муниципальная программа «Транспортная система»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651 493 479,26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232 297 426,42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209 598 026,42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209 598 026,42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885"/>
              <w:contextualSpacing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«УБиР»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458 133 208,95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155 944 669,65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151 094 269,65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151 094 269,65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182 114 770,31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65 107 256,77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58 503 756,77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58 503 756,77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11 245 500,00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11 245 500,00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</w:rPr>
              <w:t xml:space="preserve"> 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651 493 479,26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232 297 426,42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209 598 026,42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209 598 026,42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0.1. 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</w:t>
            </w:r>
            <w:r>
              <w:rPr>
                <w:sz w:val="16"/>
                <w:szCs w:val="16"/>
              </w:rPr>
              <w:t xml:space="preserve">Протяженность автомобильных дорог общего пользования местного значения, находящихся на содержании.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Площадь проведенного ямочного ремонта участков автомобильных дорог общего пользования местного значения, на которых отсутствует необходимость замены дорожного покрытия.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Протяженность дорожной разметки на автомобильных дорогах общего пользования местного значения.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0.5. Обеспечение улично-дорожной сети Печенгского муниципального округа дорожными знаками.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0.6</w:t>
            </w:r>
            <w:r>
              <w:rPr>
                <w:sz w:val="16"/>
                <w:szCs w:val="16"/>
              </w:rPr>
              <w:t xml:space="preserve">. Протяженность автомобильных дорог общего пользования местного значе</w:t>
            </w:r>
            <w:r>
              <w:rPr>
                <w:sz w:val="16"/>
                <w:szCs w:val="16"/>
              </w:rPr>
              <w:t xml:space="preserve">ния и (или) их участков, приведенных в нормативное состояние в результате их ремонта, в том числе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0.7. Наличие разработанного проекта содержания автомобильных дорог и определения нормативов финансовых затрат на содержание, ремонт и </w:t>
            </w:r>
            <w:r>
              <w:rPr>
                <w:sz w:val="16"/>
                <w:szCs w:val="16"/>
              </w:rPr>
              <w:t xml:space="preserve">капитальный ремонт автомобильных дорог</w:t>
            </w:r>
            <w:r>
              <w:rPr>
                <w:sz w:val="16"/>
                <w:szCs w:val="16"/>
              </w:rPr>
              <w:t xml:space="preserve"> общего пользования местного значения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0.8. Наличие разработанной программы комплексного развития транспортной инфраструктуры.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0.9. Выполнение мероприятий по оценке технического состояния автомобильных дорог общего пользования местного значения.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885"/>
              <w:contextualSpacing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«УБиР»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458 133 208,95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155 944 669,65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151 094 269,65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151 094 269,65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182 114 770,31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65 107 256,77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58 503 756,77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58 503 756,77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11 245 500,00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11 245 500,00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«Содержание автомобильных дорог общего пользования местного значения, городских площадей и проездов»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240 463 800,00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80 154 600,00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80 154 600,00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80 154 600,00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Эксплуатационное содержание автомобильных дорог общего пользования местного значения в соответствии с требова</w:t>
            </w:r>
            <w:r>
              <w:rPr>
                <w:sz w:val="16"/>
                <w:szCs w:val="16"/>
              </w:rPr>
              <w:t xml:space="preserve">ниями стандартов, норм и правил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240 463 800,00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80 154 600,00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80 154 600,00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80 154 600,00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Выполнение работ по карточному (ямочному) ремонту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4 200 000,00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1 400 000,00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1 400 000,00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1 400 000,00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Карточный (ямочный) ремонт автомобильных дорог общего пользования местного значения в целях обеспечения безопасности дорожного движения на автомобильных дорогах общего пользования местного значения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pStyle w:val="885"/>
              <w:contextualSpacing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4 200 000,00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1 400 000,00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1 400 000,00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1 400 000,00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Выполнение работ по нанесению дорожной разметки на автомобильных дорогах общего пользования местного значения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3 600 000,00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1 300 000,00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1 150 000,00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1 150 000,00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Нанесение дорожной разметки на автомобильных дорогах общего пользования местного значения в целях обеспечения безопасности дорожного движения на автомобильных дорогах общег</w:t>
            </w:r>
            <w:r>
              <w:rPr>
                <w:sz w:val="16"/>
                <w:szCs w:val="16"/>
              </w:rPr>
              <w:t xml:space="preserve">о пользования местного значения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 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3 600 000,00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1 300 000,00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1 150 000,00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1 150 000,00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«Выполнение работ по обустройству автомобильных дорог</w:t>
            </w:r>
            <w:r>
              <w:rPr>
                <w:sz w:val="18"/>
                <w:szCs w:val="18"/>
              </w:rPr>
              <w:t xml:space="preserve"> общего пользования местного значения дорожными знаками»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</w:pPr>
            <w:r>
              <w:rPr>
                <w:sz w:val="18"/>
                <w:szCs w:val="18"/>
              </w:rP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Обустройство автомобильных дорог общего пользования местного значения дорожными знаками в целях обеспечения безопасности дорожного движения на автомобильных дорогах общего пользования местного значения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 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«Выполнение работ по ремонту дорог общего пользования местного значения»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</w:pPr>
            <w:r>
              <w:rPr>
                <w:sz w:val="18"/>
                <w:szCs w:val="18"/>
              </w:rP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379 930 279,26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126 643 426,42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126 643 426,42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126 643 426,42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Проведение ремонтов автомобильных дорог общего пользования местного значения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«УБиР»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204 419 008,95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68 139 669,65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68 139 669,65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68 139 669,65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175 511 270,31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58 503 756,77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58 503 756,77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58 503 756,77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«Выполнение работ по ремонту дорог общего пользования местного значения в рамках реализации мероприятий планов социального развития экономического роста субъе</w:t>
            </w:r>
            <w:r>
              <w:rPr>
                <w:sz w:val="18"/>
                <w:szCs w:val="18"/>
              </w:rPr>
              <w:t xml:space="preserve">к</w:t>
            </w:r>
            <w:r>
              <w:rPr>
                <w:sz w:val="18"/>
                <w:szCs w:val="18"/>
              </w:rPr>
              <w:t xml:space="preserve">тов РФ Арктической зоны РФ»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</w:pPr>
            <w:r>
              <w:rPr>
                <w:sz w:val="18"/>
                <w:szCs w:val="18"/>
              </w:rPr>
              <w:t xml:space="preserve">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17 850 000,00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17 850 000,00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Ремонт автомобильной дороги общего пользования местного значения: н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  <w:t xml:space="preserve">п. Спутник (поворот с федеральной трассы М-18 до жилого дома по ул. Новая)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«УБиР»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6 603 50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6 603 50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11 245 50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11 245 50</w:t>
            </w: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9"/>
        </w:trPr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«Разработка проекта содержания автомобильных дорог и определения нормативов финансовых затрат на содержание, ремонт и </w:t>
            </w:r>
            <w:r>
              <w:rPr>
                <w:sz w:val="18"/>
                <w:szCs w:val="18"/>
              </w:rPr>
              <w:t xml:space="preserve">капитальный ремонт автомобильных дорог общего пользования местного значения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</w:pPr>
            <w:r>
              <w:rPr>
                <w:sz w:val="18"/>
                <w:szCs w:val="18"/>
              </w:rPr>
              <w:t xml:space="preserve">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1 922 733,33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1 922 733,33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6"/>
                <w:szCs w:val="16"/>
              </w:rPr>
              <w:t xml:space="preserve">Установление стандарта </w:t>
            </w:r>
            <w:r>
              <w:rPr>
                <w:sz w:val="16"/>
                <w:szCs w:val="16"/>
              </w:rPr>
              <w:t xml:space="preserve">содержания автомобильных дорог</w:t>
            </w:r>
            <w:r>
              <w:rPr>
                <w:sz w:val="16"/>
                <w:szCs w:val="16"/>
              </w:rPr>
              <w:t xml:space="preserve"> общего пользования местного значения </w:t>
            </w:r>
            <w:r>
              <w:rPr>
                <w:sz w:val="16"/>
                <w:szCs w:val="16"/>
              </w:rPr>
              <w:t xml:space="preserve">и определения </w:t>
            </w:r>
            <w:r>
              <w:rPr>
                <w:sz w:val="16"/>
                <w:szCs w:val="16"/>
              </w:rPr>
              <w:t xml:space="preserve">объемов 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бюджетных ассигнований на </w:t>
            </w:r>
            <w:r>
              <w:rPr>
                <w:sz w:val="16"/>
                <w:szCs w:val="16"/>
              </w:rPr>
              <w:t xml:space="preserve">капитальный ремонт</w:t>
            </w:r>
            <w:r>
              <w:rPr>
                <w:sz w:val="16"/>
                <w:szCs w:val="16"/>
              </w:rPr>
              <w:t xml:space="preserve">, ремонт, содержание</w:t>
            </w:r>
            <w:r>
              <w:rPr>
                <w:sz w:val="16"/>
                <w:szCs w:val="16"/>
              </w:rPr>
              <w:t xml:space="preserve"> автомобильных дорог общего пользования местного значения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1 922 733,33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1 922 733,33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«Разработка программы комплексного развития транспортной инфраструктуры»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</w:pPr>
            <w:r>
              <w:rPr>
                <w:sz w:val="18"/>
                <w:szCs w:val="18"/>
              </w:rPr>
              <w:t xml:space="preserve">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1 346 666,67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1 346 666,67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Комплексное стратегическое планирование, направленное на совершенствование транспортной системы с целью обеспечения безопасности, высокого качества и эффективности перевозок, беспрепятственного доступа к транспортной инфраструктуре и развития дорожной сети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1 346 666,67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1 346 666,67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1.9.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«Оценка технического состояния автомобильных дорог общего пользования местного значения»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</w:pPr>
            <w:r>
              <w:rPr>
                <w:sz w:val="18"/>
                <w:szCs w:val="18"/>
              </w:rPr>
              <w:t xml:space="preserve">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1 380 000,00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1 380 000,00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113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Определение соответствия транспортно-эксплуатационных характеристик автомобильных дорог общего пользования местного значения требованиям технических регламентов (приказ Минтранса России от 07.08.2020 № 288)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1 380 000,00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1 380 000,00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4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3" w:type="dxa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right"/>
      </w:pPr>
      <w:r/>
      <w:r/>
    </w:p>
    <w:p>
      <w:pPr>
        <w:jc w:val="right"/>
        <w:spacing w:line="288" w:lineRule="atLeast"/>
      </w:pPr>
      <w:r/>
      <w:r/>
    </w:p>
    <w:p>
      <w:pPr>
        <w:jc w:val="both"/>
        <w:spacing w:line="276" w:lineRule="auto"/>
        <w:rPr>
          <w:sz w:val="18"/>
          <w:szCs w:val="18"/>
          <w:u w:val="single"/>
        </w:rPr>
      </w:pPr>
      <w:r>
        <w:rPr>
          <w:sz w:val="18"/>
          <w:szCs w:val="18"/>
          <w:u w:val="single"/>
          <w:vertAlign w:val="superscript"/>
        </w:rPr>
        <w:t xml:space="preserve">1</w:t>
      </w:r>
      <w:r>
        <w:rPr>
          <w:sz w:val="18"/>
          <w:szCs w:val="18"/>
          <w:u w:val="single"/>
          <w:vertAlign w:val="superscript"/>
        </w:rPr>
        <w:t xml:space="preserve"> </w:t>
      </w:r>
      <w:r>
        <w:rPr>
          <w:sz w:val="18"/>
          <w:szCs w:val="18"/>
          <w:u w:val="single"/>
        </w:rPr>
        <w:t xml:space="preserve">Соисполнители</w:t>
      </w:r>
      <w:r>
        <w:rPr>
          <w:sz w:val="18"/>
          <w:szCs w:val="18"/>
          <w:u w:val="single"/>
        </w:rPr>
        <w:t xml:space="preserve">,</w:t>
      </w:r>
      <w:r>
        <w:rPr>
          <w:sz w:val="18"/>
          <w:szCs w:val="18"/>
          <w:u w:val="single"/>
        </w:rPr>
        <w:t xml:space="preserve"> участники: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«РЭС» - муниципальное бюджетное учреждение «Ремонтно-эксплуатационная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«НДС» - муниципальное бюджетное учреждение «Никельская дорожная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И</w:t>
      </w:r>
      <w:r>
        <w:rPr>
          <w:sz w:val="18"/>
          <w:szCs w:val="18"/>
          <w:u w:val="single"/>
        </w:rPr>
        <w:t xml:space="preserve">спользуемые </w:t>
      </w:r>
      <w:r>
        <w:rPr>
          <w:sz w:val="18"/>
          <w:szCs w:val="18"/>
          <w:u w:val="single"/>
        </w:rPr>
        <w:t xml:space="preserve">сокращения</w:t>
      </w:r>
      <w:r>
        <w:rPr>
          <w:sz w:val="18"/>
          <w:szCs w:val="18"/>
          <w:u w:val="single"/>
        </w:rPr>
        <w:t xml:space="preserve">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p>
      <w:pPr>
        <w:pStyle w:val="885"/>
        <w:jc w:val="right"/>
        <w:spacing w:before="0" w:beforeAutospacing="0" w:after="0" w:afterAutospacing="0" w:line="288" w:lineRule="atLeast"/>
        <w:sectPr>
          <w:footnotePr/>
          <w:endnotePr/>
          <w:type w:val="nextPage"/>
          <w:pgSz w:w="16838" w:h="11906" w:orient="landscape"/>
          <w:pgMar w:top="1135" w:right="851" w:bottom="851" w:left="851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88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contextualSpacing/>
        <w:jc w:val="both"/>
        <w:rPr>
          <w:sz w:val="16"/>
          <w:szCs w:val="16"/>
          <w:vertAlign w:val="superscript"/>
        </w:rPr>
      </w:pPr>
      <w:r/>
      <w:bookmarkStart w:id="2" w:name="p124"/>
      <w:r/>
      <w:bookmarkEnd w:id="2"/>
      <w:r>
        <w:rPr>
          <w:sz w:val="16"/>
          <w:szCs w:val="16"/>
          <w:vertAlign w:val="superscript"/>
        </w:rPr>
      </w:r>
      <w:r>
        <w:rPr>
          <w:sz w:val="16"/>
          <w:szCs w:val="16"/>
          <w:vertAlign w:val="superscript"/>
        </w:rPr>
      </w:r>
    </w:p>
    <w:sectPr>
      <w:footnotePr/>
      <w:endnotePr/>
      <w:type w:val="nextPage"/>
      <w:pgSz w:w="11906" w:h="16838" w:orient="portrait"/>
      <w:pgMar w:top="851" w:right="567" w:bottom="851" w:left="156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709"/>
    <w:link w:val="701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673">
    <w:name w:val="Title Char"/>
    <w:basedOn w:val="709"/>
    <w:link w:val="722"/>
    <w:uiPriority w:val="10"/>
    <w:rPr>
      <w:sz w:val="48"/>
      <w:szCs w:val="48"/>
    </w:rPr>
  </w:style>
  <w:style w:type="character" w:styleId="674">
    <w:name w:val="Subtitle Char"/>
    <w:basedOn w:val="709"/>
    <w:link w:val="724"/>
    <w:uiPriority w:val="11"/>
    <w:rPr>
      <w:sz w:val="24"/>
      <w:szCs w:val="24"/>
    </w:rPr>
  </w:style>
  <w:style w:type="character" w:styleId="675">
    <w:name w:val="Quote Char"/>
    <w:link w:val="726"/>
    <w:uiPriority w:val="29"/>
    <w:rPr>
      <w:i/>
    </w:rPr>
  </w:style>
  <w:style w:type="character" w:styleId="676">
    <w:name w:val="Intense Quote Char"/>
    <w:link w:val="728"/>
    <w:uiPriority w:val="30"/>
    <w:rPr>
      <w:i/>
    </w:rPr>
  </w:style>
  <w:style w:type="character" w:styleId="677">
    <w:name w:val="Caption Char"/>
    <w:basedOn w:val="733"/>
    <w:link w:val="731"/>
    <w:uiPriority w:val="99"/>
  </w:style>
  <w:style w:type="table" w:styleId="678">
    <w:name w:val="Plain Table 1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7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8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9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2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5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6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7">
    <w:name w:val="Footnote Text Char"/>
    <w:link w:val="861"/>
    <w:uiPriority w:val="99"/>
    <w:rPr>
      <w:sz w:val="18"/>
    </w:rPr>
  </w:style>
  <w:style w:type="character" w:styleId="698">
    <w:name w:val="Endnote Text Char"/>
    <w:link w:val="864"/>
    <w:uiPriority w:val="99"/>
    <w:rPr>
      <w:sz w:val="20"/>
    </w:rPr>
  </w:style>
  <w:style w:type="paragraph" w:styleId="69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0">
    <w:name w:val="Heading 1"/>
    <w:basedOn w:val="699"/>
    <w:next w:val="699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1">
    <w:name w:val="Heading 2"/>
    <w:basedOn w:val="699"/>
    <w:next w:val="699"/>
    <w:link w:val="7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2">
    <w:name w:val="Heading 3"/>
    <w:basedOn w:val="699"/>
    <w:next w:val="699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3">
    <w:name w:val="Heading 4"/>
    <w:basedOn w:val="699"/>
    <w:next w:val="699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699"/>
    <w:next w:val="699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5">
    <w:name w:val="Heading 6"/>
    <w:basedOn w:val="699"/>
    <w:next w:val="699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699"/>
    <w:next w:val="699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7">
    <w:name w:val="Heading 8"/>
    <w:basedOn w:val="699"/>
    <w:next w:val="699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699"/>
    <w:next w:val="699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Заголовок 1 Знак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basedOn w:val="709"/>
    <w:link w:val="701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Заголовок 4 Знак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basedOn w:val="709"/>
    <w:link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No Spacing"/>
    <w:uiPriority w:val="1"/>
    <w:qFormat/>
    <w:pPr>
      <w:spacing w:after="0" w:line="240" w:lineRule="auto"/>
    </w:pPr>
  </w:style>
  <w:style w:type="paragraph" w:styleId="722">
    <w:name w:val="Title"/>
    <w:basedOn w:val="699"/>
    <w:next w:val="699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Заголовок Знак"/>
    <w:basedOn w:val="709"/>
    <w:link w:val="722"/>
    <w:uiPriority w:val="10"/>
    <w:rPr>
      <w:sz w:val="48"/>
      <w:szCs w:val="48"/>
    </w:rPr>
  </w:style>
  <w:style w:type="paragraph" w:styleId="724">
    <w:name w:val="Subtitle"/>
    <w:basedOn w:val="699"/>
    <w:next w:val="699"/>
    <w:link w:val="725"/>
    <w:uiPriority w:val="11"/>
    <w:qFormat/>
    <w:pPr>
      <w:spacing w:before="200" w:after="200"/>
    </w:pPr>
  </w:style>
  <w:style w:type="character" w:styleId="725" w:customStyle="1">
    <w:name w:val="Подзаголовок Знак"/>
    <w:basedOn w:val="709"/>
    <w:link w:val="724"/>
    <w:uiPriority w:val="11"/>
    <w:rPr>
      <w:sz w:val="24"/>
      <w:szCs w:val="24"/>
    </w:rPr>
  </w:style>
  <w:style w:type="paragraph" w:styleId="726">
    <w:name w:val="Quote"/>
    <w:basedOn w:val="699"/>
    <w:next w:val="699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99"/>
    <w:next w:val="699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character" w:styleId="730" w:customStyle="1">
    <w:name w:val="Header Char"/>
    <w:basedOn w:val="709"/>
    <w:uiPriority w:val="99"/>
  </w:style>
  <w:style w:type="paragraph" w:styleId="731">
    <w:name w:val="Footer"/>
    <w:basedOn w:val="699"/>
    <w:link w:val="73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2" w:customStyle="1">
    <w:name w:val="Footer Char"/>
    <w:basedOn w:val="709"/>
    <w:uiPriority w:val="99"/>
  </w:style>
  <w:style w:type="paragraph" w:styleId="733">
    <w:name w:val="Caption"/>
    <w:basedOn w:val="699"/>
    <w:next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 w:customStyle="1">
    <w:name w:val="Нижний колонтитул Знак"/>
    <w:link w:val="731"/>
    <w:uiPriority w:val="99"/>
  </w:style>
  <w:style w:type="table" w:styleId="735">
    <w:name w:val="Table Grid"/>
    <w:basedOn w:val="71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6" w:customStyle="1">
    <w:name w:val="Table Grid Light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7" w:customStyle="1">
    <w:name w:val="Таблица простая 11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Таблица простая 21"/>
    <w:basedOn w:val="71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 w:customStyle="1">
    <w:name w:val="Таблица простая 3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 w:customStyle="1">
    <w:name w:val="Таблица простая 4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Таблица простая 5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 w:customStyle="1">
    <w:name w:val="Таблица-сетка 1 светл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-сетка 2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3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Таблица-сетка 41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5" w:customStyle="1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7" w:customStyle="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9" w:customStyle="1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0" w:customStyle="1">
    <w:name w:val="Таблица-сетка 5 тем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7" w:customStyle="1">
    <w:name w:val="Таблица-сетка 6 цвет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8" w:customStyle="1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9" w:customStyle="1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0" w:customStyle="1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1" w:customStyle="1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2" w:customStyle="1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3" w:customStyle="1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4" w:customStyle="1">
    <w:name w:val="Таблица-сетка 7 цвет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Список-таблица 1 светлая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Список-таблица 2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Список-таблица 4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Список-таблица 5 тем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Список-таблица 6 цвет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7" w:customStyle="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8" w:customStyle="1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9" w:customStyle="1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0" w:customStyle="1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1" w:customStyle="1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2" w:customStyle="1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3" w:customStyle="1">
    <w:name w:val="Список-таблица 7 цветная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 &amp; 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8" w:customStyle="1">
    <w:name w:val="Bordered &amp; 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9" w:customStyle="1">
    <w:name w:val="Bordered &amp; 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0" w:customStyle="1">
    <w:name w:val="Bordered &amp; 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1" w:customStyle="1">
    <w:name w:val="Bordered &amp; 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2" w:customStyle="1">
    <w:name w:val="Bordered &amp; 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3" w:customStyle="1">
    <w:name w:val="Bordered &amp; 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4" w:customStyle="1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5" w:customStyle="1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6" w:customStyle="1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7" w:customStyle="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8" w:customStyle="1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9" w:customStyle="1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0" w:customStyle="1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1">
    <w:name w:val="footnote text"/>
    <w:basedOn w:val="699"/>
    <w:link w:val="862"/>
    <w:uiPriority w:val="99"/>
    <w:semiHidden/>
    <w:unhideWhenUsed/>
    <w:pPr>
      <w:spacing w:after="40"/>
    </w:pPr>
    <w:rPr>
      <w:sz w:val="18"/>
    </w:rPr>
  </w:style>
  <w:style w:type="character" w:styleId="862" w:customStyle="1">
    <w:name w:val="Текст сноски Знак"/>
    <w:link w:val="861"/>
    <w:uiPriority w:val="99"/>
    <w:rPr>
      <w:sz w:val="18"/>
    </w:rPr>
  </w:style>
  <w:style w:type="character" w:styleId="863">
    <w:name w:val="footnote reference"/>
    <w:basedOn w:val="709"/>
    <w:uiPriority w:val="99"/>
    <w:unhideWhenUsed/>
    <w:rPr>
      <w:vertAlign w:val="superscript"/>
    </w:rPr>
  </w:style>
  <w:style w:type="paragraph" w:styleId="864">
    <w:name w:val="endnote text"/>
    <w:basedOn w:val="699"/>
    <w:link w:val="865"/>
    <w:uiPriority w:val="99"/>
    <w:semiHidden/>
    <w:unhideWhenUsed/>
    <w:rPr>
      <w:sz w:val="20"/>
    </w:rPr>
  </w:style>
  <w:style w:type="character" w:styleId="865" w:customStyle="1">
    <w:name w:val="Текст концевой сноски Знак"/>
    <w:link w:val="864"/>
    <w:uiPriority w:val="99"/>
    <w:rPr>
      <w:sz w:val="20"/>
    </w:rPr>
  </w:style>
  <w:style w:type="character" w:styleId="866">
    <w:name w:val="endnote reference"/>
    <w:basedOn w:val="709"/>
    <w:uiPriority w:val="99"/>
    <w:semiHidden/>
    <w:unhideWhenUsed/>
    <w:rPr>
      <w:vertAlign w:val="superscript"/>
    </w:rPr>
  </w:style>
  <w:style w:type="paragraph" w:styleId="867">
    <w:name w:val="toc 1"/>
    <w:basedOn w:val="699"/>
    <w:next w:val="699"/>
    <w:uiPriority w:val="39"/>
    <w:unhideWhenUsed/>
    <w:pPr>
      <w:spacing w:after="57"/>
    </w:pPr>
  </w:style>
  <w:style w:type="paragraph" w:styleId="868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69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70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71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72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73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74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75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699"/>
    <w:next w:val="699"/>
    <w:uiPriority w:val="99"/>
    <w:unhideWhenUsed/>
  </w:style>
  <w:style w:type="paragraph" w:styleId="878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79">
    <w:name w:val="Body Text"/>
    <w:basedOn w:val="699"/>
    <w:link w:val="880"/>
    <w:pPr>
      <w:spacing w:after="120"/>
      <w:widowControl w:val="off"/>
    </w:pPr>
    <w:rPr>
      <w:sz w:val="20"/>
      <w:szCs w:val="20"/>
    </w:rPr>
  </w:style>
  <w:style w:type="character" w:styleId="880" w:customStyle="1">
    <w:name w:val="Основной текст Знак"/>
    <w:basedOn w:val="709"/>
    <w:link w:val="87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1">
    <w:name w:val="Header"/>
    <w:basedOn w:val="699"/>
    <w:link w:val="882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82" w:customStyle="1">
    <w:name w:val="Верхний колонтитул Знак"/>
    <w:basedOn w:val="709"/>
    <w:link w:val="881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83">
    <w:name w:val="Hyperlink"/>
    <w:basedOn w:val="709"/>
    <w:uiPriority w:val="99"/>
    <w:unhideWhenUsed/>
    <w:rPr>
      <w:color w:val="0000ff" w:themeColor="hyperlink"/>
      <w:u w:val="single"/>
    </w:rPr>
  </w:style>
  <w:style w:type="paragraph" w:styleId="884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85">
    <w:name w:val="Normal (Web)"/>
    <w:basedOn w:val="699"/>
    <w:uiPriority w:val="99"/>
    <w:unhideWhenUsed/>
    <w:pPr>
      <w:spacing w:before="100" w:beforeAutospacing="1" w:after="100" w:afterAutospacing="1"/>
    </w:pPr>
  </w:style>
  <w:style w:type="paragraph" w:styleId="886">
    <w:name w:val="Balloon Text"/>
    <w:basedOn w:val="699"/>
    <w:link w:val="887"/>
    <w:uiPriority w:val="99"/>
    <w:semiHidden/>
    <w:unhideWhenUsed/>
    <w:rPr>
      <w:rFonts w:ascii="Tahoma" w:hAnsi="Tahoma" w:cs="Tahoma"/>
      <w:sz w:val="16"/>
      <w:szCs w:val="16"/>
    </w:rPr>
  </w:style>
  <w:style w:type="character" w:styleId="887" w:customStyle="1">
    <w:name w:val="Текст выноски Знак"/>
    <w:basedOn w:val="709"/>
    <w:link w:val="88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88">
    <w:name w:val="Placeholder Text"/>
    <w:basedOn w:val="709"/>
    <w:uiPriority w:val="99"/>
    <w:semiHidden/>
    <w:rPr>
      <w:color w:val="808080"/>
    </w:rPr>
  </w:style>
  <w:style w:type="paragraph" w:styleId="889">
    <w:name w:val="List Paragraph"/>
    <w:basedOn w:val="699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90">
    <w:name w:val="Strong"/>
    <w:basedOn w:val="709"/>
    <w:uiPriority w:val="22"/>
    <w:qFormat/>
    <w:rPr>
      <w:b/>
      <w:bCs/>
    </w:rPr>
  </w:style>
  <w:style w:type="paragraph" w:styleId="891">
    <w:name w:val="Body Text Indent 3"/>
    <w:basedOn w:val="699"/>
    <w:link w:val="892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892" w:customStyle="1">
    <w:name w:val="Основной текст с отступом 3 Знак"/>
    <w:basedOn w:val="709"/>
    <w:link w:val="891"/>
    <w:uiPriority w:val="99"/>
    <w:semiHidden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3278-61BE-43B3-A0E7-01B7A2D94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15</cp:revision>
  <dcterms:created xsi:type="dcterms:W3CDTF">2025-11-12T13:01:00Z</dcterms:created>
  <dcterms:modified xsi:type="dcterms:W3CDTF">2025-12-04T09:56:03Z</dcterms:modified>
</cp:coreProperties>
</file>