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14.11.2025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  <w:r>
        <w:rPr>
          <w:b/>
          <w:sz w:val="24"/>
        </w:rPr>
        <w:t xml:space="preserve">№ 1873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плана реализации муниципальной программы Печенгского муниципального округа </w:t>
      </w:r>
      <w:r>
        <w:rPr>
          <w:b/>
        </w:rPr>
        <w:t xml:space="preserve">«Обеспечение социальной стабильности» </w:t>
      </w:r>
      <w:r>
        <w:rPr>
          <w:b/>
        </w:rPr>
        <w:t xml:space="preserve">на 2026 - 2028 годы</w:t>
      </w:r>
      <w:r>
        <w:rPr>
          <w:b/>
        </w:rPr>
      </w:r>
      <w:r>
        <w:rPr>
          <w:b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6"/>
          <w:szCs w:val="26"/>
        </w:rPr>
        <w:tab/>
      </w:r>
      <w:r>
        <w:rPr>
          <w:sz w:val="24"/>
          <w:szCs w:val="24"/>
        </w:rPr>
        <w:t xml:space="preserve">В соответствии с пунктом 2.15 Порядка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</w:t>
        <w:br/>
        <w:t xml:space="preserve">от 18.09.2025 № 1488, постановлением администрации Печенгского муниципальн</w:t>
      </w:r>
      <w:r>
        <w:rPr>
          <w:sz w:val="24"/>
          <w:szCs w:val="24"/>
        </w:rPr>
        <w:t xml:space="preserve">ого округа от 12.11.2025 №</w:t>
      </w:r>
      <w:r>
        <w:rPr>
          <w:sz w:val="24"/>
          <w:szCs w:val="24"/>
        </w:rPr>
        <w:t xml:space="preserve"> 1835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</w:t>
      </w:r>
      <w:r>
        <w:rPr>
          <w:sz w:val="24"/>
          <w:szCs w:val="24"/>
        </w:rPr>
        <w:t xml:space="preserve">«Обеспечение социальной стабильности»</w:t>
      </w:r>
      <w:r>
        <w:rPr>
          <w:sz w:val="24"/>
          <w:szCs w:val="24"/>
        </w:rPr>
        <w:t xml:space="preserve"> на 2026 - 2028 годы, в целях повышения эффективности и результативности расходования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ОСТАНОВЛЯЮ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18"/>
        </w:rPr>
      </w:pPr>
      <w:r>
        <w:rPr>
          <w:color w:val="auto"/>
          <w:sz w:val="24"/>
          <w:szCs w:val="18"/>
        </w:rPr>
      </w:r>
      <w:r>
        <w:rPr>
          <w:color w:val="auto"/>
          <w:sz w:val="24"/>
          <w:szCs w:val="18"/>
        </w:rPr>
      </w:r>
      <w:r>
        <w:rPr>
          <w:color w:val="auto"/>
          <w:sz w:val="24"/>
          <w:szCs w:val="18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</w:t>
      </w:r>
      <w:r>
        <w:rPr>
          <w:color w:val="auto"/>
          <w:sz w:val="24"/>
          <w:szCs w:val="24"/>
        </w:rPr>
        <w:tab/>
        <w:t xml:space="preserve">Утвердить </w:t>
      </w:r>
      <w:r>
        <w:rPr>
          <w:color w:val="auto"/>
          <w:sz w:val="24"/>
          <w:szCs w:val="24"/>
        </w:rPr>
        <w:t xml:space="preserve">план реализации </w:t>
      </w:r>
      <w:r>
        <w:rPr>
          <w:color w:val="auto"/>
          <w:sz w:val="24"/>
          <w:szCs w:val="24"/>
        </w:rPr>
        <w:t xml:space="preserve">муниципальн</w:t>
      </w:r>
      <w:r>
        <w:rPr>
          <w:color w:val="auto"/>
          <w:sz w:val="24"/>
          <w:szCs w:val="24"/>
        </w:rPr>
        <w:t xml:space="preserve">ой программы</w:t>
      </w:r>
      <w:r>
        <w:rPr>
          <w:color w:val="auto"/>
          <w:sz w:val="24"/>
          <w:szCs w:val="24"/>
        </w:rPr>
        <w:t xml:space="preserve"> Печенгского муниципального округа «Обеспечение социальной стабильности» на 2026 - 2028 годы согласно приложению.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2.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  <w:lang w:eastAsia="en-US"/>
        </w:rPr>
        <w:t xml:space="preserve">Настоящее постановление вступает в силу с 01 января 2026 года.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eastAsia="Calibri"/>
          <w:color w:val="auto"/>
          <w:sz w:val="24"/>
          <w:szCs w:val="24"/>
        </w:rPr>
      </w:pPr>
      <w:r>
        <w:rPr>
          <w:color w:val="auto"/>
          <w:sz w:val="24"/>
          <w:szCs w:val="24"/>
          <w:lang w:eastAsia="en-US"/>
        </w:rPr>
        <w:t xml:space="preserve">3.</w:t>
      </w:r>
      <w:r>
        <w:rPr>
          <w:color w:val="auto"/>
          <w:sz w:val="24"/>
          <w:szCs w:val="24"/>
          <w:lang w:eastAsia="en-US"/>
        </w:rPr>
        <w:tab/>
        <w:t xml:space="preserve">Настоящее постановление разместить на с</w:t>
      </w:r>
      <w:r>
        <w:rPr>
          <w:color w:val="auto"/>
          <w:sz w:val="24"/>
          <w:szCs w:val="24"/>
        </w:rPr>
        <w:t xml:space="preserve">айте Печенгского муниципального округа</w:t>
      </w:r>
      <w:r>
        <w:rPr>
          <w:rFonts w:eastAsia="Calibri"/>
          <w:color w:val="auto"/>
          <w:sz w:val="24"/>
          <w:szCs w:val="24"/>
        </w:rPr>
        <w:t xml:space="preserve"> в сети Интернет.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134" w:leader="none"/>
        </w:tabs>
        <w:rPr>
          <w:rFonts w:eastAsia="Calibri"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4.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  <w:lang w:eastAsia="en-US"/>
        </w:rPr>
        <w:t xml:space="preserve">Кон</w:t>
      </w:r>
      <w:r>
        <w:rPr>
          <w:rFonts w:eastAsia="Calibri"/>
          <w:color w:val="auto"/>
          <w:sz w:val="24"/>
          <w:szCs w:val="24"/>
          <w:lang w:eastAsia="en-US"/>
        </w:rPr>
        <w:t xml:space="preserve">троль за исполнением настоящего постановления оставляю за собой.</w:t>
      </w:r>
      <w:r>
        <w:rPr>
          <w:rFonts w:eastAsia="Calibri"/>
          <w:color w:val="auto"/>
          <w:sz w:val="24"/>
          <w:szCs w:val="24"/>
          <w:lang w:eastAsia="en-US"/>
        </w:rPr>
      </w:r>
      <w:r>
        <w:rPr>
          <w:rFonts w:eastAsia="Calibri"/>
          <w:color w:val="auto"/>
          <w:sz w:val="24"/>
          <w:szCs w:val="24"/>
          <w:lang w:eastAsia="en-US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  <w:sectPr>
          <w:footnotePr/>
          <w:endnotePr/>
          <w:type w:val="nextPage"/>
          <w:pgSz w:w="11906" w:h="16838" w:orient="portrait"/>
          <w:pgMar w:top="720" w:right="720" w:bottom="720" w:left="1701" w:header="709" w:footer="709" w:gutter="0"/>
          <w:rtlGutter/>
          <w:cols w:num="1" w:sep="0" w:space="709" w:equalWidth="1"/>
          <w:docGrid w:linePitch="360"/>
        </w:sectPr>
      </w:pPr>
      <w:r>
        <w:t xml:space="preserve">Рыжкова А.А., 25151</w:t>
      </w:r>
      <w:r/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81"/>
        <w:gridCol w:w="2113"/>
        <w:gridCol w:w="1124"/>
        <w:gridCol w:w="719"/>
        <w:gridCol w:w="1417"/>
        <w:gridCol w:w="1418"/>
        <w:gridCol w:w="1417"/>
        <w:gridCol w:w="1418"/>
        <w:gridCol w:w="3685"/>
        <w:gridCol w:w="1560"/>
      </w:tblGrid>
      <w:tr>
        <w:tblPrEx/>
        <w:trPr>
          <w:trHeight w:val="57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452" w:type="dxa"/>
            <w:vAlign w:val="center"/>
            <w:textDirection w:val="lrTb"/>
            <w:noWrap w:val="false"/>
          </w:tcPr>
          <w:p>
            <w:pPr>
              <w:contextualSpacing/>
              <w:ind w:left="11624"/>
              <w:jc w:val="left"/>
            </w:pPr>
            <w:r>
              <w:t xml:space="preserve">Приложение                                                                                                                </w:t>
            </w:r>
            <w:r>
              <w:t xml:space="preserve">           </w:t>
            </w:r>
            <w:r>
              <w:t xml:space="preserve">к постановлению администрации                                                                                                               </w:t>
            </w:r>
            <w:r>
              <w:t xml:space="preserve">            </w:t>
            </w:r>
            <w:r>
              <w:t xml:space="preserve">Печенгского муниципального округа                                                                                                              </w:t>
            </w:r>
            <w:r>
              <w:t xml:space="preserve">            </w:t>
            </w:r>
            <w:r>
              <w:t xml:space="preserve">от 14.11.2025 № 1873</w:t>
            </w:r>
            <w:r/>
          </w:p>
          <w:p>
            <w:pPr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</w:r>
            <w:r>
              <w:rPr>
                <w:b/>
                <w:bCs/>
                <w:color w:val="auto"/>
                <w:sz w:val="26"/>
                <w:szCs w:val="26"/>
              </w:rPr>
            </w:r>
            <w:r>
              <w:rPr>
                <w:b/>
                <w:bCs/>
                <w:color w:val="auto"/>
                <w:sz w:val="26"/>
                <w:szCs w:val="26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П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ЛАН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реал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изации муниципальной программы 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Печенгского муниципального округа 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«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Обес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печение социальной стабильности»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 на 2026 - 2028 годы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п/п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Объемы и источники финансирования (рублей)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Связь комплексов процессных и(или) проектных </w:t>
            </w:r>
            <w:r>
              <w:rPr>
                <w:color w:val="auto"/>
                <w:sz w:val="18"/>
                <w:szCs w:val="18"/>
              </w:rPr>
              <w:t xml:space="preserve">мероприятий с показателями муниц</w:t>
            </w:r>
            <w:r>
              <w:rPr>
                <w:color w:val="auto"/>
                <w:sz w:val="18"/>
                <w:szCs w:val="18"/>
              </w:rPr>
              <w:t xml:space="preserve">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7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 годам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</w:t>
            </w:r>
            <w:r>
              <w:rPr>
                <w:b/>
                <w:bCs/>
              </w:rPr>
              <w:t xml:space="preserve">«</w:t>
            </w:r>
            <w:r>
              <w:rPr>
                <w:b/>
                <w:bCs/>
              </w:rPr>
              <w:t xml:space="preserve">Обес</w:t>
            </w:r>
            <w:r>
              <w:rPr>
                <w:b/>
                <w:bCs/>
              </w:rPr>
              <w:t xml:space="preserve">печение социальной стабильности»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0" w:leader="none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111 839 800,00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37 791 800,00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36 970 900,00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37 077 100,00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right="-31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Управляющий делами</w:t>
            </w:r>
            <w:r>
              <w:rPr>
                <w:sz w:val="16"/>
                <w:szCs w:val="16"/>
              </w:rPr>
              <w:t xml:space="preserve"> администрации</w:t>
            </w:r>
            <w:r>
              <w:rPr>
                <w:sz w:val="16"/>
                <w:szCs w:val="16"/>
              </w:rPr>
              <w:t xml:space="preserve">; сектор муниципальной службы и кадров; с</w:t>
            </w:r>
            <w:r>
              <w:rPr>
                <w:sz w:val="16"/>
                <w:szCs w:val="16"/>
              </w:rPr>
              <w:t xml:space="preserve">пециалист по работе с населением; ОРН; отдел образования;</w:t>
            </w:r>
            <w:r>
              <w:rPr>
                <w:sz w:val="16"/>
                <w:szCs w:val="16"/>
              </w:rPr>
              <w:t xml:space="preserve"> отдел КСиМП; КУИ; </w:t>
            </w:r>
            <w:r>
              <w:rPr>
                <w:sz w:val="16"/>
                <w:szCs w:val="16"/>
              </w:rPr>
              <w:t xml:space="preserve">ОС и ЖКХ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26 451 590,00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9 655 631,00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8 345 416,00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8 450 543,00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82 252 600,00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27 076 800,00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27 587 900,00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27 587 900,00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4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40 910,00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14 869,00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12 484,00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13 557,00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ВБС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3 094 700,00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1 044 500,00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1 025 100,00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1 025 100,00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</w:t>
            </w:r>
            <w:r>
              <w:rPr>
                <w:sz w:val="18"/>
                <w:szCs w:val="18"/>
                <w:u w:val="single"/>
              </w:rPr>
              <w:t xml:space="preserve">мплекс процессных мероприятий 1 </w:t>
            </w:r>
            <w:r>
              <w:rPr>
                <w:sz w:val="18"/>
                <w:szCs w:val="18"/>
              </w:rPr>
              <w:t xml:space="preserve">«Создание условий для роста благосостояния граждан – получателей мер социальной поддержки»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100 153 399,00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33 759 173,00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33 197 113,00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33 197 113,00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0.1. 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color w:val="auto"/>
                <w:sz w:val="16"/>
                <w:szCs w:val="16"/>
              </w:rPr>
              <w:br/>
              <w:t xml:space="preserve">0.2. Доля муниципальных служащих своевременно получающих пенсию за выслугу лет от общей численности муниципальных служащих, которым назначена пенсия за выслугу лет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0.3. Доля почетных граждан г. Заполярный, граждан, награжденных почетным </w:t>
            </w:r>
            <w:r>
              <w:rPr>
                <w:color w:val="auto"/>
                <w:sz w:val="16"/>
                <w:szCs w:val="16"/>
              </w:rPr>
              <w:t xml:space="preserve">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       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0.4. Выполнение обязательств, связанных с захоронением погибших в ходе специальной военной операции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Управляющий делами</w:t>
            </w:r>
            <w:r>
              <w:rPr>
                <w:sz w:val="16"/>
                <w:szCs w:val="16"/>
              </w:rPr>
              <w:t xml:space="preserve"> администрации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муниципальной службы и кадров; специалист по работе с населением;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ОРН;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КСиМП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20 930 799,00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7 692 373,00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6 619 213,00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6 619 213,00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79 222 600,00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26 066 800,00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26 577 900,00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26 577 900,00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59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Выплата пенсий за выслугу лет муниципальным служащим и лицам, замещавшим муниципальные должности в </w:t>
            </w:r>
            <w:r>
              <w:rPr>
                <w:sz w:val="18"/>
                <w:szCs w:val="18"/>
              </w:rPr>
              <w:t xml:space="preserve">органах местного самоуправления»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19 571 400,00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6 523 800,00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6 523 800,00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6 523 800,00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Ведение реестра муниципальных должностей. Расчет, назначение и выплата пенсии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сектор муниципальной службы и кадров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19 571 400,00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6 523 800,00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6 523 800,00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6 523 800,00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9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8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</w:t>
            </w:r>
            <w:r>
              <w:rPr>
                <w:sz w:val="18"/>
                <w:szCs w:val="18"/>
              </w:rPr>
              <w:t xml:space="preserve">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</w:t>
            </w:r>
            <w:r>
              <w:rPr>
                <w:sz w:val="18"/>
                <w:szCs w:val="18"/>
              </w:rPr>
              <w:t xml:space="preserve">ах или поселках городского типа»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72 546 900,00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23 870 300,00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24 338 300,00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24 338 300,00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Расчет, назначение и выплата компенсации расходов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</w:t>
            </w:r>
            <w:r>
              <w:rPr>
                <w:color w:val="auto"/>
                <w:sz w:val="18"/>
                <w:szCs w:val="18"/>
              </w:rPr>
              <w:t xml:space="preserve">тдел образования, отдел КСиМП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72 546 900,00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23 870 300,00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24 338 300,00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24 338 300,00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Мероприятие </w:t>
            </w:r>
            <w:r>
              <w:rPr>
                <w:color w:val="auto"/>
                <w:sz w:val="18"/>
                <w:szCs w:val="18"/>
              </w:rPr>
              <w:t xml:space="preserve">«</w:t>
            </w:r>
            <w:r>
              <w:rPr>
                <w:color w:val="auto"/>
                <w:sz w:val="18"/>
                <w:szCs w:val="18"/>
              </w:rPr>
              <w:t xml:space="preserve">Выплата денежного вознаграждения гражданам, удостоенных звания </w:t>
            </w:r>
            <w:r>
              <w:rPr>
                <w:color w:val="auto"/>
                <w:sz w:val="18"/>
                <w:szCs w:val="18"/>
              </w:rPr>
              <w:t xml:space="preserve">«</w:t>
            </w:r>
            <w:r>
              <w:rPr>
                <w:color w:val="auto"/>
                <w:sz w:val="18"/>
                <w:szCs w:val="18"/>
              </w:rPr>
              <w:t xml:space="preserve">Почет</w:t>
            </w:r>
            <w:r>
              <w:rPr>
                <w:color w:val="auto"/>
                <w:sz w:val="18"/>
                <w:szCs w:val="18"/>
              </w:rPr>
              <w:t xml:space="preserve">ный гражданин города Заполярный», «</w:t>
            </w:r>
            <w:r>
              <w:rPr>
                <w:color w:val="auto"/>
                <w:sz w:val="18"/>
                <w:szCs w:val="18"/>
              </w:rPr>
              <w:t xml:space="preserve">Почетный гражданин Печенгского мун</w:t>
            </w:r>
            <w:r>
              <w:rPr>
                <w:color w:val="auto"/>
                <w:sz w:val="18"/>
                <w:szCs w:val="18"/>
              </w:rPr>
              <w:t xml:space="preserve">и</w:t>
            </w:r>
            <w:r>
              <w:rPr>
                <w:color w:val="auto"/>
                <w:sz w:val="18"/>
                <w:szCs w:val="18"/>
              </w:rPr>
              <w:t xml:space="preserve">ципального округа</w:t>
            </w:r>
            <w:r>
              <w:rPr>
                <w:color w:val="auto"/>
                <w:sz w:val="18"/>
                <w:szCs w:val="18"/>
              </w:rPr>
              <w:t xml:space="preserve">»</w:t>
            </w:r>
            <w:r>
              <w:rPr>
                <w:color w:val="auto"/>
                <w:sz w:val="18"/>
                <w:szCs w:val="18"/>
              </w:rPr>
              <w:t xml:space="preserve">, награ</w:t>
            </w:r>
            <w:r>
              <w:rPr>
                <w:color w:val="auto"/>
                <w:sz w:val="18"/>
                <w:szCs w:val="18"/>
              </w:rPr>
              <w:t xml:space="preserve">ждаемых </w:t>
            </w:r>
            <w:r>
              <w:rPr>
                <w:color w:val="auto"/>
                <w:sz w:val="18"/>
                <w:szCs w:val="18"/>
              </w:rPr>
              <w:t xml:space="preserve"> почетным знаком </w:t>
            </w:r>
            <w:r>
              <w:rPr>
                <w:color w:val="auto"/>
                <w:sz w:val="18"/>
                <w:szCs w:val="18"/>
              </w:rPr>
              <w:t xml:space="preserve">«</w:t>
            </w:r>
            <w:r>
              <w:rPr>
                <w:color w:val="auto"/>
                <w:sz w:val="18"/>
                <w:szCs w:val="18"/>
              </w:rPr>
              <w:t xml:space="preserve">За заслуги перед </w:t>
            </w:r>
            <w:r>
              <w:rPr>
                <w:color w:val="auto"/>
                <w:sz w:val="18"/>
                <w:szCs w:val="18"/>
              </w:rPr>
              <w:t xml:space="preserve">Печенгским округом»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286 239,00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95 413,00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Назначение и выплата вознаграждения гражданам, удостоенных звания «Почетный гражданин города Заполярный»</w:t>
            </w:r>
            <w:r>
              <w:rPr>
                <w:sz w:val="16"/>
                <w:szCs w:val="16"/>
              </w:rPr>
              <w:t xml:space="preserve">, «Почетный гражданин Печенгского муниципального округа», награждаемых почетным знаком «За заслуги перед Печенгским округом»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ОРН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286 239,00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95 413,00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95 413,00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95 413,00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Исполнение государственных полномочий по предоставлению и организации выплаты вознаграждения опекунам совершен</w:t>
            </w:r>
            <w:r>
              <w:rPr>
                <w:sz w:val="18"/>
                <w:szCs w:val="18"/>
              </w:rPr>
              <w:t xml:space="preserve">нолетних недееспособных граждан»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6 675 700,00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2 196 500,00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2 239 600,00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2 239 600,00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Рассмотрение документов, назначение, заключение договора выплаты вознаграждения опекунам совершеннолетних недееспособных граждан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сп</w:t>
            </w:r>
            <w:r>
              <w:rPr>
                <w:color w:val="auto"/>
                <w:sz w:val="18"/>
                <w:szCs w:val="18"/>
              </w:rPr>
              <w:t xml:space="preserve">е</w:t>
            </w:r>
            <w:r>
              <w:rPr>
                <w:color w:val="auto"/>
                <w:sz w:val="18"/>
                <w:szCs w:val="18"/>
              </w:rPr>
              <w:t xml:space="preserve">циалист по работе с населением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6 675 700,00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2 196 500,00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2 239 600,00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2 239 600,00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Проведение мероприятий, связанных с захоронением погибших в ходе специальной военной операции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1 073 160,00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1 073 160,00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обязательств, связанных с захоронением погибших в ходе специальной военной операции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Управляющий делами </w:t>
            </w:r>
            <w:r>
              <w:rPr>
                <w:color w:val="auto"/>
                <w:sz w:val="18"/>
                <w:szCs w:val="18"/>
              </w:rPr>
              <w:t xml:space="preserve">администрации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1 073 160,00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1 073 160,00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</w:t>
            </w:r>
            <w:r>
              <w:rPr>
                <w:sz w:val="18"/>
                <w:szCs w:val="18"/>
                <w:u w:val="single"/>
              </w:rPr>
              <w:t xml:space="preserve">мплекс процессных мероприятий 2</w:t>
            </w:r>
            <w:r>
              <w:rPr>
                <w:sz w:val="18"/>
                <w:szCs w:val="18"/>
              </w:rPr>
              <w:t xml:space="preserve"> «Создание условий для эффективной интеграции инвалидов в общество»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1 470 601,00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491 227,00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490 187,00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489 187,00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Доля приоритетных объектов социальной и</w:t>
            </w:r>
            <w:r>
              <w:rPr>
                <w:sz w:val="16"/>
                <w:szCs w:val="16"/>
              </w:rPr>
              <w:t xml:space="preserve">нфраструктуры (далее - ОСИ)  Печенгского муниципального округа занесенных в электронный реестр ОСИ Мурманской области, а также размещенных на электронной карте доступности интернет портала "Жить вместе" государственной программы Российской федерации "Досту</w:t>
            </w:r>
            <w:r>
              <w:rPr>
                <w:sz w:val="16"/>
                <w:szCs w:val="16"/>
              </w:rPr>
              <w:t xml:space="preserve">пная среда"                                                                            0.6. Доля исполненных обоснованных заявлений (обращений) по обеспечению доступности в МКД, в которых проживают инвалиды от общего числа поступивших заявлений (обращений)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ОРН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1 470 601,00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491 227,00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490 187,00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489 187,00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1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  <w:t xml:space="preserve">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</w:t>
            </w:r>
            <w:r>
              <w:rPr>
                <w:color w:val="auto"/>
                <w:sz w:val="18"/>
                <w:szCs w:val="18"/>
              </w:rPr>
              <w:t xml:space="preserve">ероприятие «</w:t>
            </w:r>
            <w:r>
              <w:rPr>
                <w:color w:val="auto"/>
                <w:sz w:val="18"/>
                <w:szCs w:val="18"/>
              </w:rPr>
              <w:t xml:space="preserve">Обеспечение дост</w:t>
            </w:r>
            <w:r>
              <w:rPr>
                <w:color w:val="auto"/>
                <w:sz w:val="18"/>
                <w:szCs w:val="18"/>
              </w:rPr>
              <w:t xml:space="preserve">упности в многоквартирных домах»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2026 - 2028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1 470 601,00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 491 227,00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 490 187,00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489 187,00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мероприятий по обеспечению доступности в многоквартирных домах (установка поручней, пандусов и т.д.)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ОРН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МБ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1 470 601,00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 491 227,00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 490 187,00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489 187,00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ОБ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ФБ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ВБС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Участие в создании на территории Печенгского муниципального округа инвалидам и маломобильным группам населения условий для беспрепятственного доступа к объектам </w:t>
            </w:r>
            <w:r>
              <w:rPr>
                <w:sz w:val="18"/>
                <w:szCs w:val="18"/>
              </w:rPr>
              <w:t xml:space="preserve">социальной инфраструктуры, а также для беспрепятственного пользования средствами связи, информации, транспорта, размещение информации на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интернет-портале</w:t>
            </w:r>
            <w:r>
              <w:rPr>
                <w:sz w:val="18"/>
                <w:szCs w:val="18"/>
              </w:rPr>
              <w:t xml:space="preserve"> «Учимся жить вместе», государственной программы «Доступная среда» по паспортам доступности ОСИ Пе</w:t>
            </w:r>
            <w:r>
              <w:rPr>
                <w:sz w:val="18"/>
                <w:szCs w:val="18"/>
              </w:rPr>
              <w:t xml:space="preserve">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информации на Интернет-портале «Учимся жить вместе» Государственной программы «Доступная среда» по паспортам доступности ОСИ Печенгского муниципального округа»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ОРН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ВБС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</w:t>
            </w:r>
            <w:r>
              <w:rPr>
                <w:sz w:val="18"/>
                <w:szCs w:val="18"/>
                <w:u w:val="single"/>
              </w:rPr>
              <w:t xml:space="preserve">мплекс процессных мероприятий 3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Создание услов</w:t>
            </w:r>
            <w:r>
              <w:rPr>
                <w:sz w:val="18"/>
                <w:szCs w:val="18"/>
              </w:rPr>
              <w:t xml:space="preserve">ий для социальной помощи семьям»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10 215 800,00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3 541 400,00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3 283 600,00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3 390 800,00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0.7. Число семей участников Государственной программы получивших социальную выплату на приобретение (строительство) жилья от общего числа семей</w:t>
            </w:r>
            <w:r>
              <w:rPr>
                <w:sz w:val="16"/>
                <w:szCs w:val="16"/>
              </w:rPr>
              <w:t xml:space="preserve">,</w:t>
            </w:r>
            <w:r>
              <w:rPr>
                <w:sz w:val="16"/>
                <w:szCs w:val="16"/>
              </w:rPr>
              <w:t xml:space="preserve"> обратившихся за получением меры социальной поддержки.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</w:t>
            </w:r>
            <w:r>
              <w:rPr>
                <w:color w:val="auto"/>
                <w:sz w:val="16"/>
                <w:szCs w:val="16"/>
              </w:rPr>
              <w:t xml:space="preserve">С и ЖКХ;</w:t>
            </w:r>
            <w:r>
              <w:rPr>
                <w:color w:val="auto"/>
                <w:sz w:val="16"/>
                <w:szCs w:val="16"/>
              </w:rPr>
              <w:t xml:space="preserve">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КУИ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4 050 190,00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1 472 031,00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1 236 016,00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1 342 143,00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3 030 000,00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40 910,00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14 869,00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12 484,00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13 557,00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3 094 700,00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1 044 500,00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</w:t>
            </w:r>
            <w:r>
              <w:rPr>
                <w:sz w:val="18"/>
                <w:szCs w:val="18"/>
              </w:rPr>
              <w:t xml:space="preserve">оприятие «</w:t>
            </w:r>
            <w:r>
              <w:rPr>
                <w:sz w:val="18"/>
                <w:szCs w:val="18"/>
              </w:rPr>
              <w:t xml:space="preserve">Предоставление с</w:t>
            </w:r>
            <w:r>
              <w:rPr>
                <w:sz w:val="18"/>
                <w:szCs w:val="18"/>
              </w:rPr>
              <w:t xml:space="preserve">оциальных выплат молодым семьям»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2026-2027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7 185 800,00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2 531 400,00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2 273 600,00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2 380 800,00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рассмотрения предоставленных документов, расчёт, назначение, обеспечение выплат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 и ЖКХ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4 050 190,00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1 472 031,00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1 236 016,00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1 342 143,00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40 910,00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14 869,00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12 484,00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13 557,00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3 094 700,00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1 044 500,00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Предоставление единовременной денежной выплаты многодетным семья</w:t>
            </w:r>
            <w:r>
              <w:rPr>
                <w:sz w:val="18"/>
                <w:szCs w:val="18"/>
              </w:rPr>
              <w:t xml:space="preserve">м на улучшение жилищных условий»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3 030 000,00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1 010 000,00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рассмотрения предоставленных документов, своевременное</w:t>
            </w:r>
            <w:bookmarkStart w:id="0" w:name="_GoBack"/>
            <w:r/>
            <w:bookmarkEnd w:id="0"/>
            <w:r>
              <w:rPr>
                <w:sz w:val="16"/>
                <w:szCs w:val="16"/>
              </w:rPr>
              <w:t xml:space="preserve"> направление на единовременные выплаты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3 030 000,00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ind w:left="5529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spacing w:line="276" w:lineRule="auto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</w:t>
      </w:r>
      <w:r>
        <w:rPr>
          <w:color w:val="auto"/>
          <w:sz w:val="18"/>
          <w:szCs w:val="18"/>
        </w:rPr>
        <w:t xml:space="preserve"> Управляющий делами администрации – Администрация Печенгского муниципального округа (Управляющий делами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>
        <w:rPr>
          <w:color w:val="auto"/>
          <w:sz w:val="18"/>
          <w:szCs w:val="18"/>
        </w:rPr>
        <w:t xml:space="preserve">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Печенгского муниципального округа (Специалист по работе с населением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</w:t>
      </w:r>
      <w:r>
        <w:rPr>
          <w:color w:val="auto"/>
          <w:sz w:val="18"/>
          <w:szCs w:val="18"/>
        </w:rPr>
        <w:t xml:space="preserve">»</w:t>
      </w:r>
      <w:r>
        <w:rPr>
          <w:color w:val="auto"/>
          <w:sz w:val="18"/>
          <w:szCs w:val="18"/>
        </w:rPr>
        <w:t xml:space="preserve">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КСиМП – Отдел культуры, спорта и молодежной политики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>
        <w:rPr>
          <w:color w:val="auto"/>
          <w:sz w:val="18"/>
          <w:szCs w:val="18"/>
        </w:rPr>
        <w:t xml:space="preserve">ОС и ЖКХ</w:t>
      </w:r>
      <w:r>
        <w:rPr>
          <w:color w:val="auto"/>
          <w:sz w:val="18"/>
          <w:szCs w:val="18"/>
        </w:rPr>
        <w:t xml:space="preserve"> </w:t>
      </w:r>
      <w:r>
        <w:rPr>
          <w:color w:val="auto"/>
          <w:sz w:val="18"/>
          <w:szCs w:val="18"/>
        </w:rPr>
        <w:t xml:space="preserve">– Администрация Печенгского муниципального округа (Отдел строительства и жилищно-коммунального хозяйства </w:t>
      </w:r>
      <w:r>
        <w:rPr>
          <w:color w:val="auto"/>
          <w:sz w:val="18"/>
          <w:szCs w:val="18"/>
        </w:rPr>
        <w:t xml:space="preserve">администрации Печенгского муниципального округа).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bCs/>
          <w:sz w:val="16"/>
          <w:szCs w:val="16"/>
        </w:rPr>
      </w:pPr>
      <w:r>
        <w:rPr>
          <w:color w:val="auto"/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both"/>
        <w:tabs>
          <w:tab w:val="left" w:pos="927" w:leader="none"/>
        </w:tabs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536" w:bottom="567" w:left="1135" w:header="709" w:footer="709" w:gutter="0"/>
          <w:rtlGutter/>
          <w:cols w:num="1" w:sep="0" w:space="709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12"/>
  </w:num>
  <w:num w:numId="10">
    <w:abstractNumId w:val="13"/>
  </w:num>
  <w:num w:numId="11">
    <w:abstractNumId w:val="11"/>
  </w:num>
  <w:num w:numId="12">
    <w:abstractNumId w:val="6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2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2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3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6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9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0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02">
    <w:name w:val="Heading 1"/>
    <w:basedOn w:val="701"/>
    <w:next w:val="701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3"/>
    <w:basedOn w:val="701"/>
    <w:next w:val="701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717"/>
    <w:qFormat/>
    <w:pPr>
      <w:ind w:firstLine="709"/>
      <w:keepNext/>
      <w:outlineLvl w:val="3"/>
    </w:pPr>
    <w:rPr>
      <w:sz w:val="28"/>
    </w:rPr>
  </w:style>
  <w:style w:type="paragraph" w:styleId="706">
    <w:name w:val="Heading 5"/>
    <w:basedOn w:val="701"/>
    <w:next w:val="701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701"/>
    <w:next w:val="701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701"/>
    <w:next w:val="701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701"/>
    <w:next w:val="701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character" w:styleId="714" w:customStyle="1">
    <w:name w:val="Заголовок 1 Знак"/>
    <w:basedOn w:val="711"/>
    <w:link w:val="702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711"/>
    <w:link w:val="703"/>
    <w:uiPriority w:val="9"/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711"/>
    <w:link w:val="704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711"/>
    <w:link w:val="70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18" w:customStyle="1">
    <w:name w:val="Заголовок 5 Знак"/>
    <w:basedOn w:val="711"/>
    <w:link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711"/>
    <w:link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711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711"/>
    <w:link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711"/>
    <w:link w:val="710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Heading 1 Char"/>
    <w:basedOn w:val="711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Heading 2 Char"/>
    <w:basedOn w:val="711"/>
    <w:uiPriority w:val="9"/>
    <w:rPr>
      <w:rFonts w:ascii="Arial" w:hAnsi="Arial" w:eastAsia="Arial" w:cs="Arial"/>
      <w:sz w:val="34"/>
    </w:rPr>
  </w:style>
  <w:style w:type="character" w:styleId="725" w:customStyle="1">
    <w:name w:val="Heading 3 Char"/>
    <w:basedOn w:val="711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Heading 5 Char"/>
    <w:basedOn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711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711"/>
    <w:uiPriority w:val="10"/>
    <w:rPr>
      <w:sz w:val="48"/>
      <w:szCs w:val="48"/>
    </w:rPr>
  </w:style>
  <w:style w:type="character" w:styleId="732" w:customStyle="1">
    <w:name w:val="Subtitle Char"/>
    <w:basedOn w:val="711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ing 4 Char"/>
    <w:basedOn w:val="711"/>
    <w:uiPriority w:val="9"/>
    <w:rPr>
      <w:rFonts w:ascii="Arial" w:hAnsi="Arial" w:eastAsia="Arial" w:cs="Arial"/>
      <w:b/>
      <w:bCs/>
      <w:sz w:val="26"/>
      <w:szCs w:val="26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701"/>
    <w:next w:val="701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Заголовок Знак"/>
    <w:basedOn w:val="711"/>
    <w:link w:val="737"/>
    <w:uiPriority w:val="10"/>
    <w:rPr>
      <w:sz w:val="48"/>
      <w:szCs w:val="48"/>
    </w:rPr>
  </w:style>
  <w:style w:type="paragraph" w:styleId="739">
    <w:name w:val="Subtitle"/>
    <w:basedOn w:val="701"/>
    <w:next w:val="701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711"/>
    <w:link w:val="739"/>
    <w:uiPriority w:val="11"/>
    <w:rPr>
      <w:sz w:val="24"/>
      <w:szCs w:val="24"/>
    </w:rPr>
  </w:style>
  <w:style w:type="paragraph" w:styleId="741">
    <w:name w:val="Quote"/>
    <w:basedOn w:val="701"/>
    <w:next w:val="701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701"/>
    <w:next w:val="701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711"/>
    <w:uiPriority w:val="99"/>
  </w:style>
  <w:style w:type="character" w:styleId="746" w:customStyle="1">
    <w:name w:val="Footer Char"/>
    <w:basedOn w:val="711"/>
    <w:uiPriority w:val="99"/>
  </w:style>
  <w:style w:type="paragraph" w:styleId="747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71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71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7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>
    <w:name w:val="toc 1"/>
    <w:basedOn w:val="701"/>
    <w:next w:val="701"/>
    <w:uiPriority w:val="39"/>
    <w:unhideWhenUsed/>
    <w:pPr>
      <w:spacing w:after="57"/>
    </w:pPr>
  </w:style>
  <w:style w:type="paragraph" w:styleId="878">
    <w:name w:val="toc 2"/>
    <w:basedOn w:val="701"/>
    <w:next w:val="701"/>
    <w:uiPriority w:val="39"/>
    <w:unhideWhenUsed/>
    <w:pPr>
      <w:ind w:left="283"/>
      <w:spacing w:after="57"/>
    </w:pPr>
  </w:style>
  <w:style w:type="paragraph" w:styleId="879">
    <w:name w:val="toc 3"/>
    <w:basedOn w:val="701"/>
    <w:next w:val="701"/>
    <w:uiPriority w:val="39"/>
    <w:unhideWhenUsed/>
    <w:pPr>
      <w:ind w:left="567"/>
      <w:spacing w:after="57"/>
    </w:pPr>
  </w:style>
  <w:style w:type="paragraph" w:styleId="880">
    <w:name w:val="toc 4"/>
    <w:basedOn w:val="701"/>
    <w:next w:val="701"/>
    <w:uiPriority w:val="39"/>
    <w:unhideWhenUsed/>
    <w:pPr>
      <w:ind w:left="850"/>
      <w:spacing w:after="57"/>
    </w:pPr>
  </w:style>
  <w:style w:type="paragraph" w:styleId="881">
    <w:name w:val="toc 5"/>
    <w:basedOn w:val="701"/>
    <w:next w:val="701"/>
    <w:uiPriority w:val="39"/>
    <w:unhideWhenUsed/>
    <w:pPr>
      <w:ind w:left="1134"/>
      <w:spacing w:after="57"/>
    </w:pPr>
  </w:style>
  <w:style w:type="paragraph" w:styleId="882">
    <w:name w:val="toc 6"/>
    <w:basedOn w:val="701"/>
    <w:next w:val="701"/>
    <w:uiPriority w:val="39"/>
    <w:unhideWhenUsed/>
    <w:pPr>
      <w:ind w:left="1417"/>
      <w:spacing w:after="57"/>
    </w:pPr>
  </w:style>
  <w:style w:type="paragraph" w:styleId="883">
    <w:name w:val="toc 7"/>
    <w:basedOn w:val="701"/>
    <w:next w:val="701"/>
    <w:uiPriority w:val="39"/>
    <w:unhideWhenUsed/>
    <w:pPr>
      <w:ind w:left="1701"/>
      <w:spacing w:after="57"/>
    </w:pPr>
  </w:style>
  <w:style w:type="paragraph" w:styleId="884">
    <w:name w:val="toc 8"/>
    <w:basedOn w:val="701"/>
    <w:next w:val="701"/>
    <w:uiPriority w:val="39"/>
    <w:unhideWhenUsed/>
    <w:pPr>
      <w:ind w:left="1984"/>
      <w:spacing w:after="57"/>
    </w:pPr>
  </w:style>
  <w:style w:type="paragraph" w:styleId="885">
    <w:name w:val="toc 9"/>
    <w:basedOn w:val="701"/>
    <w:next w:val="701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701"/>
    <w:next w:val="701"/>
    <w:uiPriority w:val="99"/>
    <w:unhideWhenUsed/>
  </w:style>
  <w:style w:type="paragraph" w:styleId="888">
    <w:name w:val="Body Text 2"/>
    <w:basedOn w:val="701"/>
    <w:link w:val="88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9" w:customStyle="1">
    <w:name w:val="Основной текст 2 Знак"/>
    <w:basedOn w:val="711"/>
    <w:link w:val="88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90">
    <w:name w:val="Balloon Text"/>
    <w:basedOn w:val="701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711"/>
    <w:link w:val="89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2">
    <w:name w:val="List Paragraph"/>
    <w:basedOn w:val="701"/>
    <w:uiPriority w:val="1"/>
    <w:qFormat/>
    <w:pPr>
      <w:contextualSpacing/>
      <w:ind w:left="720"/>
    </w:pPr>
  </w:style>
  <w:style w:type="paragraph" w:styleId="893">
    <w:name w:val="Header"/>
    <w:basedOn w:val="701"/>
    <w:link w:val="89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4" w:customStyle="1">
    <w:name w:val="Верхний колонтитул Знак"/>
    <w:basedOn w:val="711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Footer"/>
    <w:basedOn w:val="701"/>
    <w:link w:val="89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6" w:customStyle="1">
    <w:name w:val="Нижний колонтитул Знак"/>
    <w:basedOn w:val="711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footnote text"/>
    <w:basedOn w:val="701"/>
    <w:link w:val="898"/>
    <w:uiPriority w:val="99"/>
    <w:semiHidden/>
    <w:rPr>
      <w:color w:val="auto"/>
    </w:rPr>
  </w:style>
  <w:style w:type="character" w:styleId="898" w:customStyle="1">
    <w:name w:val="Текст сноски Знак"/>
    <w:basedOn w:val="711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footnote reference"/>
    <w:basedOn w:val="711"/>
    <w:uiPriority w:val="99"/>
    <w:semiHidden/>
    <w:rPr>
      <w:rFonts w:cs="Times New Roman"/>
      <w:vertAlign w:val="superscript"/>
    </w:rPr>
  </w:style>
  <w:style w:type="paragraph" w:styleId="900">
    <w:name w:val="endnote text"/>
    <w:basedOn w:val="701"/>
    <w:link w:val="901"/>
    <w:uiPriority w:val="99"/>
    <w:semiHidden/>
    <w:rPr>
      <w:color w:val="auto"/>
    </w:rPr>
  </w:style>
  <w:style w:type="character" w:styleId="901" w:customStyle="1">
    <w:name w:val="Текст концевой сноски Знак"/>
    <w:basedOn w:val="711"/>
    <w:link w:val="90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endnote reference"/>
    <w:basedOn w:val="711"/>
    <w:uiPriority w:val="99"/>
    <w:semiHidden/>
    <w:rPr>
      <w:rFonts w:cs="Times New Roman"/>
      <w:vertAlign w:val="superscript"/>
    </w:rPr>
  </w:style>
  <w:style w:type="paragraph" w:styleId="90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5" w:customStyle="1">
    <w:name w:val="Сетка таблицы1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Table Grid"/>
    <w:basedOn w:val="712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2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712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fontstyle01"/>
    <w:basedOn w:val="711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1" w:customStyle="1">
    <w:name w:val="Table Paragraph"/>
    <w:basedOn w:val="701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2" w:customStyle="1">
    <w:name w:val="Прижатый влево"/>
    <w:basedOn w:val="701"/>
    <w:next w:val="701"/>
    <w:rPr>
      <w:rFonts w:ascii="Arial" w:hAnsi="Arial" w:cs="Arial"/>
      <w:color w:val="auto"/>
      <w:lang w:eastAsia="zh-CN"/>
    </w:rPr>
  </w:style>
  <w:style w:type="table" w:styleId="91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4">
    <w:name w:val="Body Text"/>
    <w:basedOn w:val="701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711"/>
    <w:link w:val="91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1CE66-045B-47E5-B093-77113016D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15</cp:revision>
  <dcterms:created xsi:type="dcterms:W3CDTF">2025-11-19T14:04:00Z</dcterms:created>
  <dcterms:modified xsi:type="dcterms:W3CDTF">2025-12-08T08:55:35Z</dcterms:modified>
</cp:coreProperties>
</file>