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02.12.2025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        №</w:t>
      </w:r>
      <w:r>
        <w:rPr>
          <w:b/>
          <w:sz w:val="24"/>
        </w:rPr>
        <w:t xml:space="preserve"> 1998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муниципальную программу «</w:t>
      </w:r>
      <w:r>
        <w:rPr>
          <w:b/>
        </w:rPr>
        <w:t xml:space="preserve">Обеспечение общественного порядка и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 безопасности населения</w:t>
      </w:r>
      <w:r>
        <w:rPr>
          <w:b/>
        </w:rPr>
        <w:t xml:space="preserve">» на 202</w:t>
      </w:r>
      <w:r>
        <w:rPr>
          <w:b/>
        </w:rPr>
        <w:t xml:space="preserve">5 </w:t>
      </w:r>
      <w:r>
        <w:rPr>
          <w:b/>
        </w:rPr>
        <w:t xml:space="preserve">- 202</w:t>
      </w:r>
      <w:r>
        <w:rPr>
          <w:b/>
        </w:rPr>
        <w:t xml:space="preserve">7</w:t>
      </w:r>
      <w:r>
        <w:rPr>
          <w:b/>
        </w:rPr>
        <w:t xml:space="preserve"> годы, утвержденную</w:t>
      </w:r>
      <w:r>
        <w:rPr>
          <w:b/>
        </w:rPr>
        <w:t xml:space="preserve"> </w:t>
      </w:r>
      <w:r>
        <w:rPr>
          <w:b/>
        </w:rPr>
        <w:t xml:space="preserve">постановлени</w:t>
      </w:r>
      <w:r>
        <w:rPr>
          <w:b/>
        </w:rPr>
        <w:t xml:space="preserve">ем</w:t>
      </w:r>
      <w:r>
        <w:rPr>
          <w:b/>
        </w:rPr>
        <w:t xml:space="preserve"> </w:t>
      </w:r>
      <w:r>
        <w:rPr>
          <w:b/>
        </w:rPr>
        <w:t xml:space="preserve">администрации</w:t>
      </w:r>
      <w:r>
        <w:rPr>
          <w:b/>
        </w:rPr>
        <w:t xml:space="preserve"> </w:t>
      </w:r>
      <w:r>
        <w:rPr>
          <w:b/>
        </w:rPr>
        <w:t xml:space="preserve">Печенгск</w:t>
      </w:r>
      <w:r>
        <w:rPr>
          <w:b/>
        </w:rPr>
        <w:t xml:space="preserve">ого муниципального округа</w:t>
      </w:r>
      <w:r>
        <w:rPr>
          <w:b/>
        </w:rPr>
        <w:t xml:space="preserve"> от </w:t>
      </w:r>
      <w:r>
        <w:rPr>
          <w:b/>
        </w:rPr>
        <w:t xml:space="preserve">0</w:t>
      </w:r>
      <w:r>
        <w:rPr>
          <w:b/>
        </w:rPr>
        <w:t xml:space="preserve">1</w:t>
      </w:r>
      <w:r>
        <w:rPr>
          <w:b/>
        </w:rPr>
        <w:t xml:space="preserve">.</w:t>
      </w:r>
      <w:r>
        <w:rPr>
          <w:b/>
        </w:rPr>
        <w:t xml:space="preserve">1</w:t>
      </w:r>
      <w:r>
        <w:rPr>
          <w:b/>
        </w:rPr>
        <w:t xml:space="preserve">1.202</w:t>
      </w:r>
      <w:r>
        <w:rPr>
          <w:b/>
        </w:rPr>
        <w:t xml:space="preserve">4</w:t>
      </w:r>
      <w:r>
        <w:rPr>
          <w:b/>
        </w:rPr>
        <w:t xml:space="preserve"> № </w:t>
      </w:r>
      <w:r>
        <w:rPr>
          <w:b/>
        </w:rPr>
        <w:t xml:space="preserve">1</w:t>
      </w:r>
      <w:r>
        <w:rPr>
          <w:b/>
        </w:rPr>
        <w:t xml:space="preserve">712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</w:t>
      </w:r>
      <w:r>
        <w:rPr>
          <w:rFonts w:eastAsia="Times New Roman"/>
          <w:sz w:val="24"/>
          <w:szCs w:val="24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rFonts w:eastAsia="Times New Roman"/>
          <w:sz w:val="24"/>
          <w:szCs w:val="24"/>
        </w:rPr>
        <w:t xml:space="preserve">я</w:t>
      </w:r>
      <w:r>
        <w:rPr>
          <w:rFonts w:eastAsia="Times New Roman"/>
          <w:sz w:val="24"/>
          <w:szCs w:val="24"/>
        </w:rPr>
        <w:t xml:space="preserve">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Обеспечение общественного порядка и безопасности населения</w:t>
      </w:r>
      <w:r>
        <w:rPr>
          <w:bCs/>
          <w:sz w:val="24"/>
          <w:szCs w:val="24"/>
        </w:rPr>
        <w:t xml:space="preserve">» на 202</w:t>
      </w:r>
      <w:r>
        <w:rPr>
          <w:bCs/>
          <w:sz w:val="24"/>
          <w:szCs w:val="24"/>
        </w:rPr>
        <w:t xml:space="preserve">5 </w:t>
      </w:r>
      <w:r>
        <w:rPr>
          <w:bCs/>
          <w:sz w:val="24"/>
          <w:szCs w:val="24"/>
        </w:rPr>
        <w:t xml:space="preserve">- 202</w:t>
      </w:r>
      <w:r>
        <w:rPr>
          <w:bCs/>
          <w:sz w:val="24"/>
          <w:szCs w:val="24"/>
        </w:rPr>
        <w:t xml:space="preserve">7</w:t>
      </w:r>
      <w:r>
        <w:rPr>
          <w:bCs/>
          <w:sz w:val="24"/>
          <w:szCs w:val="24"/>
        </w:rPr>
        <w:t xml:space="preserve"> годы</w:t>
      </w:r>
      <w:r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утвержденную постановлением 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712</w:t>
      </w:r>
      <w:r>
        <w:rPr>
          <w:sz w:val="24"/>
          <w:szCs w:val="24"/>
        </w:rPr>
        <w:t xml:space="preserve"> (в редакции постановления администрации Печен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ского муниципального округа от </w:t>
      </w:r>
      <w:r>
        <w:rPr>
          <w:sz w:val="24"/>
          <w:szCs w:val="24"/>
        </w:rPr>
        <w:t xml:space="preserve">05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.2025 № 17</w:t>
      </w:r>
      <w:r>
        <w:rPr>
          <w:sz w:val="24"/>
          <w:szCs w:val="24"/>
        </w:rPr>
        <w:t xml:space="preserve">88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далее -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numPr>
          <w:ilvl w:val="0"/>
          <w:numId w:val="12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строку «Финансовое обеспечение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05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4"/>
        <w:gridCol w:w="7091"/>
      </w:tblGrid>
      <w:tr>
        <w:tblPrEx/>
        <w:trPr>
          <w:jc w:val="center"/>
          <w:trHeight w:val="4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1" w:type="dxa"/>
            <w:textDirection w:val="lrTb"/>
            <w:noWrap w:val="false"/>
          </w:tcPr>
          <w:p>
            <w:pPr>
              <w:pStyle w:val="87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78 489,5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9113,7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3037,9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3037,9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3037,9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69375,8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30576,3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19393,5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19406,0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numPr>
          <w:ilvl w:val="0"/>
          <w:numId w:val="13"/>
        </w:numPr>
        <w:ind w:left="0" w:firstLine="709"/>
        <w:jc w:val="both"/>
        <w:tabs>
          <w:tab w:val="left" w:pos="0" w:leader="none"/>
          <w:tab w:val="left" w:pos="851" w:leader="none"/>
          <w:tab w:val="left" w:pos="993" w:leader="none"/>
          <w:tab w:val="left" w:pos="1134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строки 2.2.4, 2.2.5, 2.2.9, 2,3</w:t>
      </w:r>
      <w:r>
        <w:rPr>
          <w:sz w:val="24"/>
          <w:szCs w:val="24"/>
        </w:rPr>
        <w:t xml:space="preserve">.7, 2.4.2, и 2.4.3 в таблице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48" w:vertAnchor="text" w:tblpY="1" w:leftFromText="181" w:topFromText="0" w:rightFromText="181" w:bottomFromText="0"/>
        <w:tblW w:w="94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727"/>
        <w:gridCol w:w="709"/>
        <w:gridCol w:w="709"/>
        <w:gridCol w:w="708"/>
        <w:gridCol w:w="709"/>
        <w:gridCol w:w="851"/>
        <w:gridCol w:w="850"/>
        <w:gridCol w:w="1418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lang w:eastAsia="en-US" w:bidi="en-US"/>
              </w:rPr>
              <w:t xml:space="preserve">«2.2.4.</w:t>
            </w:r>
            <w:r/>
          </w:p>
        </w:tc>
        <w:tc>
          <w:tcPr>
            <w:tcW w:w="2727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Количество несовершеннолетних, привлеченных к административной ответственности за совершение правонарушений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Чел.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51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25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23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20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19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  <w:t xml:space="preserve">Отчет Комиссии ПДН и ЗП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2.2.5.</w:t>
            </w:r>
            <w:r>
              <w:rPr>
                <w:lang w:eastAsia="en-US" w:bidi="en-US"/>
              </w:rPr>
            </w:r>
            <w:r>
              <w:rPr>
                <w:lang w:eastAsia="en-US" w:bidi="en-US"/>
              </w:rPr>
            </w:r>
          </w:p>
        </w:tc>
        <w:tc>
          <w:tcPr>
            <w:tcW w:w="2727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Количество преступлений и правонарушений, совершенных несовершеннолетними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Шт.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11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6</w:t>
            </w:r>
            <w:r/>
          </w:p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6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2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1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  <w:t xml:space="preserve">Отчеты исполнителей, соисполнителей 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2.2.9.</w:t>
            </w:r>
            <w:r>
              <w:rPr>
                <w:lang w:eastAsia="en-US" w:bidi="en-US"/>
              </w:rPr>
            </w:r>
            <w:r>
              <w:rPr>
                <w:lang w:eastAsia="en-US" w:bidi="en-US"/>
              </w:rPr>
            </w:r>
          </w:p>
        </w:tc>
        <w:tc>
          <w:tcPr>
            <w:tcW w:w="2727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Приобретение печатной продукции профилактической направленности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Шт.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-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289</w:t>
            </w:r>
            <w:r/>
          </w:p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1400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Не менее 80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Не менее 80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  <w:t xml:space="preserve">Отчет отдела ГО, ЧС и ПБ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2.3.7.</w:t>
            </w:r>
            <w:r>
              <w:rPr>
                <w:lang w:eastAsia="en-US" w:bidi="en-US"/>
              </w:rPr>
            </w:r>
            <w:r>
              <w:rPr>
                <w:lang w:eastAsia="en-US" w:bidi="en-US"/>
              </w:rPr>
            </w:r>
          </w:p>
        </w:tc>
        <w:tc>
          <w:tcPr>
            <w:tcW w:w="2727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Количество приобретенных и установленных </w:t>
            </w:r>
            <w:r>
              <w:rPr>
                <w:lang w:val="en-US"/>
              </w:rPr>
              <w:t xml:space="preserve">IP</w:t>
            </w:r>
            <w:r>
              <w:t xml:space="preserve">-камер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Шт.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10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8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12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Не менее 8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Не менее 8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  <w:t xml:space="preserve">Отчет отдела ГО, ЧС и ПБ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2.4.2.</w:t>
            </w:r>
            <w:r>
              <w:rPr>
                <w:lang w:eastAsia="en-US" w:bidi="en-US"/>
              </w:rPr>
            </w:r>
            <w:r>
              <w:rPr>
                <w:lang w:eastAsia="en-US" w:bidi="en-US"/>
              </w:rPr>
            </w:r>
          </w:p>
        </w:tc>
        <w:tc>
          <w:tcPr>
            <w:tcW w:w="2727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Количество размещенной информации по профилактике терроризма и экстремизма в СМИ, на сайте Печенгского муниципального округа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Шт.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28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22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61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Не менее 20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Не менее 20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  <w:t xml:space="preserve">Отчет отдела ГО, ЧС и ПБ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2.4.3.</w:t>
            </w:r>
            <w:r>
              <w:rPr>
                <w:lang w:eastAsia="en-US" w:bidi="en-US"/>
              </w:rPr>
            </w:r>
            <w:r>
              <w:rPr>
                <w:lang w:eastAsia="en-US" w:bidi="en-US"/>
              </w:rPr>
            </w:r>
          </w:p>
        </w:tc>
        <w:tc>
          <w:tcPr>
            <w:tcW w:w="2727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Количество публикаций о порядке действий при угрозе возникновения террористических актов посредством размещения информации в СМИ, на сайте Печенгского муниципального округа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Шт.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5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5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6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Не менее 2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outlineLvl w:val="1"/>
            </w:pPr>
            <w:r>
              <w:t xml:space="preserve">Не менее 2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567" w:leader="none"/>
              </w:tabs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  <w:t xml:space="preserve">Отчет отдела ГО, ЧС и ПБ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numPr>
          <w:ilvl w:val="0"/>
          <w:numId w:val="12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строку «Финансовое обеспечение программы» в паспорте Подпрограммы 1 «Повышение безопасности дорожного движения и снижение дорожно-транспортного травматизма» (далее – Подпрограмма 1)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4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524"/>
        <w:gridCol w:w="6918"/>
      </w:tblGrid>
      <w:tr>
        <w:tblPrEx/>
        <w:trPr>
          <w:jc w:val="center"/>
          <w:trHeight w:val="140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4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18" w:type="dxa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12,5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12,5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numPr>
          <w:ilvl w:val="0"/>
          <w:numId w:val="15"/>
        </w:numPr>
        <w:ind w:left="0" w:right="0" w:firstLine="709"/>
        <w:jc w:val="both"/>
        <w:widowControl w:val="off"/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строк</w:t>
      </w:r>
      <w:r>
        <w:rPr>
          <w:rFonts w:eastAsia="Times New Roman"/>
          <w:sz w:val="24"/>
          <w:szCs w:val="24"/>
        </w:rPr>
        <w:t xml:space="preserve">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1</w:t>
      </w:r>
      <w:r>
        <w:rPr>
          <w:rFonts w:eastAsia="Times New Roman"/>
          <w:sz w:val="24"/>
          <w:szCs w:val="24"/>
        </w:rPr>
        <w:t xml:space="preserve">.1.</w:t>
      </w:r>
      <w:r>
        <w:rPr>
          <w:rFonts w:eastAsia="Times New Roman"/>
          <w:sz w:val="24"/>
          <w:szCs w:val="24"/>
        </w:rPr>
        <w:t xml:space="preserve">4</w:t>
      </w:r>
      <w:r>
        <w:rPr>
          <w:rFonts w:eastAsia="Times New Roman"/>
          <w:sz w:val="24"/>
          <w:szCs w:val="24"/>
        </w:rPr>
        <w:t xml:space="preserve">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«</w:t>
      </w:r>
      <w:r>
        <w:rPr>
          <w:rFonts w:eastAsia="Times New Roman"/>
          <w:sz w:val="24"/>
          <w:szCs w:val="24"/>
        </w:rPr>
        <w:t xml:space="preserve">Итого по основному мероприятию</w:t>
      </w:r>
      <w:r>
        <w:rPr>
          <w:rFonts w:eastAsia="Times New Roman"/>
          <w:sz w:val="24"/>
          <w:szCs w:val="24"/>
        </w:rPr>
        <w:t xml:space="preserve"> 1</w:t>
      </w:r>
      <w:r>
        <w:rPr>
          <w:rFonts w:eastAsia="Times New Roman"/>
          <w:sz w:val="24"/>
          <w:szCs w:val="24"/>
        </w:rPr>
        <w:t xml:space="preserve">», «Всего по подпрограмме 1»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таблицы 1 «Перечень мероприятий подпрограммы с объемом финансирования» к Подпрограмме </w:t>
      </w:r>
      <w:r>
        <w:rPr>
          <w:rFonts w:eastAsia="Times New Roman"/>
          <w:sz w:val="24"/>
          <w:szCs w:val="24"/>
        </w:rPr>
        <w:t xml:space="preserve">1</w:t>
      </w:r>
      <w:r>
        <w:rPr>
          <w:rFonts w:eastAsia="Times New Roman"/>
          <w:sz w:val="24"/>
          <w:szCs w:val="24"/>
        </w:rPr>
        <w:t xml:space="preserve">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708"/>
        <w:gridCol w:w="993"/>
        <w:gridCol w:w="850"/>
        <w:gridCol w:w="992"/>
        <w:gridCol w:w="851"/>
        <w:gridCol w:w="850"/>
        <w:gridCol w:w="993"/>
      </w:tblGrid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</w:t>
            </w:r>
            <w:r>
              <w:rPr>
                <w:rFonts w:eastAsia="Times New Roman"/>
                <w:spacing w:val="1"/>
              </w:rPr>
              <w:t xml:space="preserve">1.1.4.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410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Устранение нарушений требований законодательства по безопасности дорожного движения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МКУ «УБиР»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410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410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2012,5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2012,5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410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410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2012,5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2012,5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основному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 мероприятию 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2012,5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2012,5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76"/>
        </w:trPr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2012,5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2012,5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Всего по подпрограмме 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color w:val="ff0000"/>
                <w:spacing w:val="1"/>
              </w:rPr>
            </w:pPr>
            <w:r>
              <w:rPr>
                <w:rFonts w:eastAsia="Times New Roman"/>
                <w:b/>
                <w:color w:val="ff0000"/>
                <w:spacing w:val="1"/>
              </w:rPr>
            </w:r>
            <w:r>
              <w:rPr>
                <w:rFonts w:eastAsia="Times New Roman"/>
                <w:b/>
                <w:color w:val="ff0000"/>
                <w:spacing w:val="1"/>
              </w:rPr>
            </w:r>
            <w:r>
              <w:rPr>
                <w:rFonts w:eastAsia="Times New Roman"/>
                <w:b/>
                <w:color w:val="ff0000"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color w:val="ff0000"/>
                <w:spacing w:val="1"/>
              </w:rPr>
            </w:pPr>
            <w:r>
              <w:rPr>
                <w:rFonts w:eastAsia="Times New Roman"/>
                <w:b/>
                <w:color w:val="ff0000"/>
                <w:spacing w:val="1"/>
              </w:rPr>
            </w:r>
            <w:r>
              <w:rPr>
                <w:rFonts w:eastAsia="Times New Roman"/>
                <w:b/>
                <w:color w:val="ff0000"/>
                <w:spacing w:val="1"/>
              </w:rPr>
            </w:r>
            <w:r>
              <w:rPr>
                <w:rFonts w:eastAsia="Times New Roman"/>
                <w:b/>
                <w:color w:val="ff0000"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2012,5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2012,5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51"/>
        </w:trPr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color w:val="ff0000"/>
                <w:spacing w:val="1"/>
              </w:rPr>
            </w:pPr>
            <w:r>
              <w:rPr>
                <w:rFonts w:eastAsia="Times New Roman"/>
                <w:b/>
                <w:color w:val="ff0000"/>
                <w:spacing w:val="1"/>
              </w:rPr>
            </w:r>
            <w:r>
              <w:rPr>
                <w:rFonts w:eastAsia="Times New Roman"/>
                <w:b/>
                <w:color w:val="ff0000"/>
                <w:spacing w:val="1"/>
              </w:rPr>
            </w:r>
            <w:r>
              <w:rPr>
                <w:rFonts w:eastAsia="Times New Roman"/>
                <w:b/>
                <w:color w:val="ff0000"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color w:val="ff0000"/>
                <w:spacing w:val="1"/>
              </w:rPr>
            </w:pPr>
            <w:r>
              <w:rPr>
                <w:rFonts w:eastAsia="Times New Roman"/>
                <w:b/>
                <w:color w:val="ff0000"/>
                <w:spacing w:val="1"/>
              </w:rPr>
            </w:r>
            <w:r>
              <w:rPr>
                <w:rFonts w:eastAsia="Times New Roman"/>
                <w:b/>
                <w:color w:val="ff0000"/>
                <w:spacing w:val="1"/>
              </w:rPr>
            </w:r>
            <w:r>
              <w:rPr>
                <w:rFonts w:eastAsia="Times New Roman"/>
                <w:b/>
                <w:color w:val="ff0000"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2012,5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2012,5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  <w:t xml:space="preserve">»;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numPr>
          <w:ilvl w:val="0"/>
          <w:numId w:val="14"/>
        </w:numPr>
        <w:ind w:left="0"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  <w:t xml:space="preserve">строки 2.2.2, 2.2.3 и 2.2.7 таблицы 2 «Перечень мероприятий подпрограммы с показателями результативности выполнения мероприятий» к Подпрограмме 2 «Профилактика правонарушений» (далее – Подпрограмма 2)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79"/>
        <w:tblW w:w="9498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850"/>
        <w:gridCol w:w="1843"/>
        <w:gridCol w:w="709"/>
        <w:gridCol w:w="708"/>
        <w:gridCol w:w="851"/>
        <w:gridCol w:w="850"/>
        <w:gridCol w:w="993"/>
      </w:tblGrid>
      <w:tr>
        <w:tblPrEx/>
        <w:trPr>
          <w:trHeight w:val="1255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«2.2.2.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Мероприятия по профилактике правонарушений среди несовершеннолетних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2025-2027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несовершеннолетних, привлеченных к административной ответственности за совершение правонарушений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Чел.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23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20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19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Комиссия ПДН и ЗП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1255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2.2.3.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Проведение межведомственных операций в сфере профилактики безнадзорности и правонарушений, совершенных несовершеннолетними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2025-2027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преступлений и правонарушений, совершенных несовершеннолетними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Комиссия ПДН и ЗП, ОМВД России «Печенгский»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1255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2.2.7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Информационно-пропагандистское сопровождение профилактики преступлений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2025-2027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Приобретение печатной продукции профилактической направленности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1400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80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80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»;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numPr>
          <w:ilvl w:val="0"/>
          <w:numId w:val="12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строку «Финансовое обеспечение программы» в паспорте Подпрограммы 3 «Обеспечение защиты населения и территорий от чрезвычайных ситуаций» (далее – Подпрограмма 3)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7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47"/>
        <w:gridCol w:w="7125"/>
      </w:tblGrid>
      <w:tr>
        <w:tblPrEx/>
        <w:trPr>
          <w:jc w:val="center"/>
          <w:trHeight w:val="5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7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25" w:type="dxa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957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0957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19253,5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19266,0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numPr>
          <w:ilvl w:val="0"/>
          <w:numId w:val="16"/>
        </w:numPr>
        <w:ind w:left="0" w:righ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строки </w:t>
      </w: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.1.4</w:t>
      </w:r>
      <w:r>
        <w:rPr>
          <w:rFonts w:eastAsia="Times New Roman"/>
          <w:sz w:val="24"/>
          <w:szCs w:val="24"/>
        </w:rPr>
        <w:t xml:space="preserve">, «Итого по основному мероприятию 1»,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  <w:t xml:space="preserve">4</w:t>
      </w:r>
      <w:r>
        <w:rPr>
          <w:rFonts w:eastAsia="Times New Roman"/>
          <w:sz w:val="24"/>
          <w:szCs w:val="24"/>
        </w:rPr>
        <w:t xml:space="preserve">, «</w:t>
      </w:r>
      <w:r>
        <w:rPr>
          <w:rFonts w:eastAsia="Times New Roman"/>
          <w:sz w:val="24"/>
          <w:szCs w:val="24"/>
        </w:rPr>
        <w:t xml:space="preserve">Итого по основному мероприятию</w:t>
      </w:r>
      <w:r>
        <w:rPr>
          <w:rFonts w:eastAsia="Times New Roman"/>
          <w:sz w:val="24"/>
          <w:szCs w:val="24"/>
        </w:rPr>
        <w:t xml:space="preserve"> 2</w:t>
      </w:r>
      <w:r>
        <w:rPr>
          <w:rFonts w:eastAsia="Times New Roman"/>
          <w:sz w:val="24"/>
          <w:szCs w:val="24"/>
        </w:rPr>
        <w:t xml:space="preserve">», «Всего по подпрограмме 3»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таблицы 1 «Перечень мероприятий подпрограммы с объемом финансирования» к Подпрограмме </w:t>
      </w: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708"/>
        <w:gridCol w:w="993"/>
        <w:gridCol w:w="992"/>
        <w:gridCol w:w="992"/>
        <w:gridCol w:w="992"/>
        <w:gridCol w:w="1134"/>
        <w:gridCol w:w="993"/>
      </w:tblGrid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</w:t>
            </w:r>
            <w:r>
              <w:rPr>
                <w:rFonts w:eastAsia="Times New Roman"/>
                <w:spacing w:val="1"/>
              </w:rPr>
              <w:t xml:space="preserve">3.1.4.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Проведение работ по обеспечению пожарной безопасности в период летнего пожароопасного периода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lang w:val="en-US"/>
              </w:rPr>
            </w:pPr>
            <w:r>
              <w:rPr>
                <w:rFonts w:eastAsia="Times New Roman"/>
                <w:spacing w:val="1"/>
              </w:rPr>
              <w:t xml:space="preserve">4</w:t>
            </w:r>
            <w:r>
              <w:rPr>
                <w:rFonts w:eastAsia="Times New Roman"/>
                <w:spacing w:val="1"/>
              </w:rPr>
              <w:t xml:space="preserve">28</w:t>
            </w:r>
            <w:r>
              <w:rPr>
                <w:rFonts w:eastAsia="Times New Roman"/>
                <w:spacing w:val="1"/>
              </w:rPr>
              <w:t xml:space="preserve">,</w:t>
            </w:r>
            <w:r>
              <w:rPr>
                <w:rFonts w:eastAsia="Times New Roman"/>
                <w:spacing w:val="1"/>
                <w:lang w:val="en-US"/>
              </w:rPr>
              <w:t xml:space="preserve">8</w:t>
            </w:r>
            <w:r>
              <w:rPr>
                <w:rFonts w:eastAsia="Times New Roman"/>
                <w:spacing w:val="1"/>
                <w:lang w:val="en-US"/>
              </w:rPr>
            </w:r>
            <w:r>
              <w:rPr>
                <w:rFonts w:eastAsia="Times New Roman"/>
                <w:spacing w:val="1"/>
                <w:lang w:val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</w:t>
            </w:r>
            <w:r>
              <w:rPr>
                <w:rFonts w:eastAsia="Times New Roman"/>
                <w:spacing w:val="1"/>
              </w:rPr>
              <w:t xml:space="preserve">28</w:t>
            </w:r>
            <w:r>
              <w:rPr>
                <w:rFonts w:eastAsia="Times New Roman"/>
                <w:spacing w:val="1"/>
              </w:rPr>
              <w:t xml:space="preserve">,</w:t>
            </w:r>
            <w:r>
              <w:rPr>
                <w:rFonts w:eastAsia="Times New Roman"/>
                <w:spacing w:val="1"/>
              </w:rPr>
              <w:t xml:space="preserve">8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100,0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100,0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10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4</w:t>
            </w:r>
            <w:r>
              <w:rPr>
                <w:rFonts w:eastAsia="Times New Roman"/>
                <w:b/>
                <w:spacing w:val="1"/>
              </w:rPr>
              <w:t xml:space="preserve">28</w:t>
            </w:r>
            <w:r>
              <w:rPr>
                <w:rFonts w:eastAsia="Times New Roman"/>
                <w:b/>
                <w:spacing w:val="1"/>
              </w:rPr>
              <w:t xml:space="preserve">,</w:t>
            </w:r>
            <w:r>
              <w:rPr>
                <w:rFonts w:eastAsia="Times New Roman"/>
                <w:b/>
                <w:spacing w:val="1"/>
              </w:rPr>
              <w:t xml:space="preserve">8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</w:t>
            </w:r>
            <w:r>
              <w:rPr>
                <w:rFonts w:eastAsia="Times New Roman"/>
                <w:b/>
                <w:spacing w:val="1"/>
              </w:rPr>
              <w:t xml:space="preserve">28</w:t>
            </w:r>
            <w:r>
              <w:rPr>
                <w:rFonts w:eastAsia="Times New Roman"/>
                <w:b/>
                <w:spacing w:val="1"/>
              </w:rPr>
              <w:t xml:space="preserve">,</w:t>
            </w:r>
            <w:r>
              <w:rPr>
                <w:rFonts w:eastAsia="Times New Roman"/>
                <w:b/>
                <w:spacing w:val="1"/>
              </w:rPr>
              <w:t xml:space="preserve">8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основному 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мероприятию 1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125</w:t>
            </w:r>
            <w:r>
              <w:rPr>
                <w:rFonts w:eastAsia="Times New Roman"/>
                <w:b/>
                <w:spacing w:val="1"/>
              </w:rPr>
              <w:t xml:space="preserve">3</w:t>
            </w:r>
            <w:r>
              <w:rPr>
                <w:rFonts w:eastAsia="Times New Roman"/>
                <w:b/>
                <w:spacing w:val="1"/>
              </w:rPr>
              <w:t xml:space="preserve">,</w:t>
            </w:r>
            <w:r>
              <w:rPr>
                <w:rFonts w:eastAsia="Times New Roman"/>
                <w:b/>
                <w:spacing w:val="1"/>
              </w:rPr>
              <w:t xml:space="preserve">9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105</w:t>
            </w:r>
            <w:r>
              <w:rPr>
                <w:rFonts w:eastAsia="Times New Roman"/>
                <w:b/>
                <w:spacing w:val="1"/>
              </w:rPr>
              <w:t xml:space="preserve">3</w:t>
            </w:r>
            <w:r>
              <w:rPr>
                <w:rFonts w:eastAsia="Times New Roman"/>
                <w:b/>
                <w:spacing w:val="1"/>
              </w:rPr>
              <w:t xml:space="preserve">,</w:t>
            </w:r>
            <w:r>
              <w:rPr>
                <w:rFonts w:eastAsia="Times New Roman"/>
                <w:b/>
                <w:spacing w:val="1"/>
              </w:rPr>
              <w:t xml:space="preserve">9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76"/>
        </w:trPr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125</w:t>
            </w:r>
            <w:r>
              <w:rPr>
                <w:rFonts w:eastAsia="Times New Roman"/>
                <w:b/>
                <w:spacing w:val="1"/>
              </w:rPr>
              <w:t xml:space="preserve">3</w:t>
            </w:r>
            <w:r>
              <w:rPr>
                <w:rFonts w:eastAsia="Times New Roman"/>
                <w:b/>
                <w:spacing w:val="1"/>
              </w:rPr>
              <w:t xml:space="preserve">,</w:t>
            </w:r>
            <w:r>
              <w:rPr>
                <w:rFonts w:eastAsia="Times New Roman"/>
                <w:b/>
                <w:spacing w:val="1"/>
              </w:rPr>
              <w:t xml:space="preserve">9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105</w:t>
            </w:r>
            <w:r>
              <w:rPr>
                <w:rFonts w:eastAsia="Times New Roman"/>
                <w:b/>
                <w:spacing w:val="1"/>
              </w:rPr>
              <w:t xml:space="preserve">3</w:t>
            </w:r>
            <w:r>
              <w:rPr>
                <w:rFonts w:eastAsia="Times New Roman"/>
                <w:b/>
                <w:spacing w:val="1"/>
              </w:rPr>
              <w:t xml:space="preserve">,</w:t>
            </w:r>
            <w:r>
              <w:rPr>
                <w:rFonts w:eastAsia="Times New Roman"/>
                <w:b/>
                <w:spacing w:val="1"/>
              </w:rPr>
              <w:t xml:space="preserve">9</w:t>
            </w:r>
            <w:bookmarkStart w:id="0" w:name="_GoBack"/>
            <w:r/>
            <w:bookmarkEnd w:id="0"/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100,0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3.2.4.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Обеспечение функционирования МКУ «ЕДДС Печенгского муниципального округа»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МКУ «ЕДДС»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57</w:t>
            </w:r>
            <w:r>
              <w:rPr>
                <w:rFonts w:eastAsia="Times New Roman"/>
                <w:spacing w:val="1"/>
              </w:rPr>
              <w:t xml:space="preserve">358</w:t>
            </w:r>
            <w:r>
              <w:rPr>
                <w:rFonts w:eastAsia="Times New Roman"/>
                <w:spacing w:val="1"/>
              </w:rPr>
              <w:t xml:space="preserve">,</w:t>
            </w:r>
            <w:r>
              <w:rPr>
                <w:rFonts w:eastAsia="Times New Roman"/>
                <w:spacing w:val="1"/>
              </w:rPr>
              <w:t xml:space="preserve">5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205</w:t>
            </w:r>
            <w:r>
              <w:rPr>
                <w:rFonts w:eastAsia="Times New Roman"/>
                <w:spacing w:val="1"/>
              </w:rPr>
              <w:t xml:space="preserve">49</w:t>
            </w:r>
            <w:r>
              <w:rPr>
                <w:rFonts w:eastAsia="Times New Roman"/>
                <w:spacing w:val="1"/>
              </w:rPr>
              <w:t xml:space="preserve">,</w:t>
            </w:r>
            <w:r>
              <w:rPr>
                <w:rFonts w:eastAsia="Times New Roman"/>
                <w:spacing w:val="1"/>
              </w:rPr>
              <w:t xml:space="preserve">4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18398,3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18410,8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color w:val="ff0000"/>
                <w:spacing w:val="1"/>
              </w:rPr>
            </w:pP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color w:val="ff0000"/>
                <w:spacing w:val="1"/>
              </w:rPr>
            </w:pP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color w:val="ff0000"/>
                <w:spacing w:val="1"/>
              </w:rPr>
            </w:pP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  <w:r>
              <w:rPr>
                <w:rFonts w:eastAsia="Times New Roman"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57</w:t>
            </w:r>
            <w:r>
              <w:rPr>
                <w:rFonts w:eastAsia="Times New Roman"/>
                <w:b/>
                <w:spacing w:val="1"/>
              </w:rPr>
              <w:t xml:space="preserve">358</w:t>
            </w:r>
            <w:r>
              <w:rPr>
                <w:rFonts w:eastAsia="Times New Roman"/>
                <w:b/>
                <w:spacing w:val="1"/>
              </w:rPr>
              <w:t xml:space="preserve">,</w:t>
            </w:r>
            <w:r>
              <w:rPr>
                <w:rFonts w:eastAsia="Times New Roman"/>
                <w:b/>
                <w:spacing w:val="1"/>
              </w:rPr>
              <w:t xml:space="preserve">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20</w:t>
            </w:r>
            <w:r>
              <w:rPr>
                <w:rFonts w:eastAsia="Times New Roman"/>
                <w:b/>
                <w:spacing w:val="1"/>
              </w:rPr>
              <w:t xml:space="preserve">549</w:t>
            </w:r>
            <w:r>
              <w:rPr>
                <w:rFonts w:eastAsia="Times New Roman"/>
                <w:b/>
                <w:spacing w:val="1"/>
              </w:rPr>
              <w:t xml:space="preserve">,</w:t>
            </w:r>
            <w:r>
              <w:rPr>
                <w:rFonts w:eastAsia="Times New Roman"/>
                <w:b/>
                <w:spacing w:val="1"/>
              </w:rPr>
              <w:t xml:space="preserve">4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18398,3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18410,8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основному 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мероприятию 2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color w:val="ff0000"/>
                <w:spacing w:val="1"/>
              </w:rPr>
            </w:pPr>
            <w:r>
              <w:rPr>
                <w:rFonts w:eastAsia="Times New Roman"/>
                <w:b/>
                <w:color w:val="ff0000"/>
                <w:spacing w:val="1"/>
              </w:rPr>
            </w:r>
            <w:r>
              <w:rPr>
                <w:rFonts w:eastAsia="Times New Roman"/>
                <w:b/>
                <w:color w:val="ff0000"/>
                <w:spacing w:val="1"/>
              </w:rPr>
            </w:r>
            <w:r>
              <w:rPr>
                <w:rFonts w:eastAsia="Times New Roman"/>
                <w:b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  <w:lang w:val="en-US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  <w:lang w:val="en-US"/>
              </w:rPr>
            </w:r>
            <w:r>
              <w:rPr>
                <w:rFonts w:eastAsia="Times New Roman"/>
                <w:b/>
                <w:spacing w:val="1"/>
                <w:lang w:val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color w:val="ff0000"/>
                <w:spacing w:val="1"/>
              </w:rPr>
            </w:pPr>
            <w:r>
              <w:rPr>
                <w:rFonts w:eastAsia="Times New Roman"/>
                <w:b/>
                <w:color w:val="ff0000"/>
                <w:spacing w:val="1"/>
              </w:rPr>
            </w:r>
            <w:r>
              <w:rPr>
                <w:rFonts w:eastAsia="Times New Roman"/>
                <w:b/>
                <w:color w:val="ff0000"/>
                <w:spacing w:val="1"/>
              </w:rPr>
            </w:r>
            <w:r>
              <w:rPr>
                <w:rFonts w:eastAsia="Times New Roman"/>
                <w:b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</w:t>
            </w:r>
            <w:r>
              <w:rPr>
                <w:rFonts w:eastAsia="Times New Roman"/>
                <w:b/>
                <w:spacing w:val="1"/>
              </w:rPr>
              <w:t xml:space="preserve">704</w:t>
            </w:r>
            <w:r>
              <w:rPr>
                <w:rFonts w:eastAsia="Times New Roman"/>
                <w:b/>
                <w:spacing w:val="1"/>
              </w:rPr>
              <w:t xml:space="preserve">,</w:t>
            </w:r>
            <w:r>
              <w:rPr>
                <w:rFonts w:eastAsia="Times New Roman"/>
                <w:b/>
                <w:spacing w:val="1"/>
              </w:rPr>
              <w:t xml:space="preserve">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21</w:t>
            </w:r>
            <w:r>
              <w:rPr>
                <w:rFonts w:eastAsia="Times New Roman"/>
                <w:b/>
                <w:spacing w:val="1"/>
              </w:rPr>
              <w:t xml:space="preserve">384</w:t>
            </w:r>
            <w:r>
              <w:rPr>
                <w:rFonts w:eastAsia="Times New Roman"/>
                <w:b/>
                <w:spacing w:val="1"/>
              </w:rPr>
              <w:t xml:space="preserve">,</w:t>
            </w:r>
            <w:r>
              <w:rPr>
                <w:rFonts w:eastAsia="Times New Roman"/>
                <w:b/>
                <w:spacing w:val="1"/>
              </w:rPr>
              <w:t xml:space="preserve">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19153,5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19166,0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color w:val="ff0000"/>
                <w:spacing w:val="1"/>
              </w:rPr>
            </w:pPr>
            <w:r>
              <w:rPr>
                <w:rFonts w:eastAsia="Times New Roman"/>
                <w:b/>
                <w:color w:val="ff0000"/>
                <w:spacing w:val="1"/>
              </w:rPr>
            </w:r>
            <w:r>
              <w:rPr>
                <w:rFonts w:eastAsia="Times New Roman"/>
                <w:b/>
                <w:color w:val="ff0000"/>
                <w:spacing w:val="1"/>
              </w:rPr>
            </w:r>
            <w:r>
              <w:rPr>
                <w:rFonts w:eastAsia="Times New Roman"/>
                <w:b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color w:val="ff0000"/>
                <w:spacing w:val="1"/>
              </w:rPr>
            </w:pPr>
            <w:r>
              <w:rPr>
                <w:rFonts w:eastAsia="Times New Roman"/>
                <w:b/>
                <w:color w:val="ff0000"/>
                <w:spacing w:val="1"/>
              </w:rPr>
            </w:r>
            <w:r>
              <w:rPr>
                <w:rFonts w:eastAsia="Times New Roman"/>
                <w:b/>
                <w:color w:val="ff0000"/>
                <w:spacing w:val="1"/>
              </w:rPr>
            </w:r>
            <w:r>
              <w:rPr>
                <w:rFonts w:eastAsia="Times New Roman"/>
                <w:b/>
                <w:color w:val="ff0000"/>
                <w:spacing w:val="1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</w:t>
            </w:r>
            <w:r>
              <w:rPr>
                <w:rFonts w:eastAsia="Times New Roman"/>
                <w:b/>
                <w:spacing w:val="1"/>
              </w:rPr>
              <w:t xml:space="preserve">704</w:t>
            </w:r>
            <w:r>
              <w:rPr>
                <w:rFonts w:eastAsia="Times New Roman"/>
                <w:b/>
                <w:spacing w:val="1"/>
              </w:rPr>
              <w:t xml:space="preserve">,</w:t>
            </w:r>
            <w:r>
              <w:rPr>
                <w:rFonts w:eastAsia="Times New Roman"/>
                <w:b/>
                <w:spacing w:val="1"/>
              </w:rPr>
              <w:t xml:space="preserve">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21</w:t>
            </w:r>
            <w:r>
              <w:rPr>
                <w:rFonts w:eastAsia="Times New Roman"/>
                <w:b/>
                <w:spacing w:val="1"/>
              </w:rPr>
              <w:t xml:space="preserve">384</w:t>
            </w:r>
            <w:r>
              <w:rPr>
                <w:rFonts w:eastAsia="Times New Roman"/>
                <w:b/>
                <w:spacing w:val="1"/>
              </w:rPr>
              <w:t xml:space="preserve">,</w:t>
            </w:r>
            <w:r>
              <w:rPr>
                <w:rFonts w:eastAsia="Times New Roman"/>
                <w:b/>
                <w:spacing w:val="1"/>
              </w:rPr>
              <w:t xml:space="preserve">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19153,5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19166,0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Всего по подпрограмме 3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6</w:t>
            </w:r>
            <w:r>
              <w:rPr>
                <w:rFonts w:eastAsia="Times New Roman"/>
                <w:b/>
                <w:spacing w:val="1"/>
              </w:rPr>
              <w:t xml:space="preserve">0957</w:t>
            </w:r>
            <w:r>
              <w:rPr>
                <w:rFonts w:eastAsia="Times New Roman"/>
                <w:b/>
                <w:spacing w:val="1"/>
              </w:rPr>
              <w:t xml:space="preserve">,</w:t>
            </w:r>
            <w:r>
              <w:rPr>
                <w:rFonts w:eastAsia="Times New Roman"/>
                <w:b/>
                <w:spacing w:val="1"/>
              </w:rPr>
              <w:t xml:space="preserve">9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22</w:t>
            </w:r>
            <w:r>
              <w:rPr>
                <w:rFonts w:eastAsia="Times New Roman"/>
                <w:b/>
                <w:spacing w:val="1"/>
              </w:rPr>
              <w:t xml:space="preserve">438,4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19253,5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19266,0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51"/>
        </w:trPr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6</w:t>
            </w:r>
            <w:r>
              <w:rPr>
                <w:rFonts w:eastAsia="Times New Roman"/>
                <w:b/>
                <w:spacing w:val="1"/>
              </w:rPr>
              <w:t xml:space="preserve">0957</w:t>
            </w:r>
            <w:r>
              <w:rPr>
                <w:rFonts w:eastAsia="Times New Roman"/>
                <w:b/>
                <w:spacing w:val="1"/>
              </w:rPr>
              <w:t xml:space="preserve">,</w:t>
            </w:r>
            <w:r>
              <w:rPr>
                <w:rFonts w:eastAsia="Times New Roman"/>
                <w:b/>
                <w:spacing w:val="1"/>
              </w:rPr>
              <w:t xml:space="preserve">9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22</w:t>
            </w:r>
            <w:r>
              <w:rPr>
                <w:rFonts w:eastAsia="Times New Roman"/>
                <w:b/>
                <w:spacing w:val="1"/>
              </w:rPr>
              <w:t xml:space="preserve">438,4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19253,5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19266,0</w:t>
            </w:r>
            <w:r>
              <w:rPr>
                <w:rFonts w:eastAsia="Times New Roman"/>
                <w:b/>
                <w:spacing w:val="1"/>
              </w:rPr>
              <w:t xml:space="preserve">»;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numPr>
          <w:ilvl w:val="0"/>
          <w:numId w:val="14"/>
        </w:numPr>
        <w:ind w:left="0"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  <w:t xml:space="preserve">строку 3.2.2 таблицы 2 «Перечень мероприятий подпрограммы с показателями результативности выполнения мероприятий» к Подпрограмме 3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79"/>
        <w:tblW w:w="9498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1843"/>
        <w:gridCol w:w="709"/>
        <w:gridCol w:w="708"/>
        <w:gridCol w:w="851"/>
        <w:gridCol w:w="850"/>
        <w:gridCol w:w="993"/>
      </w:tblGrid>
      <w:tr>
        <w:tblPrEx/>
        <w:trPr>
          <w:trHeight w:val="1255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«3.2.2.</w:t>
            </w:r>
            <w:r/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Приобретение и установка сетевых</w:t>
            </w:r>
            <w:r>
              <w:t xml:space="preserve"> </w:t>
            </w:r>
            <w:r>
              <w:rPr>
                <w:lang w:val="en-US"/>
              </w:rPr>
              <w:t xml:space="preserve">IP</w:t>
            </w:r>
            <w:r>
              <w:t xml:space="preserve">-камер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2025-2027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приобретенных и установленных </w:t>
            </w:r>
            <w:r>
              <w:t xml:space="preserve">сетевых </w:t>
            </w:r>
            <w:r>
              <w:rPr>
                <w:lang w:val="en-US"/>
              </w:rPr>
              <w:t xml:space="preserve">IP</w:t>
            </w:r>
            <w:r>
              <w:t xml:space="preserve">-камер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12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8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8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ПБ»;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numPr>
          <w:ilvl w:val="0"/>
          <w:numId w:val="12"/>
        </w:numPr>
        <w:ind w:left="0" w:firstLine="709"/>
        <w:jc w:val="both"/>
        <w:tabs>
          <w:tab w:val="left" w:pos="0" w:leader="none"/>
          <w:tab w:val="left" w:pos="993" w:leader="none"/>
          <w:tab w:val="left" w:pos="2552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строку «Финансовое обеспечение программы» в паспорте Подпрограммы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Противодействие терроризму и профилактика экстремизма</w:t>
      </w:r>
      <w:r>
        <w:rPr>
          <w:sz w:val="24"/>
          <w:szCs w:val="24"/>
        </w:rPr>
        <w:t xml:space="preserve">» (далее – Подпрограмма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07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07"/>
        <w:gridCol w:w="7000"/>
      </w:tblGrid>
      <w:tr>
        <w:tblPrEx/>
        <w:trPr>
          <w:jc w:val="center"/>
          <w:trHeight w:val="19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07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0" w:type="dxa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6 375,4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6375,4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6115,4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130,0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130,0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73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3"/>
        <w:numPr>
          <w:ilvl w:val="0"/>
          <w:numId w:val="17"/>
        </w:numPr>
        <w:ind w:left="0" w:righ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строк</w:t>
      </w:r>
      <w:r>
        <w:rPr>
          <w:rFonts w:eastAsia="Times New Roman"/>
          <w:sz w:val="24"/>
          <w:szCs w:val="24"/>
        </w:rPr>
        <w:t xml:space="preserve">у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4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  <w:t xml:space="preserve">1, «</w:t>
      </w:r>
      <w:r>
        <w:rPr>
          <w:rFonts w:eastAsia="Times New Roman"/>
          <w:sz w:val="24"/>
          <w:szCs w:val="24"/>
        </w:rPr>
        <w:t xml:space="preserve">Итого по основному мероприятию</w:t>
      </w:r>
      <w:r>
        <w:rPr>
          <w:rFonts w:eastAsia="Times New Roman"/>
          <w:sz w:val="24"/>
          <w:szCs w:val="24"/>
        </w:rPr>
        <w:t xml:space="preserve"> 2</w:t>
      </w:r>
      <w:r>
        <w:rPr>
          <w:rFonts w:eastAsia="Times New Roman"/>
          <w:sz w:val="24"/>
          <w:szCs w:val="24"/>
        </w:rPr>
        <w:t xml:space="preserve">», «Всего по подпрограмме </w:t>
      </w:r>
      <w:r>
        <w:rPr>
          <w:rFonts w:eastAsia="Times New Roman"/>
          <w:sz w:val="24"/>
          <w:szCs w:val="24"/>
        </w:rPr>
        <w:t xml:space="preserve">4</w:t>
      </w:r>
      <w:r>
        <w:rPr>
          <w:rFonts w:eastAsia="Times New Roman"/>
          <w:sz w:val="24"/>
          <w:szCs w:val="24"/>
        </w:rPr>
        <w:t xml:space="preserve">»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таблицы 1 «Перечень мероприятий подпрограммы с объемом финансирования» к Подпрограмме </w:t>
      </w:r>
      <w:r>
        <w:rPr>
          <w:rFonts w:eastAsia="Times New Roman"/>
          <w:sz w:val="24"/>
          <w:szCs w:val="24"/>
        </w:rPr>
        <w:t xml:space="preserve">4</w:t>
      </w:r>
      <w:r>
        <w:rPr>
          <w:rFonts w:eastAsia="Times New Roman"/>
          <w:sz w:val="24"/>
          <w:szCs w:val="24"/>
        </w:rPr>
        <w:t xml:space="preserve">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992"/>
        <w:gridCol w:w="993"/>
        <w:gridCol w:w="850"/>
        <w:gridCol w:w="851"/>
        <w:gridCol w:w="850"/>
        <w:gridCol w:w="1418"/>
      </w:tblGrid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</w:t>
            </w:r>
            <w:r>
              <w:rPr>
                <w:rFonts w:eastAsia="Times New Roman"/>
                <w:spacing w:val="1"/>
              </w:rPr>
              <w:t xml:space="preserve">4.2.1.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Мероприятия по усилению антитеррористической защищенности объектов, находящихся в ведении Печенгского 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2025-2027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ПБ;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образовательные организации; МБКПУ «Печенгское МБО», </w:t>
            </w:r>
            <w:r>
              <w:rPr>
                <w:sz w:val="18"/>
                <w:szCs w:val="18"/>
              </w:rPr>
              <w:t xml:space="preserve">МБУ ДО «ДХШ», МБУ ДО «ДМШ», МБУ «ЦПиРМИ»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5985,4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5985,4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         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0,0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5985,4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5985,4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Итого по основному 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мероприятию 2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5985,4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5985,4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5985,4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5985,4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0,0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  <w:t xml:space="preserve">Всего по подпрограмме 4</w:t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6375,4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6115,4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>
          <w:trHeight w:val="251"/>
        </w:trPr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b/>
                <w:spacing w:val="1"/>
              </w:rPr>
            </w:pP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  <w:r>
              <w:rPr>
                <w:rFonts w:eastAsia="Times New Roman"/>
                <w:b/>
                <w:spacing w:val="1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Итого: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6375,4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6115,4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130,0</w:t>
            </w:r>
            <w:r>
              <w:rPr>
                <w:b/>
              </w:rPr>
              <w:t xml:space="preserve">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both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</w:tr>
    </w:tbl>
    <w:p>
      <w:pPr>
        <w:pStyle w:val="873"/>
        <w:ind w:left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numPr>
          <w:ilvl w:val="0"/>
          <w:numId w:val="14"/>
        </w:numPr>
        <w:ind w:left="0"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  <w:t xml:space="preserve">строки 4.1.2 и 4.1.3 таблицы 2 «Перечень мероприятий подпрограммы с показателями результативности выполнения мероприятий» к Подпрограмме 4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79"/>
        <w:tblW w:w="9498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1843"/>
        <w:gridCol w:w="709"/>
        <w:gridCol w:w="708"/>
        <w:gridCol w:w="851"/>
        <w:gridCol w:w="850"/>
        <w:gridCol w:w="993"/>
      </w:tblGrid>
      <w:tr>
        <w:tblPrEx/>
        <w:trPr>
          <w:trHeight w:val="1255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«4.1.2.</w:t>
            </w:r>
            <w:r/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Информационно-пропагандистское сопровождение профилактики терроризма и экстремизма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2025-2027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размещенной информации по профилактике терроризма и экстремизма в СМИ, на сайте Печенгского муниципального округа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61 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20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20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1255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4.1.3.</w:t>
            </w:r>
            <w:r/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Мониторинг политических, социально-экономических и иных процессов,</w:t>
            </w:r>
            <w:r>
              <w:rPr>
                <w:rFonts w:eastAsia="Times New Roman"/>
                <w:spacing w:val="1"/>
              </w:rPr>
              <w:t xml:space="preserve"> оказывающих влияние на ситуацию в области противодействия терроризму на территории Печенгского муниципального округа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2025-2027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публикаций о порядке действий при угрозе возникновения террористических актов посредством размещения информации в СМИ, на сайте Печенгского округа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ПБ».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</w:tbl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. Настоящее постановление вступает в силу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после его подписания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 </w:t>
      </w:r>
      <w:r>
        <w:rPr>
          <w:sz w:val="24"/>
        </w:rPr>
        <w:t xml:space="preserve">Настоящее постановление опубликова</w:t>
      </w:r>
      <w:r>
        <w:rPr>
          <w:sz w:val="24"/>
        </w:rPr>
        <w:t xml:space="preserve">ть</w:t>
      </w:r>
      <w:r>
        <w:rPr>
          <w:sz w:val="24"/>
        </w:rPr>
        <w:t xml:space="preserve"> в</w:t>
      </w:r>
      <w:r>
        <w:rPr>
          <w:sz w:val="24"/>
        </w:rPr>
        <w:t xml:space="preserve"> официальном издании</w:t>
      </w:r>
      <w:r>
        <w:rPr>
          <w:sz w:val="24"/>
        </w:rPr>
        <w:t xml:space="preserve"> газет</w:t>
      </w:r>
      <w:r>
        <w:rPr>
          <w:sz w:val="24"/>
        </w:rPr>
        <w:t xml:space="preserve">а</w:t>
      </w:r>
      <w:r>
        <w:rPr>
          <w:sz w:val="24"/>
        </w:rPr>
        <w:t xml:space="preserve"> «Печенга» и разме</w:t>
      </w:r>
      <w:r>
        <w:rPr>
          <w:sz w:val="24"/>
        </w:rPr>
        <w:t xml:space="preserve">стить</w:t>
      </w:r>
      <w:r>
        <w:rPr>
          <w:sz w:val="24"/>
        </w:rPr>
        <w:t xml:space="preserve"> </w:t>
      </w:r>
      <w:r>
        <w:rPr>
          <w:rFonts w:eastAsia="Times New Roman"/>
          <w:sz w:val="24"/>
          <w:szCs w:val="24"/>
        </w:rPr>
        <w:t xml:space="preserve">на сайте Печенгс</w:t>
      </w:r>
      <w:r>
        <w:rPr>
          <w:rFonts w:eastAsia="Times New Roman"/>
          <w:sz w:val="24"/>
          <w:szCs w:val="24"/>
        </w:rPr>
        <w:t xml:space="preserve">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           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Соболев</w:t>
      </w:r>
      <w:r>
        <w:t xml:space="preserve"> </w:t>
      </w:r>
      <w:r>
        <w:t xml:space="preserve">А</w:t>
      </w:r>
      <w:r>
        <w:t xml:space="preserve">.В.</w:t>
      </w:r>
      <w:r>
        <w:t xml:space="preserve">, 50007</w:t>
      </w:r>
      <w:r/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07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79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51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23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5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67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39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1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83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12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4"/>
  </w:num>
  <w:num w:numId="6">
    <w:abstractNumId w:val="2"/>
  </w:num>
  <w:num w:numId="7">
    <w:abstractNumId w:val="6"/>
  </w:num>
  <w:num w:numId="8">
    <w:abstractNumId w:val="9"/>
  </w:num>
  <w:num w:numId="9">
    <w:abstractNumId w:val="0"/>
  </w:num>
  <w:num w:numId="10">
    <w:abstractNumId w:val="5"/>
  </w:num>
  <w:num w:numId="11">
    <w:abstractNumId w:val="3"/>
  </w:num>
  <w:num w:numId="12">
    <w:abstractNumId w:val="11"/>
  </w:num>
  <w:num w:numId="13">
    <w:abstractNumId w:val="10"/>
  </w:num>
  <w:num w:numId="14">
    <w:abstractNumId w:val="8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0"/>
    <w:next w:val="860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1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0"/>
    <w:next w:val="860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1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0"/>
    <w:next w:val="860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1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0"/>
    <w:next w:val="860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1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0"/>
    <w:next w:val="860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1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0"/>
    <w:next w:val="860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1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0"/>
    <w:next w:val="860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1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0"/>
    <w:next w:val="860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1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0"/>
    <w:next w:val="860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1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0"/>
    <w:next w:val="860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1"/>
    <w:link w:val="705"/>
    <w:uiPriority w:val="10"/>
    <w:rPr>
      <w:sz w:val="48"/>
      <w:szCs w:val="48"/>
    </w:rPr>
  </w:style>
  <w:style w:type="paragraph" w:styleId="707">
    <w:name w:val="Subtitle"/>
    <w:basedOn w:val="860"/>
    <w:next w:val="860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1"/>
    <w:link w:val="707"/>
    <w:uiPriority w:val="11"/>
    <w:rPr>
      <w:sz w:val="24"/>
      <w:szCs w:val="24"/>
    </w:rPr>
  </w:style>
  <w:style w:type="paragraph" w:styleId="709">
    <w:name w:val="Quote"/>
    <w:basedOn w:val="860"/>
    <w:next w:val="860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0"/>
    <w:next w:val="860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character" w:styleId="713">
    <w:name w:val="Header Char"/>
    <w:basedOn w:val="861"/>
    <w:link w:val="868"/>
    <w:uiPriority w:val="99"/>
  </w:style>
  <w:style w:type="character" w:styleId="714">
    <w:name w:val="Footer Char"/>
    <w:basedOn w:val="861"/>
    <w:link w:val="870"/>
    <w:uiPriority w:val="99"/>
  </w:style>
  <w:style w:type="paragraph" w:styleId="715">
    <w:name w:val="Caption"/>
    <w:basedOn w:val="860"/>
    <w:next w:val="86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6">
    <w:name w:val="Caption Char"/>
    <w:basedOn w:val="715"/>
    <w:link w:val="870"/>
    <w:uiPriority w:val="99"/>
  </w:style>
  <w:style w:type="table" w:styleId="717">
    <w:name w:val="Table Grid Light"/>
    <w:basedOn w:val="8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Plain Table 1"/>
    <w:basedOn w:val="8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86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>
    <w:name w:val="Grid Table 4 - Accent 1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6">
    <w:name w:val="Grid Table 4 - Accent 2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7">
    <w:name w:val="Grid Table 4 - Accent 3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8">
    <w:name w:val="Grid Table 4 - Accent 4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9">
    <w:name w:val="Grid Table 4 - Accent 5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0">
    <w:name w:val="Grid Table 4 - Accent 6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1">
    <w:name w:val="Grid Table 5 Dark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5 Dark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8">
    <w:name w:val="Grid Table 6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9">
    <w:name w:val="Grid Table 6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0">
    <w:name w:val="Grid Table 6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1">
    <w:name w:val="Grid Table 6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2">
    <w:name w:val="Grid Table 6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3">
    <w:name w:val="Grid Table 6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6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7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0">
    <w:name w:val="List Table 2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1">
    <w:name w:val="List Table 2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2">
    <w:name w:val="List Table 2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3">
    <w:name w:val="List Table 2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4">
    <w:name w:val="List Table 2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5">
    <w:name w:val="List Table 2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6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8">
    <w:name w:val="List Table 6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9">
    <w:name w:val="List Table 6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List Table 6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1">
    <w:name w:val="List Table 6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List Table 6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3">
    <w:name w:val="List Table 6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4">
    <w:name w:val="List Table 7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5">
    <w:name w:val="List Table 7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6">
    <w:name w:val="List Table 7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7">
    <w:name w:val="List Table 7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8">
    <w:name w:val="List Table 7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9">
    <w:name w:val="List Table 7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0">
    <w:name w:val="List Table 7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1">
    <w:name w:val="Lined - Accent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Lined - Accent 1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Lined - Accent 2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Lined - Accent 3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Lined - Accent 4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Lined - Accent 5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Lined - Accent 6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 &amp; Lined - Accent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Bordered &amp; Lined - Accent 1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0">
    <w:name w:val="Bordered &amp; Lined - Accent 2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1">
    <w:name w:val="Bordered &amp; Lined - Accent 3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2">
    <w:name w:val="Bordered &amp; Lined - Accent 4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3">
    <w:name w:val="Bordered &amp; Lined - Accent 5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4">
    <w:name w:val="Bordered &amp; Lined - Accent 6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5">
    <w:name w:val="Bordered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6">
    <w:name w:val="Bordered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7">
    <w:name w:val="Bordered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8">
    <w:name w:val="Bordered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9">
    <w:name w:val="Bordered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0">
    <w:name w:val="Bordered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1">
    <w:name w:val="Bordered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2">
    <w:name w:val="Hyperlink"/>
    <w:uiPriority w:val="99"/>
    <w:unhideWhenUsed/>
    <w:rPr>
      <w:color w:val="0000ff" w:themeColor="hyperlink"/>
      <w:u w:val="single"/>
    </w:rPr>
  </w:style>
  <w:style w:type="paragraph" w:styleId="843">
    <w:name w:val="footnote text"/>
    <w:basedOn w:val="860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>
    <w:name w:val="Footnote Text Char"/>
    <w:link w:val="843"/>
    <w:uiPriority w:val="99"/>
    <w:rPr>
      <w:sz w:val="18"/>
    </w:rPr>
  </w:style>
  <w:style w:type="character" w:styleId="845">
    <w:name w:val="footnote reference"/>
    <w:basedOn w:val="861"/>
    <w:uiPriority w:val="99"/>
    <w:unhideWhenUsed/>
    <w:rPr>
      <w:vertAlign w:val="superscript"/>
    </w:rPr>
  </w:style>
  <w:style w:type="paragraph" w:styleId="846">
    <w:name w:val="endnote text"/>
    <w:basedOn w:val="860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>
    <w:name w:val="Endnote Text Char"/>
    <w:link w:val="846"/>
    <w:uiPriority w:val="99"/>
    <w:rPr>
      <w:sz w:val="20"/>
    </w:rPr>
  </w:style>
  <w:style w:type="character" w:styleId="848">
    <w:name w:val="endnote reference"/>
    <w:basedOn w:val="861"/>
    <w:uiPriority w:val="99"/>
    <w:semiHidden/>
    <w:unhideWhenUsed/>
    <w:rPr>
      <w:vertAlign w:val="superscript"/>
    </w:rPr>
  </w:style>
  <w:style w:type="paragraph" w:styleId="849">
    <w:name w:val="toc 1"/>
    <w:basedOn w:val="860"/>
    <w:next w:val="860"/>
    <w:uiPriority w:val="39"/>
    <w:unhideWhenUsed/>
    <w:pPr>
      <w:ind w:left="0" w:right="0" w:firstLine="0"/>
      <w:spacing w:after="57"/>
    </w:pPr>
  </w:style>
  <w:style w:type="paragraph" w:styleId="850">
    <w:name w:val="toc 2"/>
    <w:basedOn w:val="860"/>
    <w:next w:val="860"/>
    <w:uiPriority w:val="39"/>
    <w:unhideWhenUsed/>
    <w:pPr>
      <w:ind w:left="283" w:right="0" w:firstLine="0"/>
      <w:spacing w:after="57"/>
    </w:pPr>
  </w:style>
  <w:style w:type="paragraph" w:styleId="851">
    <w:name w:val="toc 3"/>
    <w:basedOn w:val="860"/>
    <w:next w:val="860"/>
    <w:uiPriority w:val="39"/>
    <w:unhideWhenUsed/>
    <w:pPr>
      <w:ind w:left="567" w:right="0" w:firstLine="0"/>
      <w:spacing w:after="57"/>
    </w:pPr>
  </w:style>
  <w:style w:type="paragraph" w:styleId="852">
    <w:name w:val="toc 4"/>
    <w:basedOn w:val="860"/>
    <w:next w:val="860"/>
    <w:uiPriority w:val="39"/>
    <w:unhideWhenUsed/>
    <w:pPr>
      <w:ind w:left="850" w:right="0" w:firstLine="0"/>
      <w:spacing w:after="57"/>
    </w:pPr>
  </w:style>
  <w:style w:type="paragraph" w:styleId="853">
    <w:name w:val="toc 5"/>
    <w:basedOn w:val="860"/>
    <w:next w:val="860"/>
    <w:uiPriority w:val="39"/>
    <w:unhideWhenUsed/>
    <w:pPr>
      <w:ind w:left="1134" w:right="0" w:firstLine="0"/>
      <w:spacing w:after="57"/>
    </w:pPr>
  </w:style>
  <w:style w:type="paragraph" w:styleId="854">
    <w:name w:val="toc 6"/>
    <w:basedOn w:val="860"/>
    <w:next w:val="860"/>
    <w:uiPriority w:val="39"/>
    <w:unhideWhenUsed/>
    <w:pPr>
      <w:ind w:left="1417" w:right="0" w:firstLine="0"/>
      <w:spacing w:after="57"/>
    </w:pPr>
  </w:style>
  <w:style w:type="paragraph" w:styleId="855">
    <w:name w:val="toc 7"/>
    <w:basedOn w:val="860"/>
    <w:next w:val="860"/>
    <w:uiPriority w:val="39"/>
    <w:unhideWhenUsed/>
    <w:pPr>
      <w:ind w:left="1701" w:right="0" w:firstLine="0"/>
      <w:spacing w:after="57"/>
    </w:pPr>
  </w:style>
  <w:style w:type="paragraph" w:styleId="856">
    <w:name w:val="toc 8"/>
    <w:basedOn w:val="860"/>
    <w:next w:val="860"/>
    <w:uiPriority w:val="39"/>
    <w:unhideWhenUsed/>
    <w:pPr>
      <w:ind w:left="1984" w:right="0" w:firstLine="0"/>
      <w:spacing w:after="57"/>
    </w:pPr>
  </w:style>
  <w:style w:type="paragraph" w:styleId="857">
    <w:name w:val="toc 9"/>
    <w:basedOn w:val="860"/>
    <w:next w:val="860"/>
    <w:uiPriority w:val="39"/>
    <w:unhideWhenUsed/>
    <w:pPr>
      <w:ind w:left="2268" w:right="0" w:firstLine="0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860"/>
    <w:next w:val="860"/>
    <w:uiPriority w:val="99"/>
    <w:unhideWhenUsed/>
    <w:pPr>
      <w:spacing w:after="0" w:afterAutospacing="0"/>
    </w:pPr>
  </w:style>
  <w:style w:type="paragraph" w:styleId="860" w:default="1">
    <w:name w:val="Normal"/>
    <w:qFormat/>
    <w:rPr>
      <w:rFonts w:eastAsia="Calibri"/>
    </w:rPr>
  </w:style>
  <w:style w:type="character" w:styleId="861" w:default="1">
    <w:name w:val="Default Paragraph Font"/>
    <w:uiPriority w:val="1"/>
    <w:semiHidden/>
    <w:unhideWhenUsed/>
  </w:style>
  <w:style w:type="table" w:styleId="86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3" w:default="1">
    <w:name w:val="No List"/>
    <w:uiPriority w:val="99"/>
    <w:semiHidden/>
    <w:unhideWhenUsed/>
  </w:style>
  <w:style w:type="paragraph" w:styleId="864">
    <w:name w:val="Normal (Web)"/>
    <w:basedOn w:val="860"/>
    <w:semiHidden/>
    <w:pPr>
      <w:spacing w:before="100" w:beforeAutospacing="1" w:after="100" w:afterAutospacing="1"/>
    </w:pPr>
    <w:rPr>
      <w:sz w:val="24"/>
      <w:szCs w:val="24"/>
    </w:rPr>
  </w:style>
  <w:style w:type="paragraph" w:styleId="865" w:customStyle="1">
    <w:name w:val="Абзац списка1"/>
    <w:basedOn w:val="860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66">
    <w:name w:val="Balloon Text"/>
    <w:basedOn w:val="860"/>
    <w:link w:val="867"/>
    <w:rPr>
      <w:rFonts w:ascii="Calibri" w:hAnsi="Calibri"/>
      <w:sz w:val="16"/>
      <w:szCs w:val="16"/>
    </w:rPr>
  </w:style>
  <w:style w:type="character" w:styleId="867" w:customStyle="1">
    <w:name w:val="Текст выноски Знак"/>
    <w:link w:val="866"/>
    <w:rPr>
      <w:rFonts w:ascii="Calibri" w:hAnsi="Calibri" w:eastAsia="Calibri"/>
      <w:sz w:val="16"/>
      <w:szCs w:val="16"/>
    </w:rPr>
  </w:style>
  <w:style w:type="paragraph" w:styleId="868">
    <w:name w:val="Header"/>
    <w:basedOn w:val="860"/>
    <w:link w:val="869"/>
    <w:pPr>
      <w:tabs>
        <w:tab w:val="center" w:pos="4677" w:leader="none"/>
        <w:tab w:val="right" w:pos="9355" w:leader="none"/>
      </w:tabs>
    </w:pPr>
  </w:style>
  <w:style w:type="character" w:styleId="869" w:customStyle="1">
    <w:name w:val="Верхний колонтитул Знак"/>
    <w:link w:val="868"/>
    <w:rPr>
      <w:rFonts w:eastAsia="Calibri"/>
    </w:rPr>
  </w:style>
  <w:style w:type="paragraph" w:styleId="870">
    <w:name w:val="Footer"/>
    <w:basedOn w:val="860"/>
    <w:link w:val="871"/>
    <w:pPr>
      <w:tabs>
        <w:tab w:val="center" w:pos="4677" w:leader="none"/>
        <w:tab w:val="right" w:pos="9355" w:leader="none"/>
      </w:tabs>
    </w:pPr>
  </w:style>
  <w:style w:type="character" w:styleId="871" w:customStyle="1">
    <w:name w:val="Нижний колонтитул Знак"/>
    <w:link w:val="870"/>
    <w:rPr>
      <w:rFonts w:eastAsia="Calibri"/>
    </w:rPr>
  </w:style>
  <w:style w:type="table" w:styleId="872">
    <w:name w:val="Table Grid"/>
    <w:basedOn w:val="86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3">
    <w:name w:val="List Paragraph"/>
    <w:basedOn w:val="860"/>
    <w:qFormat/>
    <w:pPr>
      <w:contextualSpacing/>
      <w:ind w:left="720"/>
    </w:pPr>
  </w:style>
  <w:style w:type="paragraph" w:styleId="874" w:customStyle="1">
    <w:name w:val="Знак Знак2"/>
    <w:basedOn w:val="860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75">
    <w:name w:val="Body Text 2"/>
    <w:basedOn w:val="860"/>
    <w:link w:val="876"/>
    <w:pPr>
      <w:spacing w:after="120" w:line="480" w:lineRule="auto"/>
    </w:pPr>
  </w:style>
  <w:style w:type="character" w:styleId="876" w:customStyle="1">
    <w:name w:val="Основной текст 2 Знак"/>
    <w:basedOn w:val="861"/>
    <w:link w:val="875"/>
    <w:rPr>
      <w:rFonts w:eastAsia="Calibri"/>
    </w:rPr>
  </w:style>
  <w:style w:type="table" w:styleId="877" w:customStyle="1">
    <w:name w:val="Сетка таблицы1"/>
    <w:basedOn w:val="862"/>
    <w:next w:val="87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8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879" w:customStyle="1">
    <w:name w:val="Сетка таблицы2"/>
    <w:basedOn w:val="862"/>
    <w:next w:val="87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C58B84-9D28-4FB2-BF36-5BBD4356B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17</cp:revision>
  <dcterms:created xsi:type="dcterms:W3CDTF">2025-12-03T07:43:00Z</dcterms:created>
  <dcterms:modified xsi:type="dcterms:W3CDTF">2025-12-18T07:47:59Z</dcterms:modified>
</cp:coreProperties>
</file>