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02.12.2025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№ 2004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  <w:t xml:space="preserve">«Транспортная система» на 202</w:t>
      </w:r>
      <w:r>
        <w:rPr>
          <w:b/>
        </w:rPr>
        <w:t xml:space="preserve">5</w:t>
      </w:r>
      <w:r>
        <w:rPr>
          <w:b/>
        </w:rPr>
        <w:t xml:space="preserve"> - 202</w:t>
      </w:r>
      <w:r>
        <w:rPr>
          <w:b/>
        </w:rPr>
        <w:t xml:space="preserve">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</w:t>
      </w:r>
      <w:r>
        <w:rPr>
          <w:b/>
        </w:rPr>
        <w:t xml:space="preserve">1</w:t>
      </w:r>
      <w:r>
        <w:rPr>
          <w:b/>
        </w:rPr>
        <w:t xml:space="preserve">8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Транспортная система</w:t>
      </w:r>
      <w:r>
        <w:rPr>
          <w:sz w:val="24"/>
          <w:szCs w:val="24"/>
        </w:rPr>
        <w:t xml:space="preserve">» на 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01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</w:t>
      </w:r>
      <w:r>
        <w:rPr>
          <w:sz w:val="24"/>
          <w:szCs w:val="24"/>
        </w:rPr>
        <w:t xml:space="preserve">в редакции постановления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29.08.2025 </w:t>
        <w:br/>
        <w:t xml:space="preserve">№ 1409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</w:t>
      </w:r>
      <w:r>
        <w:rPr>
          <w:sz w:val="24"/>
          <w:szCs w:val="24"/>
        </w:rPr>
        <w:t xml:space="preserve">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widowControl w:val="off"/>
        <w:rPr>
          <w:color w:val="000000" w:themeColor="text1"/>
          <w:sz w:val="24"/>
          <w:szCs w:val="24"/>
        </w:rPr>
        <w:suppressLineNumbers w:val="0"/>
      </w:pPr>
      <w:r>
        <w:rPr>
          <w:color w:val="000000" w:themeColor="text1"/>
          <w:sz w:val="24"/>
          <w:szCs w:val="24"/>
        </w:rPr>
        <w:t xml:space="preserve">- </w:t>
      </w:r>
      <w:r>
        <w:rPr>
          <w:color w:val="000000" w:themeColor="text1"/>
          <w:sz w:val="24"/>
          <w:szCs w:val="24"/>
        </w:rPr>
        <w:t xml:space="preserve">строку</w:t>
      </w:r>
      <w:r>
        <w:rPr>
          <w:color w:val="000000" w:themeColor="text1"/>
          <w:sz w:val="24"/>
          <w:szCs w:val="24"/>
        </w:rPr>
        <w:t xml:space="preserve"> «Показатели программы» в паспорте Программы </w:t>
      </w:r>
      <w:r>
        <w:rPr>
          <w:color w:val="000000" w:themeColor="text1"/>
          <w:sz w:val="24"/>
          <w:szCs w:val="24"/>
        </w:rPr>
        <w:t xml:space="preserve">изложить в следующей редакции</w:t>
      </w:r>
      <w:r>
        <w:rPr>
          <w:color w:val="000000" w:themeColor="text1"/>
          <w:sz w:val="24"/>
          <w:szCs w:val="24"/>
        </w:rPr>
        <w:t xml:space="preserve">: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122"/>
        <w:gridCol w:w="7314"/>
      </w:tblGrid>
      <w:tr>
        <w:tblPrEx/>
        <w:trPr>
          <w:jc w:val="center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2" w:type="dxa"/>
            <w:textDirection w:val="lrTb"/>
            <w:noWrap w:val="false"/>
          </w:tcPr>
          <w:p>
            <w:pPr>
              <w:shd w:val="clear" w:color="auto" w:fill="ffffff"/>
              <w:rPr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 xml:space="preserve">«Показатели программы</w:t>
            </w:r>
            <w:r>
              <w:rPr>
                <w:bCs/>
                <w:spacing w:val="-1"/>
                <w:sz w:val="24"/>
                <w:szCs w:val="24"/>
              </w:rPr>
            </w:r>
            <w:r>
              <w:rPr>
                <w:bCs/>
                <w:spacing w:val="-1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14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1. Эксплуатационное содержание автомобильных дорог в соответствии с требованиями стандартов, норм и правил. 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2. Площадь проведенного ямочного ремонта на участках дорог, на которых отсутствует необходимость замены дорожного покрытия.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3. Протяженность дорожной разметки на дорогах общего пользования местного значения.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4. Обеспечение дорожно-уличной системы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Печенгского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 муниципального округа дорожными знаками.   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5. Площадь отремонтированных автомобильных дорог общего пользования местного значения.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6. Количество обустроенных автобусных остановок.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  <w:p>
            <w:pPr>
              <w:jc w:val="both"/>
              <w:tabs>
                <w:tab w:val="left" w:pos="0" w:leader="none"/>
                <w:tab w:val="left" w:pos="258" w:leader="none"/>
              </w:tabs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7. 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 автомобильных дорог общего пользования местного значения.»;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</w:tr>
    </w:tbl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</w:t>
      </w:r>
      <w:r>
        <w:rPr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1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56"/>
        <w:gridCol w:w="7357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56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7" w:type="dxa"/>
            <w:textDirection w:val="lrTb"/>
            <w:noWrap w:val="false"/>
          </w:tcPr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398 165,5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136876,7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51989,6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44991,1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39896,0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261288,8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96573,7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88084,6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76630,5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</w:t>
      </w:r>
      <w:r>
        <w:rPr>
          <w:sz w:val="24"/>
          <w:szCs w:val="24"/>
        </w:rPr>
        <w:t xml:space="preserve">изложить в </w:t>
      </w:r>
      <w:r>
        <w:rPr>
          <w:sz w:val="24"/>
          <w:szCs w:val="24"/>
        </w:rPr>
        <w:t xml:space="preserve">следующ</w:t>
      </w:r>
      <w:r>
        <w:rPr>
          <w:sz w:val="24"/>
          <w:szCs w:val="24"/>
        </w:rPr>
        <w:t xml:space="preserve">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1984"/>
        <w:gridCol w:w="850"/>
        <w:gridCol w:w="851"/>
        <w:gridCol w:w="851"/>
        <w:gridCol w:w="992"/>
        <w:gridCol w:w="993"/>
        <w:gridCol w:w="851"/>
        <w:gridCol w:w="1277"/>
      </w:tblGrid>
      <w:tr>
        <w:tblPrEx/>
        <w:trPr/>
        <w:tc>
          <w:tcPr>
            <w:shd w:val="clear" w:color="auto" w:fill="auto"/>
            <w:tcW w:w="70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«</w:t>
            </w:r>
            <w:r>
              <w:rPr>
                <w:bCs/>
              </w:rPr>
              <w:t xml:space="preserve">№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п/п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Цели, мероприятия, показатели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Ед. изм.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5"/>
            <w:shd w:val="clear" w:color="auto" w:fill="auto"/>
            <w:tcW w:w="4538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Значение показателя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77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Источник данных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shd w:val="clear" w:color="auto" w:fill="auto"/>
            <w:tcW w:w="707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Отчет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Оценка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gridSpan w:val="3"/>
            <w:shd w:val="clear" w:color="auto" w:fill="auto"/>
            <w:tcW w:w="283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  <w:outlineLvl w:val="1"/>
            </w:pPr>
            <w:r>
              <w:t xml:space="preserve">Годы реализации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277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7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center" w:pos="716" w:leader="none"/>
                <w:tab w:val="left" w:pos="1361" w:leader="none"/>
              </w:tabs>
              <w:rPr>
                <w:bCs/>
              </w:rPr>
            </w:pPr>
            <w:r>
              <w:rPr>
                <w:bCs/>
              </w:rPr>
              <w:t xml:space="preserve">2023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2024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2025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</w:rPr>
            </w:pPr>
            <w:r>
              <w:rPr>
                <w:bCs/>
              </w:rPr>
              <w:t xml:space="preserve">2027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1277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outlineLvl w:val="1"/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shd w:val="clear" w:color="auto" w:fill="auto"/>
            <w:tcW w:w="70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1.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8649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Показатель цели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shd w:val="clear" w:color="auto" w:fill="auto"/>
            <w:tcW w:w="707" w:type="dxa"/>
            <w:textDirection w:val="lrTb"/>
            <w:noWrap w:val="false"/>
          </w:tcPr>
          <w:p>
            <w:pPr>
              <w:jc w:val="center"/>
              <w:outlineLvl w:val="1"/>
            </w:pPr>
            <w:r>
              <w:t xml:space="preserve">1.1.</w:t>
            </w:r>
            <w:r/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Обеспечение транспортной доступности населенных пунктов </w:t>
            </w:r>
            <w:r>
              <w:t xml:space="preserve">Печенгского</w:t>
            </w:r>
            <w:r>
              <w:t xml:space="preserve"> муниципального округа, увеличение доли автомобильных дорог, соответствующих нормативным требованиям.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277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rPr>
                <w:spacing w:val="1"/>
              </w:rPr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7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</w:rPr>
            </w:pPr>
            <w:r>
              <w:rPr>
                <w:b/>
              </w:rPr>
              <w:t xml:space="preserve">2.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shd w:val="clear" w:color="auto" w:fill="auto"/>
            <w:tcW w:w="8649" w:type="dxa"/>
            <w:textDirection w:val="lrTb"/>
            <w:noWrap w:val="false"/>
          </w:tcPr>
          <w:p>
            <w:pPr>
              <w:widowControl w:val="off"/>
              <w:rPr>
                <w:b/>
              </w:rPr>
            </w:pPr>
            <w:r>
              <w:rPr>
                <w:b/>
              </w:rPr>
              <w:t xml:space="preserve">Показатели задач муниципальной программы 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</w:pPr>
            <w:r>
              <w:t xml:space="preserve">2.1.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rFonts w:eastAsia="Calibri"/>
                <w:lang w:eastAsia="en-US"/>
              </w:rPr>
              <w:t xml:space="preserve">Эксплуатационное содержание автомобильных дорог в соответствии с требованиями стандартов, норм и правил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</w:pPr>
            <w:r>
              <w:t xml:space="preserve">2.2.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Площадь проведенного ямочного ремонта, на участках автодорог, на которых </w:t>
            </w:r>
            <w:r>
              <w:t xml:space="preserve">отсутствует необходимость замены дорожного покрытия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кв. 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800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800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500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  <w:p>
            <w:pPr>
              <w:ind w:right="22"/>
              <w:jc w:val="center"/>
              <w:widowControl w:val="off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</w:pPr>
            <w:r>
              <w:t xml:space="preserve">2.3.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Протяженность дорожной разметки на дорогах общего пользования местного значения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29,2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</w:pPr>
            <w:r>
              <w:t xml:space="preserve">2.4.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Обеспечение дорожно-уличной системы </w:t>
            </w:r>
            <w:r>
              <w:t xml:space="preserve">Печенгского</w:t>
            </w:r>
            <w:r>
              <w:t xml:space="preserve"> муниципального округа дорожными знаками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Отчеты </w:t>
            </w:r>
            <w:r/>
          </w:p>
          <w:p>
            <w:pPr>
              <w:jc w:val="center"/>
              <w:rPr>
                <w:spacing w:val="1"/>
              </w:rPr>
            </w:pPr>
            <w:r>
              <w:t xml:space="preserve">исполнителей программы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</w:pPr>
            <w:r>
              <w:t xml:space="preserve">2.5.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  <w:rPr>
                <w:spacing w:val="3"/>
                <w:shd w:val="clear" w:color="auto" w:fill="ffffff"/>
              </w:rPr>
            </w:pPr>
            <w:r>
              <w:t xml:space="preserve">Площадь отремонтированных автомобильных дорог общего пользования местного значения </w:t>
            </w:r>
            <w:r>
              <w:rPr>
                <w:spacing w:val="3"/>
                <w:shd w:val="clear" w:color="auto" w:fill="ffffff"/>
              </w:rPr>
            </w:r>
            <w:r>
              <w:rPr>
                <w:spacing w:val="3"/>
                <w:shd w:val="clear" w:color="auto" w:fill="ffffff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кв. м.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16997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5800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5500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5500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Не менее 5500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t xml:space="preserve">Отчет                      МКУ «</w:t>
            </w:r>
            <w:r>
              <w:t xml:space="preserve">УбиР</w:t>
            </w:r>
            <w:r>
              <w:t xml:space="preserve">»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</w:pPr>
            <w:r>
              <w:t xml:space="preserve">2.6.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Количество обустроенных автобусных остановок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pacing w:val="1"/>
              </w:rPr>
            </w:pPr>
            <w:r>
              <w:t xml:space="preserve">Отчет                      МКУ «</w:t>
            </w:r>
            <w:r>
              <w:t xml:space="preserve">УбиР</w:t>
            </w:r>
            <w:r>
              <w:t xml:space="preserve">»</w:t>
            </w:r>
            <w:r>
              <w:rPr>
                <w:spacing w:val="1"/>
              </w:rPr>
            </w:r>
            <w:r>
              <w:rPr>
                <w:spacing w:val="1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7" w:type="dxa"/>
            <w:textDirection w:val="lrTb"/>
            <w:noWrap w:val="false"/>
          </w:tcPr>
          <w:p>
            <w:pPr>
              <w:jc w:val="center"/>
            </w:pPr>
            <w:r>
              <w:t xml:space="preserve">2.7.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 автомобильных дорог общего пользования местного значения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Да/нет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right="22"/>
              <w:jc w:val="center"/>
              <w:widowControl w:val="off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t xml:space="preserve">д</w:t>
            </w:r>
            <w:r>
              <w:t xml:space="preserve">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ОС и ЖКХ</w:t>
            </w:r>
            <w:r>
              <w:t xml:space="preserve">»</w:t>
            </w:r>
            <w:r>
              <w:t xml:space="preserve">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 «Перечень мероприятий программы с объёмом финансирования» к Программе изложить в редакции согласно приложению № 1 к настоящему постановлению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2 «Перечень мероприятий программы с показателями результативности выполнения мероприятий» к Программе изложить в редакции согласно приложению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  А.В. Кузнецов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firstLine="709"/>
        <w:jc w:val="both"/>
        <w:rPr>
          <w:sz w:val="24"/>
          <w:szCs w:val="24"/>
        </w:rPr>
      </w:pPr>
      <w:r/>
      <w:bookmarkStart w:id="0" w:name="_GoBack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jc w:val="both"/>
        <w:rPr>
          <w:highlight w:val="none"/>
        </w:rPr>
      </w:pPr>
      <w:r>
        <w:t xml:space="preserve">Шавырова</w:t>
      </w:r>
      <w:r>
        <w:t xml:space="preserve"> Ю.В.,</w:t>
      </w:r>
      <w:r>
        <w:t xml:space="preserve"> 51291</w:t>
      </w:r>
      <w:r>
        <w:rPr>
          <w:highlight w:val="none"/>
        </w:rPr>
      </w:r>
    </w:p>
    <w:p>
      <w:pPr>
        <w:ind w:firstLine="709"/>
        <w:jc w:val="both"/>
        <w:rPr>
          <w:sz w:val="24"/>
          <w:szCs w:val="24"/>
        </w:rPr>
        <w:sectPr>
          <w:headerReference w:type="default" r:id="rId9"/>
          <w:headerReference w:type="even" r:id="rId10"/>
          <w:footnotePr/>
          <w:endnotePr/>
          <w:type w:val="nextPage"/>
          <w:pgSz w:w="11906" w:h="16838" w:orient="portrait"/>
          <w:pgMar w:top="1134" w:right="850" w:bottom="822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П</w:t>
      </w:r>
      <w:r>
        <w:rPr>
          <w:sz w:val="24"/>
          <w:szCs w:val="24"/>
        </w:rPr>
        <w:t xml:space="preserve">риложение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от 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2.12.202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2004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 к Программе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993" w:leader="none"/>
        </w:tabs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5000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60"/>
        <w:gridCol w:w="4397"/>
        <w:gridCol w:w="1447"/>
        <w:gridCol w:w="1042"/>
        <w:gridCol w:w="296"/>
        <w:gridCol w:w="1004"/>
        <w:gridCol w:w="185"/>
        <w:gridCol w:w="989"/>
        <w:gridCol w:w="191"/>
        <w:gridCol w:w="977"/>
        <w:gridCol w:w="205"/>
        <w:gridCol w:w="1098"/>
        <w:gridCol w:w="109"/>
        <w:gridCol w:w="2075"/>
      </w:tblGrid>
      <w:tr>
        <w:tblPrEx/>
        <w:trPr>
          <w:trHeight w:val="780"/>
        </w:trPr>
        <w:tc>
          <w:tcPr>
            <w:shd w:val="clear" w:color="auto" w:fill="auto"/>
            <w:tcW w:w="22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8"/>
            <w:shd w:val="clear" w:color="auto" w:fill="auto"/>
            <w:tcW w:w="162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70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2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202</w:t>
            </w: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70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2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70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</w:t>
            </w:r>
            <w:r>
              <w:rPr>
                <w:b/>
                <w:sz w:val="22"/>
                <w:szCs w:val="22"/>
              </w:rPr>
              <w:t xml:space="preserve">Печенгского</w:t>
            </w:r>
            <w:r>
              <w:rPr>
                <w:b/>
                <w:sz w:val="22"/>
                <w:szCs w:val="22"/>
              </w:rPr>
              <w:t xml:space="preserve">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</w:t>
            </w:r>
            <w:r>
              <w:rPr>
                <w:b/>
                <w:bCs/>
                <w:sz w:val="22"/>
                <w:szCs w:val="22"/>
              </w:rPr>
              <w:t xml:space="preserve">ероприятие 1. Приведение в нормативное состояние сети автомобильных дорог общего пользования местного значения на территории </w:t>
            </w:r>
            <w:r>
              <w:rPr>
                <w:b/>
                <w:bCs/>
                <w:sz w:val="22"/>
                <w:szCs w:val="22"/>
              </w:rPr>
              <w:t xml:space="preserve">Печенгского</w:t>
            </w:r>
            <w:r>
              <w:rPr>
                <w:b/>
                <w:bCs/>
                <w:sz w:val="22"/>
                <w:szCs w:val="22"/>
              </w:rPr>
              <w:t xml:space="preserve">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 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 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 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 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216091,6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77406,6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69345,0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69340,0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216091,6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77406,6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69345,0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69340,0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2765,2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1365,2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1400,0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2765,2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1365,2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1400,0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</w:t>
            </w:r>
            <w:r>
              <w:rPr>
                <w:sz w:val="22"/>
                <w:szCs w:val="22"/>
              </w:rPr>
              <w:t xml:space="preserve">- 2026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2300,0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1150,0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2300,0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1150,0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750,0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250,0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750,0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250,0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133727,4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48840,3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44991,1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39896,0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24980,1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10000,0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7939,6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7040,5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158707,5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58840,3</w:t>
            </w:r>
            <w:r>
              <w:rPr>
                <w:b/>
                <w:bCs/>
                <w:color w:val="000000"/>
                <w:sz w:val="22"/>
                <w:szCs w:val="22"/>
              </w:rPr>
            </w: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52930,7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46936,5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Устройство автобусных остановок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5 </w:t>
            </w:r>
            <w:r>
              <w:rPr>
                <w:sz w:val="22"/>
                <w:szCs w:val="22"/>
                <w:lang w:val="en-US"/>
              </w:rPr>
              <w:t xml:space="preserve">-</w:t>
            </w:r>
            <w:r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202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14270,0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6270,0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8000,0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14270,0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6270,0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8000,0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за счет средств дорожного фонда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 и ЖКХ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3149,3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3149,3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131,9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131,9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4"/>
              </w:rPr>
            </w:pPr>
            <w:r>
              <w:rPr>
                <w:bCs/>
                <w:color w:val="000000"/>
                <w:sz w:val="22"/>
              </w:rPr>
              <w:t xml:space="preserve">0,0</w:t>
            </w:r>
            <w:r>
              <w:rPr>
                <w:bCs/>
                <w:color w:val="000000"/>
                <w:sz w:val="22"/>
                <w:szCs w:val="24"/>
              </w:rPr>
            </w:r>
            <w:r>
              <w:rPr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4"/>
              </w:rPr>
            </w:pPr>
            <w:r>
              <w:rPr>
                <w:color w:val="000000"/>
                <w:sz w:val="22"/>
              </w:rPr>
              <w:t xml:space="preserve">0,0</w:t>
            </w:r>
            <w:r>
              <w:rPr>
                <w:color w:val="000000"/>
                <w:sz w:val="22"/>
                <w:szCs w:val="24"/>
              </w:rPr>
            </w:r>
            <w:r>
              <w:rPr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bottom w:val="single" w:color="auto" w:sz="4" w:space="0"/>
            </w:tcBorders>
            <w:tcW w:w="22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9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92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3281,2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3281,2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1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4"/>
              </w:rPr>
            </w:pPr>
            <w:r>
              <w:rPr>
                <w:b/>
                <w:color w:val="000000"/>
                <w:sz w:val="22"/>
              </w:rPr>
              <w:t xml:space="preserve">0,0</w:t>
            </w:r>
            <w:r>
              <w:rPr>
                <w:b/>
                <w:color w:val="000000"/>
                <w:sz w:val="22"/>
                <w:szCs w:val="24"/>
              </w:rPr>
            </w:r>
            <w:r>
              <w:rPr>
                <w:b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4"/>
              </w:rPr>
            </w:pPr>
            <w:r>
              <w:rPr>
                <w:b/>
                <w:color w:val="000000"/>
                <w:sz w:val="22"/>
              </w:rPr>
              <w:t xml:space="preserve">0,0</w:t>
            </w:r>
            <w:r>
              <w:rPr>
                <w:b/>
                <w:color w:val="000000"/>
                <w:sz w:val="22"/>
                <w:szCs w:val="24"/>
              </w:rPr>
            </w:r>
            <w:r>
              <w:rPr>
                <w:b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z w:val="22"/>
                <w:szCs w:val="24"/>
              </w:rPr>
            </w:pPr>
            <w:r>
              <w:rPr>
                <w:b/>
                <w:color w:val="000000"/>
                <w:sz w:val="22"/>
              </w:rPr>
              <w:t xml:space="preserve">0,0</w:t>
            </w:r>
            <w:r>
              <w:rPr>
                <w:b/>
                <w:color w:val="000000"/>
                <w:sz w:val="22"/>
                <w:szCs w:val="24"/>
              </w:rPr>
            </w:r>
            <w:r>
              <w:rPr>
                <w:b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136876,7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51989,6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44991,1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39896,0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2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261288,8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96573,7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88084,6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76630,5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  <w:color w:val="000000"/>
                <w:sz w:val="22"/>
                <w:szCs w:val="24"/>
              </w:rPr>
            </w:pPr>
            <w:r>
              <w:rPr>
                <w:b/>
                <w:bCs/>
                <w:i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  <w:color w:val="000000"/>
                <w:sz w:val="22"/>
                <w:szCs w:val="24"/>
              </w:rPr>
            </w:pPr>
            <w:r>
              <w:rPr>
                <w:b/>
                <w:bCs/>
                <w:i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  <w:color w:val="000000"/>
                <w:sz w:val="22"/>
                <w:szCs w:val="24"/>
              </w:rPr>
            </w:pPr>
            <w:r>
              <w:rPr>
                <w:b/>
                <w:bCs/>
                <w:i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iCs/>
                <w:color w:val="000000"/>
                <w:sz w:val="22"/>
                <w:szCs w:val="24"/>
              </w:rPr>
            </w:pPr>
            <w:r>
              <w:rPr>
                <w:b/>
                <w:bCs/>
                <w:i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  <w:r>
              <w:rPr>
                <w:b/>
                <w:bCs/>
                <w:i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398165,5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148563,3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133075,7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116526,5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136876,7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51989,6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44991,1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39896,0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21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261288,8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96573,7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88084,6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76630,5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0,0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21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55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398165,5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0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148563,3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39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133075,7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44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>
              <w:rPr>
                <w:b/>
                <w:bCs/>
                <w:color w:val="000000"/>
                <w:sz w:val="22"/>
              </w:rPr>
              <w:t xml:space="preserve">116526,5</w:t>
            </w:r>
            <w:r>
              <w:rPr>
                <w:b/>
                <w:bCs/>
                <w:color w:val="000000"/>
                <w:sz w:val="22"/>
                <w:szCs w:val="24"/>
              </w:rPr>
            </w:r>
            <w:r>
              <w:rPr>
                <w:b/>
                <w:bCs/>
                <w:color w:val="000000"/>
                <w:sz w:val="22"/>
                <w:szCs w:val="24"/>
              </w:rPr>
            </w:r>
          </w:p>
        </w:tc>
        <w:tc>
          <w:tcPr>
            <w:gridSpan w:val="2"/>
            <w:shd w:val="clear" w:color="auto" w:fill="auto"/>
            <w:tcW w:w="745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9639" w:right="-31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</w:t>
      </w: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18"/>
          <w:szCs w:val="18"/>
        </w:rPr>
        <w:t xml:space="preserve">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  <w:tab w:val="left" w:pos="992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риложение</w:t>
      </w:r>
      <w:r>
        <w:rPr>
          <w:sz w:val="24"/>
          <w:szCs w:val="24"/>
        </w:rPr>
        <w:t xml:space="preserve">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02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2004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right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395"/>
        <w:jc w:val="center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2 к Программе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/>
        <w:jc w:val="center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мероприятий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026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401"/>
        <w:gridCol w:w="1418"/>
        <w:gridCol w:w="3402"/>
        <w:gridCol w:w="851"/>
        <w:gridCol w:w="1134"/>
        <w:gridCol w:w="1134"/>
        <w:gridCol w:w="1134"/>
        <w:gridCol w:w="1701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Ед.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2027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outlineLvl w:val="2"/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Цель: «</w:t>
            </w:r>
            <w:r>
              <w:rPr>
                <w:b/>
                <w:sz w:val="22"/>
                <w:szCs w:val="22"/>
              </w:rPr>
              <w:t xml:space="preserve">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требованиям»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026" w:type="dxa"/>
            <w:textDirection w:val="lrTb"/>
            <w:noWrap w:val="false"/>
          </w:tcPr>
          <w:p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Основное мероприятие 1. Приведение в нормативное состояние сети автомобильных дорог общего пользования местного значения на территории Печенгского муниципального округа 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Эксплуатационное содержание автомобильных дорог в соответствии с требованиями стандартов, норм и правил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карточному (ямочному) ремонту автомобильных дорог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проведенного ямочного ремонта, на участках автодорог, на которых отсутствует необходимость замены дорожного покрытия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 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500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500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Протяженность дорожной разметки на дорогах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                   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дорожно-уличной системы Печенгского муниципального округа дорожными знаками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«НДС»;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работ по ремонту дорог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2025 - 2027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Площадь отремонтированных автомобильных дорог общего пользования местного значения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кв. м.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5500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5500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5500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МКУ «</w:t>
            </w:r>
            <w:r>
              <w:rPr>
                <w:sz w:val="22"/>
                <w:szCs w:val="22"/>
              </w:rPr>
              <w:t xml:space="preserve">УБиР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Устройство автобусных остановок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2"/>
                <w:szCs w:val="22"/>
              </w:rPr>
              <w:t xml:space="preserve">2025 - 2026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обустроенных автобусных остановок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шт.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 менее 2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 менее 2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1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автомобильных дорог общего пользования местного значения за счет дорожного фонда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40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 автомобильных дорог общего пользования местного значения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Да/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нет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да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>
              <w:t xml:space="preserve">».</w:t>
            </w:r>
            <w:r/>
          </w:p>
        </w:tc>
      </w:tr>
    </w:tbl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tabs>
          <w:tab w:val="left" w:pos="175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12474" w:right="395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2474" w:right="395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  <w:sectPr>
          <w:footnotePr/>
          <w:endnotePr/>
          <w:type w:val="nextPage"/>
          <w:pgSz w:w="16838" w:h="11906" w:orient="landscape"/>
          <w:pgMar w:top="1276" w:right="1245" w:bottom="850" w:left="1134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rPr>
        <w:rStyle w:val="934"/>
      </w:rPr>
      <w:framePr w:wrap="around" w:vAnchor="text" w:hAnchor="margin" w:xAlign="center" w:y="1"/>
    </w:pPr>
    <w:r>
      <w:rPr>
        <w:rStyle w:val="934"/>
      </w:rPr>
      <w:fldChar w:fldCharType="begin"/>
    </w:r>
    <w:r>
      <w:rPr>
        <w:rStyle w:val="934"/>
      </w:rPr>
      <w:instrText xml:space="preserve">PAGE  </w:instrText>
    </w:r>
    <w:r>
      <w:rPr>
        <w:rStyle w:val="934"/>
      </w:rPr>
      <w:fldChar w:fldCharType="end"/>
    </w:r>
    <w:r>
      <w:rPr>
        <w:rStyle w:val="934"/>
      </w:rPr>
    </w:r>
    <w:r>
      <w:rPr>
        <w:rStyle w:val="934"/>
      </w:rPr>
    </w:r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5">
    <w:multiLevelType w:val="hybridMultilevel"/>
    <w:lvl w:ilvl="0">
      <w:start w:val="2025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31"/>
  </w:num>
  <w:num w:numId="4">
    <w:abstractNumId w:val="25"/>
  </w:num>
  <w:num w:numId="5">
    <w:abstractNumId w:val="19"/>
  </w:num>
  <w:num w:numId="6">
    <w:abstractNumId w:val="8"/>
  </w:num>
  <w:num w:numId="7">
    <w:abstractNumId w:val="29"/>
  </w:num>
  <w:num w:numId="8">
    <w:abstractNumId w:val="20"/>
  </w:num>
  <w:num w:numId="9">
    <w:abstractNumId w:val="30"/>
  </w:num>
  <w:num w:numId="10">
    <w:abstractNumId w:val="3"/>
  </w:num>
  <w:num w:numId="11">
    <w:abstractNumId w:val="21"/>
  </w:num>
  <w:num w:numId="12">
    <w:abstractNumId w:val="22"/>
  </w:num>
  <w:num w:numId="13">
    <w:abstractNumId w:val="7"/>
  </w:num>
  <w:num w:numId="14">
    <w:abstractNumId w:val="4"/>
  </w:num>
  <w:num w:numId="15">
    <w:abstractNumId w:val="24"/>
  </w:num>
  <w:num w:numId="16">
    <w:abstractNumId w:val="27"/>
  </w:num>
  <w:num w:numId="17">
    <w:abstractNumId w:val="26"/>
  </w:num>
  <w:num w:numId="18">
    <w:abstractNumId w:val="23"/>
  </w:num>
  <w:num w:numId="19">
    <w:abstractNumId w:val="5"/>
  </w:num>
  <w:num w:numId="20">
    <w:abstractNumId w:val="16"/>
  </w:num>
  <w:num w:numId="21">
    <w:abstractNumId w:val="6"/>
  </w:num>
  <w:num w:numId="22">
    <w:abstractNumId w:val="28"/>
  </w:num>
  <w:num w:numId="23">
    <w:abstractNumId w:val="2"/>
  </w:num>
  <w:num w:numId="24">
    <w:abstractNumId w:val="9"/>
  </w:num>
  <w:num w:numId="25">
    <w:abstractNumId w:val="18"/>
  </w:num>
  <w:num w:numId="26">
    <w:abstractNumId w:val="13"/>
  </w:num>
  <w:num w:numId="27">
    <w:abstractNumId w:val="11"/>
  </w:num>
  <w:num w:numId="28">
    <w:abstractNumId w:val="17"/>
  </w:num>
  <w:num w:numId="29">
    <w:abstractNumId w:val="14"/>
  </w:num>
  <w:num w:numId="30">
    <w:abstractNumId w:val="12"/>
  </w:num>
  <w:num w:numId="31">
    <w:abstractNumId w:val="1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9">
    <w:name w:val="Heading 1 Char"/>
    <w:basedOn w:val="921"/>
    <w:link w:val="919"/>
    <w:uiPriority w:val="9"/>
    <w:rPr>
      <w:rFonts w:ascii="Arial" w:hAnsi="Arial" w:eastAsia="Arial" w:cs="Arial"/>
      <w:sz w:val="40"/>
      <w:szCs w:val="40"/>
    </w:rPr>
  </w:style>
  <w:style w:type="character" w:styleId="750">
    <w:name w:val="Heading 2 Char"/>
    <w:basedOn w:val="921"/>
    <w:link w:val="920"/>
    <w:uiPriority w:val="9"/>
    <w:rPr>
      <w:rFonts w:ascii="Arial" w:hAnsi="Arial" w:eastAsia="Arial" w:cs="Arial"/>
      <w:sz w:val="34"/>
    </w:rPr>
  </w:style>
  <w:style w:type="paragraph" w:styleId="751">
    <w:name w:val="Heading 3"/>
    <w:basedOn w:val="918"/>
    <w:next w:val="918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2">
    <w:name w:val="Heading 3 Char"/>
    <w:basedOn w:val="921"/>
    <w:link w:val="751"/>
    <w:uiPriority w:val="9"/>
    <w:rPr>
      <w:rFonts w:ascii="Arial" w:hAnsi="Arial" w:eastAsia="Arial" w:cs="Arial"/>
      <w:sz w:val="30"/>
      <w:szCs w:val="30"/>
    </w:rPr>
  </w:style>
  <w:style w:type="paragraph" w:styleId="753">
    <w:name w:val="Heading 4"/>
    <w:basedOn w:val="918"/>
    <w:next w:val="918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4">
    <w:name w:val="Heading 4 Char"/>
    <w:basedOn w:val="921"/>
    <w:link w:val="753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8"/>
    <w:next w:val="918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paragraph" w:styleId="757">
    <w:name w:val="Heading 6"/>
    <w:basedOn w:val="918"/>
    <w:next w:val="918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8">
    <w:name w:val="Heading 6 Char"/>
    <w:basedOn w:val="921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759">
    <w:name w:val="Heading 7"/>
    <w:basedOn w:val="918"/>
    <w:next w:val="918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0">
    <w:name w:val="Heading 7 Char"/>
    <w:basedOn w:val="921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1">
    <w:name w:val="Heading 8"/>
    <w:basedOn w:val="918"/>
    <w:next w:val="918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2">
    <w:name w:val="Heading 8 Char"/>
    <w:basedOn w:val="921"/>
    <w:link w:val="761"/>
    <w:uiPriority w:val="9"/>
    <w:rPr>
      <w:rFonts w:ascii="Arial" w:hAnsi="Arial" w:eastAsia="Arial" w:cs="Arial"/>
      <w:i/>
      <w:iCs/>
      <w:sz w:val="22"/>
      <w:szCs w:val="22"/>
    </w:rPr>
  </w:style>
  <w:style w:type="paragraph" w:styleId="763">
    <w:name w:val="Heading 9"/>
    <w:basedOn w:val="918"/>
    <w:next w:val="918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>
    <w:name w:val="Heading 9 Char"/>
    <w:basedOn w:val="921"/>
    <w:link w:val="763"/>
    <w:uiPriority w:val="9"/>
    <w:rPr>
      <w:rFonts w:ascii="Arial" w:hAnsi="Arial" w:eastAsia="Arial" w:cs="Arial"/>
      <w:i/>
      <w:iCs/>
      <w:sz w:val="21"/>
      <w:szCs w:val="21"/>
    </w:rPr>
  </w:style>
  <w:style w:type="character" w:styleId="765">
    <w:name w:val="Title Char"/>
    <w:basedOn w:val="921"/>
    <w:link w:val="950"/>
    <w:uiPriority w:val="10"/>
    <w:rPr>
      <w:sz w:val="48"/>
      <w:szCs w:val="48"/>
    </w:rPr>
  </w:style>
  <w:style w:type="paragraph" w:styleId="766">
    <w:name w:val="Subtitle"/>
    <w:basedOn w:val="918"/>
    <w:next w:val="918"/>
    <w:link w:val="767"/>
    <w:uiPriority w:val="11"/>
    <w:qFormat/>
    <w:pPr>
      <w:spacing w:before="200" w:after="200"/>
    </w:pPr>
    <w:rPr>
      <w:sz w:val="24"/>
      <w:szCs w:val="24"/>
    </w:rPr>
  </w:style>
  <w:style w:type="character" w:styleId="767">
    <w:name w:val="Subtitle Char"/>
    <w:basedOn w:val="921"/>
    <w:link w:val="766"/>
    <w:uiPriority w:val="11"/>
    <w:rPr>
      <w:sz w:val="24"/>
      <w:szCs w:val="24"/>
    </w:rPr>
  </w:style>
  <w:style w:type="paragraph" w:styleId="768">
    <w:name w:val="Quote"/>
    <w:basedOn w:val="918"/>
    <w:next w:val="918"/>
    <w:link w:val="769"/>
    <w:uiPriority w:val="29"/>
    <w:qFormat/>
    <w:pPr>
      <w:ind w:left="720" w:right="720"/>
    </w:pPr>
    <w:rPr>
      <w:i/>
    </w:rPr>
  </w:style>
  <w:style w:type="character" w:styleId="769">
    <w:name w:val="Quote Char"/>
    <w:link w:val="768"/>
    <w:uiPriority w:val="29"/>
    <w:rPr>
      <w:i/>
    </w:rPr>
  </w:style>
  <w:style w:type="paragraph" w:styleId="770">
    <w:name w:val="Intense Quote"/>
    <w:basedOn w:val="918"/>
    <w:next w:val="918"/>
    <w:link w:val="77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>
    <w:name w:val="Intense Quote Char"/>
    <w:link w:val="770"/>
    <w:uiPriority w:val="30"/>
    <w:rPr>
      <w:i/>
    </w:rPr>
  </w:style>
  <w:style w:type="character" w:styleId="772">
    <w:name w:val="Header Char"/>
    <w:basedOn w:val="921"/>
    <w:link w:val="935"/>
    <w:uiPriority w:val="99"/>
  </w:style>
  <w:style w:type="character" w:styleId="773">
    <w:name w:val="Footer Char"/>
    <w:basedOn w:val="921"/>
    <w:link w:val="932"/>
    <w:uiPriority w:val="99"/>
  </w:style>
  <w:style w:type="paragraph" w:styleId="774">
    <w:name w:val="Caption"/>
    <w:basedOn w:val="918"/>
    <w:next w:val="9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5">
    <w:name w:val="Caption Char"/>
    <w:basedOn w:val="774"/>
    <w:link w:val="932"/>
    <w:uiPriority w:val="99"/>
  </w:style>
  <w:style w:type="table" w:styleId="776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7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0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2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4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5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6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7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8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9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0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1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2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4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5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7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8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9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0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1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2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3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9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0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1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2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3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4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5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0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7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8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9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0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1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2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3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4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5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6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7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8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9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0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1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2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3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4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5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6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7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8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9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0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1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2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3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4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5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6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7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8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9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0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1">
    <w:name w:val="footnote text"/>
    <w:basedOn w:val="918"/>
    <w:link w:val="902"/>
    <w:uiPriority w:val="99"/>
    <w:semiHidden/>
    <w:unhideWhenUsed/>
    <w:pPr>
      <w:spacing w:after="40" w:line="240" w:lineRule="auto"/>
    </w:pPr>
    <w:rPr>
      <w:sz w:val="18"/>
    </w:rPr>
  </w:style>
  <w:style w:type="character" w:styleId="902">
    <w:name w:val="Footnote Text Char"/>
    <w:link w:val="901"/>
    <w:uiPriority w:val="99"/>
    <w:rPr>
      <w:sz w:val="18"/>
    </w:rPr>
  </w:style>
  <w:style w:type="character" w:styleId="903">
    <w:name w:val="footnote reference"/>
    <w:basedOn w:val="921"/>
    <w:uiPriority w:val="99"/>
    <w:unhideWhenUsed/>
    <w:rPr>
      <w:vertAlign w:val="superscript"/>
    </w:rPr>
  </w:style>
  <w:style w:type="paragraph" w:styleId="904">
    <w:name w:val="endnote text"/>
    <w:basedOn w:val="918"/>
    <w:link w:val="905"/>
    <w:uiPriority w:val="99"/>
    <w:semiHidden/>
    <w:unhideWhenUsed/>
    <w:pPr>
      <w:spacing w:after="0" w:line="240" w:lineRule="auto"/>
    </w:pPr>
    <w:rPr>
      <w:sz w:val="20"/>
    </w:rPr>
  </w:style>
  <w:style w:type="character" w:styleId="905">
    <w:name w:val="Endnote Text Char"/>
    <w:link w:val="904"/>
    <w:uiPriority w:val="99"/>
    <w:rPr>
      <w:sz w:val="20"/>
    </w:rPr>
  </w:style>
  <w:style w:type="character" w:styleId="906">
    <w:name w:val="endnote reference"/>
    <w:basedOn w:val="921"/>
    <w:uiPriority w:val="99"/>
    <w:semiHidden/>
    <w:unhideWhenUsed/>
    <w:rPr>
      <w:vertAlign w:val="superscript"/>
    </w:rPr>
  </w:style>
  <w:style w:type="paragraph" w:styleId="907">
    <w:name w:val="toc 1"/>
    <w:basedOn w:val="918"/>
    <w:next w:val="918"/>
    <w:uiPriority w:val="39"/>
    <w:unhideWhenUsed/>
    <w:pPr>
      <w:ind w:left="0" w:right="0" w:firstLine="0"/>
      <w:spacing w:after="57"/>
    </w:pPr>
  </w:style>
  <w:style w:type="paragraph" w:styleId="908">
    <w:name w:val="toc 2"/>
    <w:basedOn w:val="918"/>
    <w:next w:val="918"/>
    <w:uiPriority w:val="39"/>
    <w:unhideWhenUsed/>
    <w:pPr>
      <w:ind w:left="283" w:right="0" w:firstLine="0"/>
      <w:spacing w:after="57"/>
    </w:pPr>
  </w:style>
  <w:style w:type="paragraph" w:styleId="909">
    <w:name w:val="toc 3"/>
    <w:basedOn w:val="918"/>
    <w:next w:val="918"/>
    <w:uiPriority w:val="39"/>
    <w:unhideWhenUsed/>
    <w:pPr>
      <w:ind w:left="567" w:right="0" w:firstLine="0"/>
      <w:spacing w:after="57"/>
    </w:pPr>
  </w:style>
  <w:style w:type="paragraph" w:styleId="910">
    <w:name w:val="toc 4"/>
    <w:basedOn w:val="918"/>
    <w:next w:val="918"/>
    <w:uiPriority w:val="39"/>
    <w:unhideWhenUsed/>
    <w:pPr>
      <w:ind w:left="850" w:right="0" w:firstLine="0"/>
      <w:spacing w:after="57"/>
    </w:pPr>
  </w:style>
  <w:style w:type="paragraph" w:styleId="911">
    <w:name w:val="toc 5"/>
    <w:basedOn w:val="918"/>
    <w:next w:val="918"/>
    <w:uiPriority w:val="39"/>
    <w:unhideWhenUsed/>
    <w:pPr>
      <w:ind w:left="1134" w:right="0" w:firstLine="0"/>
      <w:spacing w:after="57"/>
    </w:pPr>
  </w:style>
  <w:style w:type="paragraph" w:styleId="912">
    <w:name w:val="toc 6"/>
    <w:basedOn w:val="918"/>
    <w:next w:val="918"/>
    <w:uiPriority w:val="39"/>
    <w:unhideWhenUsed/>
    <w:pPr>
      <w:ind w:left="1417" w:right="0" w:firstLine="0"/>
      <w:spacing w:after="57"/>
    </w:pPr>
  </w:style>
  <w:style w:type="paragraph" w:styleId="913">
    <w:name w:val="toc 7"/>
    <w:basedOn w:val="918"/>
    <w:next w:val="918"/>
    <w:uiPriority w:val="39"/>
    <w:unhideWhenUsed/>
    <w:pPr>
      <w:ind w:left="1701" w:right="0" w:firstLine="0"/>
      <w:spacing w:after="57"/>
    </w:pPr>
  </w:style>
  <w:style w:type="paragraph" w:styleId="914">
    <w:name w:val="toc 8"/>
    <w:basedOn w:val="918"/>
    <w:next w:val="918"/>
    <w:uiPriority w:val="39"/>
    <w:unhideWhenUsed/>
    <w:pPr>
      <w:ind w:left="1984" w:right="0" w:firstLine="0"/>
      <w:spacing w:after="57"/>
    </w:pPr>
  </w:style>
  <w:style w:type="paragraph" w:styleId="915">
    <w:name w:val="toc 9"/>
    <w:basedOn w:val="918"/>
    <w:next w:val="918"/>
    <w:uiPriority w:val="39"/>
    <w:unhideWhenUsed/>
    <w:pPr>
      <w:ind w:left="2268" w:right="0" w:firstLine="0"/>
      <w:spacing w:after="57"/>
    </w:pPr>
  </w:style>
  <w:style w:type="paragraph" w:styleId="916">
    <w:name w:val="TOC Heading"/>
    <w:uiPriority w:val="39"/>
    <w:unhideWhenUsed/>
  </w:style>
  <w:style w:type="paragraph" w:styleId="917">
    <w:name w:val="table of figures"/>
    <w:basedOn w:val="918"/>
    <w:next w:val="918"/>
    <w:uiPriority w:val="99"/>
    <w:unhideWhenUsed/>
    <w:pPr>
      <w:spacing w:after="0" w:afterAutospacing="0"/>
    </w:pPr>
  </w:style>
  <w:style w:type="paragraph" w:styleId="918" w:default="1">
    <w:name w:val="Normal"/>
    <w:qFormat/>
  </w:style>
  <w:style w:type="paragraph" w:styleId="919">
    <w:name w:val="Heading 1"/>
    <w:basedOn w:val="918"/>
    <w:next w:val="918"/>
    <w:qFormat/>
    <w:pPr>
      <w:jc w:val="center"/>
      <w:keepNext/>
      <w:outlineLvl w:val="0"/>
    </w:pPr>
    <w:rPr>
      <w:sz w:val="24"/>
    </w:rPr>
  </w:style>
  <w:style w:type="paragraph" w:styleId="920">
    <w:name w:val="Heading 2"/>
    <w:basedOn w:val="918"/>
    <w:next w:val="918"/>
    <w:link w:val="930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>
    <w:name w:val="Body Text"/>
    <w:basedOn w:val="918"/>
    <w:pPr>
      <w:jc w:val="both"/>
    </w:pPr>
    <w:rPr>
      <w:sz w:val="24"/>
      <w:szCs w:val="24"/>
    </w:rPr>
  </w:style>
  <w:style w:type="paragraph" w:styleId="925">
    <w:name w:val="Body Text Indent"/>
    <w:basedOn w:val="918"/>
    <w:link w:val="949"/>
    <w:uiPriority w:val="99"/>
    <w:pPr>
      <w:ind w:left="283"/>
      <w:spacing w:after="120"/>
    </w:pPr>
  </w:style>
  <w:style w:type="paragraph" w:styleId="926">
    <w:name w:val="Body Text 2"/>
    <w:basedOn w:val="91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7">
    <w:name w:val="Body Text Indent 2"/>
    <w:basedOn w:val="918"/>
    <w:link w:val="957"/>
    <w:pPr>
      <w:ind w:firstLine="709"/>
      <w:jc w:val="both"/>
    </w:pPr>
    <w:rPr>
      <w:bCs/>
      <w:sz w:val="26"/>
      <w:szCs w:val="26"/>
    </w:rPr>
  </w:style>
  <w:style w:type="paragraph" w:styleId="928">
    <w:name w:val="Body Text Indent 3"/>
    <w:basedOn w:val="91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9" w:customStyle="1">
    <w:name w:val="Знак Знак2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0" w:customStyle="1">
    <w:name w:val="Заголовок 2 Знак"/>
    <w:link w:val="920"/>
    <w:uiPriority w:val="9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31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32">
    <w:name w:val="Footer"/>
    <w:basedOn w:val="918"/>
    <w:link w:val="933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3" w:customStyle="1">
    <w:name w:val="Нижний колонтитул Знак"/>
    <w:link w:val="932"/>
    <w:uiPriority w:val="99"/>
    <w:rPr>
      <w:rFonts w:ascii="Arial" w:hAnsi="Arial" w:cs="Arial"/>
    </w:rPr>
  </w:style>
  <w:style w:type="character" w:styleId="934">
    <w:name w:val="page number"/>
    <w:uiPriority w:val="99"/>
  </w:style>
  <w:style w:type="paragraph" w:styleId="935">
    <w:name w:val="Header"/>
    <w:basedOn w:val="918"/>
    <w:link w:val="936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6" w:customStyle="1">
    <w:name w:val="Верхний колонтитул Знак"/>
    <w:link w:val="935"/>
    <w:uiPriority w:val="99"/>
    <w:rPr>
      <w:rFonts w:ascii="Arial" w:hAnsi="Arial" w:cs="Arial"/>
    </w:rPr>
  </w:style>
  <w:style w:type="paragraph" w:styleId="937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8">
    <w:name w:val="Table Grid"/>
    <w:basedOn w:val="922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>
    <w:name w:val="Balloon Text"/>
    <w:basedOn w:val="918"/>
    <w:link w:val="940"/>
    <w:uiPriority w:val="99"/>
    <w:rPr>
      <w:rFonts w:ascii="Arial" w:hAnsi="Arial" w:cs="Arial"/>
      <w:sz w:val="16"/>
      <w:szCs w:val="16"/>
    </w:rPr>
  </w:style>
  <w:style w:type="character" w:styleId="940" w:customStyle="1">
    <w:name w:val="Текст выноски Знак"/>
    <w:link w:val="939"/>
    <w:uiPriority w:val="99"/>
    <w:rPr>
      <w:rFonts w:ascii="Arial" w:hAnsi="Arial" w:cs="Arial"/>
      <w:sz w:val="16"/>
      <w:szCs w:val="16"/>
    </w:rPr>
  </w:style>
  <w:style w:type="paragraph" w:styleId="941">
    <w:name w:val="List Paragraph"/>
    <w:basedOn w:val="918"/>
    <w:link w:val="942"/>
    <w:uiPriority w:val="34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2" w:customStyle="1">
    <w:name w:val="Абзац списка Знак"/>
    <w:link w:val="941"/>
    <w:uiPriority w:val="34"/>
    <w:rPr>
      <w:rFonts w:ascii="Calibri" w:hAnsi="Calibri" w:eastAsia="Calibri" w:cs="Calibri"/>
      <w:sz w:val="22"/>
      <w:szCs w:val="22"/>
      <w:lang w:eastAsia="en-US"/>
    </w:rPr>
  </w:style>
  <w:style w:type="paragraph" w:styleId="943" w:customStyle="1">
    <w:name w:val="Абзац списка1"/>
    <w:basedOn w:val="918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4">
    <w:name w:val="Hyperlink"/>
    <w:rPr>
      <w:color w:val="0000ff"/>
      <w:u w:val="single"/>
    </w:rPr>
  </w:style>
  <w:style w:type="paragraph" w:styleId="945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6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7">
    <w:name w:val="Body Text 3"/>
    <w:basedOn w:val="918"/>
    <w:link w:val="948"/>
    <w:uiPriority w:val="99"/>
    <w:pPr>
      <w:spacing w:after="120"/>
    </w:pPr>
    <w:rPr>
      <w:sz w:val="16"/>
      <w:szCs w:val="16"/>
    </w:rPr>
  </w:style>
  <w:style w:type="character" w:styleId="948" w:customStyle="1">
    <w:name w:val="Основной текст 3 Знак"/>
    <w:basedOn w:val="921"/>
    <w:link w:val="947"/>
    <w:uiPriority w:val="99"/>
    <w:rPr>
      <w:sz w:val="16"/>
      <w:szCs w:val="16"/>
    </w:rPr>
  </w:style>
  <w:style w:type="character" w:styleId="949" w:customStyle="1">
    <w:name w:val="Основной текст с отступом Знак"/>
    <w:link w:val="925"/>
    <w:uiPriority w:val="99"/>
  </w:style>
  <w:style w:type="paragraph" w:styleId="950">
    <w:name w:val="Title"/>
    <w:basedOn w:val="918"/>
    <w:link w:val="951"/>
    <w:uiPriority w:val="99"/>
    <w:qFormat/>
    <w:pPr>
      <w:jc w:val="center"/>
    </w:pPr>
    <w:rPr>
      <w:caps/>
      <w:sz w:val="24"/>
      <w:szCs w:val="24"/>
    </w:rPr>
  </w:style>
  <w:style w:type="character" w:styleId="951" w:customStyle="1">
    <w:name w:val="Заголовок Знак"/>
    <w:basedOn w:val="921"/>
    <w:link w:val="950"/>
    <w:uiPriority w:val="99"/>
    <w:rPr>
      <w:caps/>
      <w:sz w:val="24"/>
      <w:szCs w:val="24"/>
    </w:rPr>
  </w:style>
  <w:style w:type="paragraph" w:styleId="952" w:customStyle="1">
    <w:name w:val="Знак1"/>
    <w:basedOn w:val="918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53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4" w:customStyle="1">
    <w:name w:val="Знак Знак Знак Знак Знак Знак Знак Знак Знак Знак"/>
    <w:basedOn w:val="918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5">
    <w:name w:val="Emphasis"/>
    <w:qFormat/>
    <w:rPr>
      <w:i/>
      <w:iCs/>
    </w:rPr>
  </w:style>
  <w:style w:type="table" w:styleId="956" w:customStyle="1">
    <w:name w:val="Сетка таблицы1"/>
    <w:basedOn w:val="922"/>
    <w:next w:val="938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Основной текст с отступом 2 Знак"/>
    <w:link w:val="927"/>
    <w:rPr>
      <w:bCs/>
      <w:sz w:val="26"/>
      <w:szCs w:val="2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3940B-B12D-4049-BC17-140747047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20</cp:revision>
  <dcterms:created xsi:type="dcterms:W3CDTF">2025-12-05T10:55:00Z</dcterms:created>
  <dcterms:modified xsi:type="dcterms:W3CDTF">2025-12-18T07:46:43Z</dcterms:modified>
</cp:coreProperties>
</file>