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szCs w:val="16"/>
        </w:rPr>
      </w:pPr>
      <w:r>
        <w:rPr>
          <w:szCs w:val="16"/>
        </w:rPr>
      </w:r>
      <w:r>
        <w:rPr>
          <w:szCs w:val="16"/>
        </w:rPr>
      </w:r>
      <w:r>
        <w:rPr>
          <w:szCs w:val="16"/>
        </w:rPr>
      </w:r>
    </w:p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Cs w:val="16"/>
        </w:rPr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02.12.2025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                </w:t>
      </w:r>
      <w:r>
        <w:rPr>
          <w:b/>
          <w:color w:val="000000"/>
          <w:sz w:val="24"/>
        </w:rPr>
        <w:t xml:space="preserve">№</w:t>
      </w:r>
      <w:r>
        <w:rPr>
          <w:b/>
          <w:color w:val="000000"/>
          <w:sz w:val="24"/>
        </w:rPr>
        <w:t xml:space="preserve"> 2003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0"/>
        <w:jc w:val="center"/>
        <w:tabs>
          <w:tab w:val="left" w:pos="9900" w:leader="none"/>
        </w:tabs>
        <w:rPr>
          <w:b/>
        </w:rPr>
        <w:suppressLineNumbers w:val="0"/>
      </w:pPr>
      <w:r>
        <w:rPr>
          <w:b/>
        </w:rPr>
        <w:t xml:space="preserve">О внесении изменений в </w:t>
      </w:r>
      <w:r>
        <w:rPr>
          <w:b/>
        </w:rPr>
        <w:t xml:space="preserve">муниципальн</w:t>
      </w:r>
      <w:r>
        <w:rPr>
          <w:b/>
        </w:rPr>
        <w:t xml:space="preserve">ую</w:t>
      </w:r>
      <w:r>
        <w:rPr>
          <w:b/>
        </w:rPr>
        <w:t xml:space="preserve"> программ</w:t>
      </w:r>
      <w:r>
        <w:rPr>
          <w:b/>
        </w:rPr>
        <w:t xml:space="preserve">у</w:t>
      </w:r>
      <w:r>
        <w:rPr>
          <w:b/>
        </w:rPr>
        <w:t xml:space="preserve"> Печенгского муниципального округа</w:t>
      </w: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pPr>
        <w:ind w:right="0"/>
        <w:jc w:val="center"/>
        <w:tabs>
          <w:tab w:val="left" w:pos="9900" w:leader="none"/>
        </w:tabs>
        <w:rPr>
          <w:b/>
        </w:rPr>
        <w:suppressLineNumbers w:val="0"/>
      </w:pPr>
      <w:r>
        <w:rPr>
          <w:b/>
        </w:rPr>
        <w:t xml:space="preserve"> </w:t>
      </w:r>
      <w:r>
        <w:rPr>
          <w:b/>
        </w:rPr>
        <w:t xml:space="preserve">«</w:t>
      </w:r>
      <w:r>
        <w:rPr>
          <w:b/>
        </w:rPr>
        <w:t xml:space="preserve">Комфортная среда проживания</w:t>
      </w:r>
      <w:r>
        <w:rPr>
          <w:b/>
        </w:rPr>
        <w:t xml:space="preserve">» на 202</w:t>
      </w:r>
      <w:r>
        <w:rPr>
          <w:b/>
        </w:rPr>
        <w:t xml:space="preserve">5 - 2027</w:t>
      </w:r>
      <w:r>
        <w:rPr>
          <w:b/>
        </w:rPr>
        <w:t xml:space="preserve"> годы</w:t>
      </w:r>
      <w:r>
        <w:rPr>
          <w:b/>
        </w:rPr>
        <w:t xml:space="preserve">, утвержденную постановлением администрации </w:t>
      </w:r>
      <w:r>
        <w:rPr>
          <w:b/>
        </w:rPr>
        <w:t xml:space="preserve"> </w:t>
      </w:r>
      <w:r>
        <w:rPr>
          <w:b/>
        </w:rPr>
        <w:t xml:space="preserve">                             </w:t>
      </w:r>
      <w:r>
        <w:rPr>
          <w:b/>
        </w:rPr>
        <w:t xml:space="preserve">Печенгского муниципального округа от </w:t>
      </w:r>
      <w:r>
        <w:rPr>
          <w:b/>
        </w:rPr>
        <w:t xml:space="preserve">01</w:t>
      </w:r>
      <w:r>
        <w:rPr>
          <w:b/>
        </w:rPr>
        <w:t xml:space="preserve">.11.202</w:t>
      </w:r>
      <w:r>
        <w:rPr>
          <w:b/>
        </w:rPr>
        <w:t xml:space="preserve">4</w:t>
      </w:r>
      <w:r>
        <w:rPr>
          <w:b/>
        </w:rPr>
        <w:t xml:space="preserve"> № </w:t>
      </w:r>
      <w:r>
        <w:rPr>
          <w:b/>
        </w:rPr>
        <w:t xml:space="preserve">1717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179 Бюдж</w:t>
      </w:r>
      <w:r>
        <w:rPr>
          <w:sz w:val="24"/>
          <w:szCs w:val="24"/>
        </w:rPr>
        <w:t xml:space="preserve">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right="0" w:firstLine="709"/>
        <w:jc w:val="both"/>
        <w:tabs>
          <w:tab w:val="left" w:pos="990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 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 «Комфортная среда проживания» на 2025-2027 годы, утвержденную постановлением администраци</w:t>
      </w:r>
      <w:r>
        <w:rPr>
          <w:sz w:val="24"/>
          <w:szCs w:val="24"/>
        </w:rPr>
        <w:t xml:space="preserve">и </w:t>
      </w:r>
      <w:r>
        <w:rPr>
          <w:sz w:val="24"/>
          <w:szCs w:val="24"/>
        </w:rPr>
        <w:t xml:space="preserve">Печенгского муниципального округа от 01.11.2024 № </w:t>
      </w:r>
      <w:r>
        <w:rPr>
          <w:sz w:val="24"/>
          <w:szCs w:val="24"/>
        </w:rPr>
        <w:t xml:space="preserve">1717</w:t>
      </w:r>
      <w:r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в редакции постановления администрации Печенгского муниципального округа </w:t>
      </w:r>
      <w:r>
        <w:rPr>
          <w:sz w:val="24"/>
          <w:szCs w:val="24"/>
        </w:rPr>
        <w:t xml:space="preserve">14.11.2025 № 1879)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рок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«Показатели программы» в паспорте Программы </w:t>
      </w:r>
      <w:r>
        <w:rPr>
          <w:sz w:val="24"/>
          <w:szCs w:val="24"/>
        </w:rPr>
        <w:t xml:space="preserve">дополнить пункт</w:t>
      </w:r>
      <w:r>
        <w:rPr>
          <w:sz w:val="24"/>
          <w:szCs w:val="24"/>
        </w:rPr>
        <w:t xml:space="preserve">ами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40</w:t>
      </w:r>
      <w:r>
        <w:rPr>
          <w:sz w:val="24"/>
          <w:szCs w:val="24"/>
        </w:rPr>
        <w:t xml:space="preserve">, 41 и 42</w:t>
      </w:r>
      <w:r>
        <w:rPr>
          <w:sz w:val="24"/>
          <w:szCs w:val="24"/>
        </w:rPr>
        <w:t xml:space="preserve">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715"/>
        <w:gridCol w:w="7811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15" w:type="dxa"/>
            <w:textDirection w:val="lrTb"/>
            <w:noWrap w:val="false"/>
          </w:tcPr>
          <w:p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40. </w:t>
            </w:r>
            <w:r>
              <w:rPr>
                <w:sz w:val="24"/>
                <w:szCs w:val="24"/>
              </w:rPr>
              <w:t xml:space="preserve">Количество отремонтированных фонтанов.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41. Количество подготовленных искусственных ледовых покрытий (катков).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  <w:t xml:space="preserve">. Количество </w:t>
            </w:r>
            <w:r>
              <w:rPr>
                <w:sz w:val="24"/>
                <w:szCs w:val="24"/>
              </w:rPr>
              <w:t xml:space="preserve">устроенных о</w:t>
            </w:r>
            <w:r>
              <w:rPr>
                <w:sz w:val="24"/>
                <w:szCs w:val="24"/>
              </w:rPr>
              <w:t xml:space="preserve">снований под остановочные павильоны.</w:t>
            </w:r>
            <w:r>
              <w:rPr>
                <w:sz w:val="24"/>
                <w:szCs w:val="24"/>
              </w:rPr>
              <w:t xml:space="preserve">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троку «Финансовое обеспечение программы» в паспорте Программы изложить в 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82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82"/>
        <w:gridCol w:w="7200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2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00" w:type="dxa"/>
            <w:textDirection w:val="lrTb"/>
            <w:noWrap w:val="false"/>
          </w:tcPr>
          <w:p>
            <w:pPr>
              <w:pStyle w:val="94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муниципальной 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14 852,8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167492,4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167492,4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199938,7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179605,0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12618,3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7715,4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13188,1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196701,9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46245,9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70240,3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34233,6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34233,6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widowControl w:val="off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0,0 тыс. рублей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  <w:t xml:space="preserve">»;</w:t>
            </w:r>
            <w:r>
              <w:rPr>
                <w:i/>
                <w:sz w:val="24"/>
                <w:szCs w:val="24"/>
              </w:rPr>
            </w:r>
            <w:r>
              <w:rPr>
                <w:i/>
                <w:sz w:val="24"/>
                <w:szCs w:val="24"/>
              </w:rPr>
            </w:r>
          </w:p>
        </w:tc>
      </w:tr>
    </w:tbl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-</w:t>
      </w:r>
      <w:r>
        <w:rPr>
          <w:rFonts w:eastAsia="Calibri"/>
          <w:sz w:val="24"/>
          <w:szCs w:val="24"/>
        </w:rPr>
        <w:t xml:space="preserve"> строку «</w:t>
      </w:r>
      <w:r>
        <w:rPr>
          <w:rFonts w:eastAsia="Calibri"/>
          <w:sz w:val="24"/>
          <w:szCs w:val="24"/>
        </w:rPr>
        <w:t xml:space="preserve">Справочно</w:t>
      </w:r>
      <w:r>
        <w:rPr>
          <w:rFonts w:eastAsia="Calibri"/>
          <w:sz w:val="24"/>
          <w:szCs w:val="24"/>
        </w:rPr>
        <w:t xml:space="preserve">: объем налоговых расходов муниципального образования в рамках реализации программы» в паспорте Программы изложить в следующей редакции: 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tbl>
      <w:tblPr>
        <w:tblW w:w="9540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10"/>
        <w:gridCol w:w="7130"/>
      </w:tblGrid>
      <w:tr>
        <w:tblPrEx/>
        <w:trPr>
          <w:jc w:val="center"/>
          <w:trHeight w:val="2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«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Справочно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: объем налоговых расходов муниципального образования в рамках реализации программы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30" w:type="dxa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Всего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1833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 в том числе: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2025 год: 611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 тыс. рублей;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611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 тыс. рублей;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2027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611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 тыс. рублей.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»;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</w:tbl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2.1.3, 2.4.6, </w:t>
      </w: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5.1, 2.6.1</w:t>
      </w:r>
      <w:r>
        <w:rPr>
          <w:sz w:val="24"/>
          <w:szCs w:val="24"/>
        </w:rPr>
        <w:t xml:space="preserve"> и</w:t>
      </w:r>
      <w:r>
        <w:rPr>
          <w:sz w:val="24"/>
          <w:szCs w:val="24"/>
        </w:rPr>
        <w:t xml:space="preserve"> 2.6.9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аблицы</w:t>
      </w:r>
      <w:r>
        <w:rPr>
          <w:sz w:val="24"/>
          <w:szCs w:val="24"/>
        </w:rPr>
        <w:t xml:space="preserve"> «Основные показатели эффективности реализации программы» раздела 2. «Основные цели и задачи программы с указанием сроков ее реализации, а также перечень основных мероприятий и показателей» </w:t>
      </w:r>
      <w:r>
        <w:rPr>
          <w:sz w:val="24"/>
          <w:szCs w:val="24"/>
        </w:rPr>
        <w:t xml:space="preserve">изложить в следующей </w:t>
      </w:r>
      <w:r>
        <w:rPr>
          <w:sz w:val="24"/>
          <w:szCs w:val="24"/>
        </w:rPr>
        <w:t xml:space="preserve">редакции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margin" w:tblpX="153" w:vertAnchor="text" w:tblpY="1" w:leftFromText="181" w:topFromText="0" w:rightFromText="181" w:bottomFromText="0"/>
        <w:tblW w:w="487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21"/>
        <w:gridCol w:w="2433"/>
        <w:gridCol w:w="694"/>
        <w:gridCol w:w="820"/>
        <w:gridCol w:w="822"/>
        <w:gridCol w:w="822"/>
        <w:gridCol w:w="822"/>
        <w:gridCol w:w="822"/>
        <w:gridCol w:w="1551"/>
      </w:tblGrid>
      <w:tr>
        <w:tblPrEx/>
        <w:trPr>
          <w:trHeight w:val="4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vAlign w:val="center"/>
            <w:textDirection w:val="lrTb"/>
            <w:noWrap w:val="false"/>
          </w:tcPr>
          <w:p>
            <w:pPr>
              <w:ind w:left="8" w:right="22" w:hanging="8"/>
              <w:jc w:val="center"/>
              <w:widowControl w:val="off"/>
            </w:pPr>
            <w:r>
              <w:t xml:space="preserve">«</w:t>
            </w:r>
            <w:r>
              <w:t xml:space="preserve">2.</w:t>
            </w:r>
            <w:r>
              <w:t xml:space="preserve">1</w:t>
            </w:r>
            <w:r>
              <w:t xml:space="preserve">.</w:t>
            </w:r>
            <w:r>
              <w:t xml:space="preserve">3.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6" w:type="pct"/>
            <w:vAlign w:val="center"/>
            <w:textDirection w:val="lrTb"/>
            <w:noWrap w:val="false"/>
          </w:tcPr>
          <w:p>
            <w:pPr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Снижение количества несанкционированных мест размещения отходов</w:t>
            </w:r>
            <w:r>
              <w:rPr>
                <w:bCs/>
                <w:lang w:eastAsia="en-US"/>
              </w:rPr>
            </w:r>
            <w:r>
              <w:rPr>
                <w:bCs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1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</w:t>
            </w:r>
            <w:r>
              <w:rPr>
                <w:lang w:eastAsia="en-US"/>
              </w:rPr>
              <w:t xml:space="preserve">а/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нет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да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-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да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-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-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7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Отчеты исполнителей программы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4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vAlign w:val="center"/>
            <w:textDirection w:val="lrTb"/>
            <w:noWrap w:val="false"/>
          </w:tcPr>
          <w:p>
            <w:pPr>
              <w:ind w:left="8" w:right="22" w:hanging="8"/>
              <w:jc w:val="center"/>
              <w:widowControl w:val="off"/>
            </w:pPr>
            <w:r>
              <w:t xml:space="preserve">2.4.6.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6" w:type="pct"/>
            <w:vAlign w:val="center"/>
            <w:textDirection w:val="lrTb"/>
            <w:noWrap w:val="false"/>
          </w:tcPr>
          <w:p>
            <w:pPr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Количество замененных опор наружного освещения</w:t>
            </w:r>
            <w:r>
              <w:rPr>
                <w:bCs/>
                <w:lang w:eastAsia="en-US"/>
              </w:rPr>
            </w:r>
            <w:r>
              <w:rPr>
                <w:bCs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1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шт.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41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26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16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-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-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7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Отчеты исполнителей программы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57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vAlign w:val="center"/>
            <w:textDirection w:val="lrTb"/>
            <w:noWrap w:val="false"/>
          </w:tcPr>
          <w:p>
            <w:pPr>
              <w:ind w:left="8" w:right="22" w:hanging="8"/>
              <w:jc w:val="center"/>
              <w:widowControl w:val="off"/>
            </w:pPr>
            <w:r>
              <w:t xml:space="preserve">2.5.1.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6" w:type="pct"/>
            <w:vAlign w:val="center"/>
            <w:textDirection w:val="lrTb"/>
            <w:noWrap w:val="false"/>
          </w:tcPr>
          <w:p>
            <w:pPr>
              <w:jc w:val="both"/>
              <w:rPr>
                <w:bCs/>
                <w:lang w:eastAsia="en-US"/>
              </w:rPr>
            </w:pPr>
            <w:r>
              <w:rPr>
                <w:bCs/>
              </w:rPr>
              <w:t xml:space="preserve">Количество отловленных животных без владельцев</w:t>
            </w:r>
            <w:r>
              <w:rPr>
                <w:bCs/>
                <w:lang w:eastAsia="en-US"/>
              </w:rPr>
            </w:r>
            <w:r>
              <w:rPr>
                <w:bCs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1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t xml:space="preserve">голов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65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t xml:space="preserve">88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t xml:space="preserve">Не менее 56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t xml:space="preserve">Не менее 95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t xml:space="preserve">Не менее 95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7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t xml:space="preserve">Отчет                        МКУ «</w:t>
            </w:r>
            <w:r>
              <w:t xml:space="preserve">УБиР</w:t>
            </w:r>
            <w:r>
              <w:t xml:space="preserve">»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57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textDirection w:val="lrTb"/>
            <w:noWrap w:val="false"/>
          </w:tcPr>
          <w:p>
            <w:pPr>
              <w:jc w:val="center"/>
              <w:spacing w:after="200"/>
            </w:pPr>
            <w:r/>
            <w:r/>
          </w:p>
          <w:p>
            <w:pPr>
              <w:jc w:val="center"/>
              <w:spacing w:after="200"/>
              <w:rPr>
                <w:szCs w:val="22"/>
                <w:lang w:eastAsia="en-US"/>
              </w:rPr>
            </w:pPr>
            <w:r>
              <w:t xml:space="preserve">2.6.1.</w:t>
            </w:r>
            <w:r>
              <w:rPr>
                <w:szCs w:val="22"/>
                <w:lang w:eastAsia="en-US"/>
              </w:rPr>
            </w:r>
            <w:r>
              <w:rPr>
                <w:szCs w:val="22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6" w:type="pct"/>
            <w:textDirection w:val="lrTb"/>
            <w:noWrap w:val="false"/>
          </w:tcPr>
          <w:p>
            <w:pPr>
              <w:jc w:val="both"/>
              <w:spacing w:after="200"/>
              <w:rPr>
                <w:szCs w:val="22"/>
                <w:lang w:eastAsia="en-US"/>
              </w:rPr>
            </w:pPr>
            <w:r>
              <w:t xml:space="preserve">Площадь благоустроенных дворовых территорий</w:t>
            </w:r>
            <w:r>
              <w:rPr>
                <w:szCs w:val="22"/>
                <w:lang w:eastAsia="en-US"/>
              </w:rPr>
            </w:r>
            <w:r>
              <w:rPr>
                <w:szCs w:val="22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1" w:type="pct"/>
            <w:textDirection w:val="lrTb"/>
            <w:noWrap w:val="false"/>
          </w:tcPr>
          <w:p>
            <w:pPr>
              <w:jc w:val="center"/>
              <w:spacing w:after="200"/>
            </w:pPr>
            <w:r/>
            <w:r/>
          </w:p>
          <w:p>
            <w:pPr>
              <w:jc w:val="center"/>
              <w:spacing w:after="200"/>
              <w:rPr>
                <w:lang w:eastAsia="en-US"/>
              </w:rPr>
            </w:pPr>
            <w:r>
              <w:t xml:space="preserve">кв. м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textDirection w:val="lrTb"/>
            <w:noWrap w:val="false"/>
          </w:tcPr>
          <w:p>
            <w:pPr>
              <w:jc w:val="center"/>
              <w:spacing w:after="200"/>
            </w:pPr>
            <w:r/>
            <w:r/>
          </w:p>
          <w:p>
            <w:pPr>
              <w:jc w:val="center"/>
              <w:spacing w:after="200"/>
              <w:rPr>
                <w:szCs w:val="22"/>
                <w:lang w:eastAsia="en-US"/>
              </w:rPr>
            </w:pPr>
            <w:r>
              <w:t xml:space="preserve">7886,5</w:t>
            </w:r>
            <w:r>
              <w:rPr>
                <w:szCs w:val="22"/>
                <w:lang w:eastAsia="en-US"/>
              </w:rPr>
            </w:r>
            <w:r>
              <w:rPr>
                <w:szCs w:val="22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textDirection w:val="lrTb"/>
            <w:noWrap w:val="false"/>
          </w:tcPr>
          <w:p>
            <w:pPr>
              <w:jc w:val="center"/>
              <w:spacing w:after="200"/>
            </w:pPr>
            <w:r/>
            <w:r/>
          </w:p>
          <w:p>
            <w:pPr>
              <w:jc w:val="center"/>
              <w:spacing w:after="200"/>
              <w:rPr>
                <w:szCs w:val="22"/>
                <w:lang w:eastAsia="en-US"/>
              </w:rPr>
            </w:pPr>
            <w:r>
              <w:t xml:space="preserve">6242</w:t>
            </w:r>
            <w:r>
              <w:rPr>
                <w:szCs w:val="22"/>
                <w:lang w:eastAsia="en-US"/>
              </w:rPr>
            </w:r>
            <w:r>
              <w:rPr>
                <w:szCs w:val="22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textDirection w:val="lrTb"/>
            <w:noWrap w:val="false"/>
          </w:tcPr>
          <w:p>
            <w:pPr>
              <w:jc w:val="center"/>
              <w:spacing w:after="200"/>
            </w:pPr>
            <w:r/>
            <w:r/>
          </w:p>
          <w:p>
            <w:pPr>
              <w:jc w:val="center"/>
              <w:spacing w:after="200"/>
              <w:rPr>
                <w:szCs w:val="22"/>
                <w:lang w:eastAsia="en-US"/>
              </w:rPr>
            </w:pPr>
            <w:r>
              <w:t xml:space="preserve">454</w:t>
            </w:r>
            <w:r>
              <w:t xml:space="preserve">3</w:t>
            </w:r>
            <w:r>
              <w:rPr>
                <w:szCs w:val="22"/>
                <w:lang w:eastAsia="en-US"/>
              </w:rPr>
            </w:r>
            <w:r>
              <w:rPr>
                <w:szCs w:val="22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textDirection w:val="lrTb"/>
            <w:noWrap w:val="false"/>
          </w:tcPr>
          <w:p>
            <w:pPr>
              <w:jc w:val="center"/>
              <w:spacing w:after="200"/>
              <w:rPr>
                <w:szCs w:val="22"/>
                <w:lang w:eastAsia="en-US"/>
              </w:rPr>
            </w:pPr>
            <w:r>
              <w:t xml:space="preserve">Не менее 3500</w:t>
            </w:r>
            <w:r>
              <w:rPr>
                <w:szCs w:val="22"/>
                <w:lang w:eastAsia="en-US"/>
              </w:rPr>
            </w:r>
            <w:r>
              <w:rPr>
                <w:szCs w:val="22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textDirection w:val="lrTb"/>
            <w:noWrap w:val="false"/>
          </w:tcPr>
          <w:p>
            <w:pPr>
              <w:jc w:val="center"/>
              <w:spacing w:after="200"/>
            </w:pPr>
            <w:r/>
            <w:r/>
          </w:p>
          <w:p>
            <w:pPr>
              <w:jc w:val="center"/>
              <w:spacing w:after="200"/>
              <w:rPr>
                <w:szCs w:val="22"/>
                <w:lang w:eastAsia="en-US"/>
              </w:rPr>
            </w:pPr>
            <w:r>
              <w:t xml:space="preserve">-</w:t>
            </w:r>
            <w:r>
              <w:rPr>
                <w:szCs w:val="22"/>
                <w:lang w:eastAsia="en-US"/>
              </w:rPr>
            </w:r>
            <w:r>
              <w:rPr>
                <w:szCs w:val="22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7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t xml:space="preserve">Отчет                   МКУ «</w:t>
            </w:r>
            <w:r>
              <w:t xml:space="preserve">УБиР</w:t>
            </w:r>
            <w:r>
              <w:t xml:space="preserve">»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4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2.6.9.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6" w:type="pct"/>
            <w:textDirection w:val="lrTb"/>
            <w:noWrap w:val="false"/>
          </w:tcPr>
          <w:p>
            <w:pPr>
              <w:jc w:val="both"/>
            </w:pPr>
            <w:r>
              <w:t xml:space="preserve">Количество благоустроенных общественных территорий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1" w:type="pct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textDirection w:val="lrTb"/>
            <w:noWrap w:val="false"/>
          </w:tcPr>
          <w:p>
            <w:pPr>
              <w:jc w:val="center"/>
            </w:pPr>
            <w:r>
              <w:t xml:space="preserve">Не менее 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7" w:type="pct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Отчет                   МКУ «</w:t>
            </w:r>
            <w:r>
              <w:t xml:space="preserve">УБиР</w:t>
            </w:r>
            <w:r>
              <w:t xml:space="preserve">»</w:t>
            </w:r>
            <w:r>
              <w:t xml:space="preserve">»;</w:t>
            </w:r>
            <w:r/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таблиц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«Основные показатели эффективности реализации программы» раздела 2. «Основные цели и задачи программы с указанием сроков ее реализации, а также перечень основных мероприятий и показателей»</w:t>
      </w:r>
      <w:r>
        <w:rPr>
          <w:sz w:val="24"/>
          <w:szCs w:val="24"/>
        </w:rPr>
        <w:t xml:space="preserve"> дополнить строкам 2.4.13, 2.4.14 и</w:t>
      </w:r>
      <w:r>
        <w:rPr>
          <w:sz w:val="24"/>
          <w:szCs w:val="24"/>
        </w:rPr>
        <w:t xml:space="preserve"> 2.6.11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margin" w:tblpX="153" w:vertAnchor="text" w:tblpY="1" w:leftFromText="181" w:topFromText="0" w:rightFromText="181" w:bottomFromText="0"/>
        <w:tblW w:w="487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947"/>
        <w:gridCol w:w="2409"/>
        <w:gridCol w:w="709"/>
        <w:gridCol w:w="702"/>
        <w:gridCol w:w="822"/>
        <w:gridCol w:w="822"/>
        <w:gridCol w:w="822"/>
        <w:gridCol w:w="822"/>
        <w:gridCol w:w="1551"/>
      </w:tblGrid>
      <w:tr>
        <w:tblPrEx/>
        <w:trPr>
          <w:trHeight w:val="4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7" w:type="dxa"/>
            <w:textDirection w:val="lrTb"/>
            <w:noWrap w:val="false"/>
          </w:tcPr>
          <w:p>
            <w:pPr>
              <w:jc w:val="center"/>
            </w:pPr>
            <w:r>
              <w:t xml:space="preserve">«2.4.13.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9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отремонтированных фонтанов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2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2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2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2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2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1" w:type="dxa"/>
            <w:textDirection w:val="lrTb"/>
            <w:noWrap w:val="false"/>
          </w:tcPr>
          <w:p>
            <w:pPr>
              <w:jc w:val="center"/>
            </w:pPr>
            <w:r>
              <w:t xml:space="preserve">Отчет МБУ «РЭС»</w:t>
            </w:r>
            <w:r/>
          </w:p>
        </w:tc>
      </w:tr>
      <w:tr>
        <w:tblPrEx/>
        <w:trPr>
          <w:trHeight w:val="4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7" w:type="dxa"/>
            <w:textDirection w:val="lrTb"/>
            <w:noWrap w:val="false"/>
          </w:tcPr>
          <w:p>
            <w:pPr>
              <w:jc w:val="center"/>
            </w:pPr>
            <w:r>
              <w:t xml:space="preserve">2.4.14.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9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подготовленных искусственных ледовых покрытий (катков)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2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2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2" w:type="dxa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2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2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1" w:type="dxa"/>
            <w:textDirection w:val="lrTb"/>
            <w:noWrap w:val="false"/>
          </w:tcPr>
          <w:p>
            <w:pPr>
              <w:jc w:val="center"/>
            </w:pPr>
            <w:r>
              <w:t xml:space="preserve">Отчет МБУ </w:t>
            </w:r>
            <w:r>
              <w:t xml:space="preserve">«</w:t>
            </w:r>
            <w:r>
              <w:t xml:space="preserve">РЭС»</w:t>
            </w:r>
            <w:r/>
          </w:p>
        </w:tc>
      </w:tr>
      <w:tr>
        <w:tblPrEx/>
        <w:trPr>
          <w:trHeight w:val="4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7" w:type="dxa"/>
            <w:textDirection w:val="lrTb"/>
            <w:noWrap w:val="false"/>
          </w:tcPr>
          <w:p>
            <w:pPr>
              <w:jc w:val="center"/>
            </w:pPr>
            <w:r>
              <w:t xml:space="preserve">2.6.</w:t>
            </w:r>
            <w:r>
              <w:t xml:space="preserve">11</w:t>
            </w:r>
            <w:r>
              <w:t xml:space="preserve">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9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</w:t>
            </w:r>
            <w:r>
              <w:t xml:space="preserve">устроенных оснований под остановочные п</w:t>
            </w:r>
            <w:r>
              <w:t xml:space="preserve">авильоны</w:t>
            </w:r>
            <w:r>
              <w:t xml:space="preserve">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2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2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2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2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2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1" w:type="dxa"/>
            <w:textDirection w:val="lrTb"/>
            <w:noWrap w:val="false"/>
          </w:tcPr>
          <w:p>
            <w:pPr>
              <w:jc w:val="center"/>
            </w:pPr>
            <w:r>
              <w:t xml:space="preserve">Отчет                   МКУ «</w:t>
            </w:r>
            <w:r>
              <w:t xml:space="preserve">УБиР</w:t>
            </w:r>
            <w:r>
              <w:t xml:space="preserve">»</w:t>
            </w:r>
            <w:r>
              <w:t xml:space="preserve">»;</w:t>
            </w:r>
            <w:r/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строку «Финансовое обеспечение подпрограммы» в паспорте Подпрограммы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«Охрана окружающей среды» (далее – Подпрограмма 1)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48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08"/>
        <w:gridCol w:w="7279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48 661,5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48661,5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1,5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строки </w:t>
      </w:r>
      <w:r>
        <w:rPr>
          <w:sz w:val="24"/>
          <w:szCs w:val="24"/>
        </w:rPr>
        <w:t xml:space="preserve">1.1.3, </w:t>
      </w:r>
      <w:r>
        <w:rPr>
          <w:sz w:val="24"/>
          <w:szCs w:val="24"/>
        </w:rPr>
        <w:t xml:space="preserve">1.1.4, «Итого по основному мероприятию 1» и «Всего по подпрограмме 1» таблицы 1 «Перечень</w:t>
      </w:r>
      <w:r>
        <w:rPr>
          <w:sz w:val="24"/>
          <w:szCs w:val="24"/>
        </w:rPr>
        <w:t xml:space="preserve"> мероприятий </w:t>
      </w:r>
      <w:r>
        <w:rPr>
          <w:sz w:val="24"/>
          <w:szCs w:val="24"/>
        </w:rPr>
        <w:t xml:space="preserve">подпрограммы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  <w:t xml:space="preserve">» к Подпрограмме 1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4"/>
        <w:gridCol w:w="2266"/>
        <w:gridCol w:w="713"/>
        <w:gridCol w:w="850"/>
        <w:gridCol w:w="992"/>
        <w:gridCol w:w="994"/>
        <w:gridCol w:w="990"/>
        <w:gridCol w:w="1135"/>
        <w:gridCol w:w="840"/>
      </w:tblGrid>
      <w:tr>
        <w:tblPrEx/>
        <w:trPr>
          <w:trHeight w:val="65"/>
        </w:trPr>
        <w:tc>
          <w:tcPr>
            <w:shd w:val="clear" w:color="auto" w:fill="auto"/>
            <w:tcW w:w="443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«1.1.</w:t>
            </w:r>
            <w:r>
              <w:t xml:space="preserve">3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1176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Ликвидация несанкционированных мест размещения отходов</w:t>
            </w:r>
            <w:r/>
          </w:p>
        </w:tc>
        <w:tc>
          <w:tcPr>
            <w:shd w:val="clear" w:color="auto" w:fill="auto"/>
            <w:tcW w:w="370" w:type="pct"/>
            <w:vMerge w:val="restart"/>
            <w:textDirection w:val="lrTb"/>
            <w:noWrap w:val="false"/>
          </w:tcPr>
          <w:p>
            <w:pPr>
              <w:jc w:val="center"/>
              <w:rPr>
                <w:highlight w:val="yellow"/>
              </w:rPr>
            </w:pPr>
            <w:r>
              <w:t xml:space="preserve">2025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</w:rPr>
              <w:t xml:space="preserve">0,0 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t xml:space="preserve">0,0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t xml:space="preserve">0,0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t xml:space="preserve">0,0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«НДС»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</w:rPr>
              <w:t xml:space="preserve">0,0 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t xml:space="preserve">0,0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t xml:space="preserve">0,0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t xml:space="preserve">0,0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3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232,7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232,7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t xml:space="preserve">0,0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t xml:space="preserve">0,0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3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</w:rPr>
              <w:t xml:space="preserve">0,0 </w:t>
            </w:r>
            <w:r>
              <w:rPr>
                <w:bCs/>
                <w:color w:val="000000"/>
                <w:sz w:val="24"/>
                <w:szCs w:val="24"/>
              </w:rPr>
            </w:r>
            <w:r>
              <w:rPr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3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232,7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232,7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9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3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3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1.1.4.</w:t>
            </w:r>
            <w:r/>
          </w:p>
        </w:tc>
        <w:tc>
          <w:tcPr>
            <w:shd w:val="clear" w:color="auto" w:fill="auto"/>
            <w:tcW w:w="1176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Разработка проектно-сметной документации по ликвидации </w:t>
            </w:r>
            <w:r>
              <w:t xml:space="preserve">и ликвидация </w:t>
            </w:r>
            <w:r>
              <w:t xml:space="preserve">объектов накопленного вреда окружающей среде «Санкционированная свалка на территории </w:t>
            </w:r>
            <w:r>
              <w:t xml:space="preserve">пгт</w:t>
            </w:r>
            <w:r>
              <w:t xml:space="preserve">. Никель Мурманской области»</w:t>
            </w:r>
            <w:r/>
          </w:p>
        </w:tc>
        <w:tc>
          <w:tcPr>
            <w:shd w:val="clear" w:color="auto" w:fill="auto"/>
            <w:tcW w:w="370" w:type="pct"/>
            <w:vMerge w:val="restart"/>
            <w:textDirection w:val="lrTb"/>
            <w:noWrap w:val="false"/>
          </w:tcPr>
          <w:p>
            <w:pPr>
              <w:jc w:val="center"/>
              <w:rPr>
                <w:highlight w:val="yellow"/>
              </w:rPr>
            </w:pPr>
            <w:r>
              <w:t xml:space="preserve">2025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</w:rPr>
              <w:t xml:space="preserve">0,0 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t xml:space="preserve">0,0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t xml:space="preserve">0,0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t xml:space="preserve">0,0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КУИ</w:t>
            </w:r>
            <w:r>
              <w:rPr>
                <w:sz w:val="18"/>
                <w:szCs w:val="18"/>
              </w:rPr>
              <w:t xml:space="preserve">, ОС и ЖКХ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33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</w:rPr>
              <w:t xml:space="preserve">0,0 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t xml:space="preserve">0,0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t xml:space="preserve">0,0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t xml:space="preserve">0,0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36" w:type="pct"/>
            <w:vAlign w:val="center"/>
            <w:vMerge w:val="continue"/>
            <w:textDirection w:val="lrTb"/>
            <w:noWrap w:val="false"/>
          </w:tcPr>
          <w:p>
            <w:pPr>
              <w:ind w:left="8" w:right="22" w:hanging="8"/>
              <w:jc w:val="center"/>
              <w:widowControl w:val="off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</w:rPr>
              <w:t xml:space="preserve">46360,7 </w:t>
            </w:r>
            <w:r>
              <w:rPr>
                <w:bCs/>
                <w:color w:val="000000"/>
                <w:sz w:val="24"/>
                <w:szCs w:val="24"/>
              </w:rPr>
            </w:r>
            <w:r>
              <w:rPr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46360,7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t xml:space="preserve">0,0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t xml:space="preserve">0,0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36" w:type="pct"/>
            <w:vAlign w:val="center"/>
            <w:vMerge w:val="continue"/>
            <w:textDirection w:val="lrTb"/>
            <w:noWrap w:val="false"/>
          </w:tcPr>
          <w:p>
            <w:pPr>
              <w:ind w:left="8" w:right="22" w:hanging="8"/>
              <w:jc w:val="center"/>
              <w:widowControl w:val="off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</w:rPr>
              <w:t xml:space="preserve">0,0 </w:t>
            </w:r>
            <w:r>
              <w:rPr>
                <w:bCs/>
                <w:color w:val="000000"/>
                <w:sz w:val="24"/>
                <w:szCs w:val="24"/>
              </w:rPr>
            </w:r>
            <w:r>
              <w:rPr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36" w:type="pct"/>
            <w:vAlign w:val="center"/>
            <w:vMerge w:val="continue"/>
            <w:textDirection w:val="lrTb"/>
            <w:noWrap w:val="false"/>
          </w:tcPr>
          <w:p>
            <w:pPr>
              <w:ind w:left="8" w:right="22" w:hanging="8"/>
              <w:jc w:val="center"/>
              <w:widowControl w:val="off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46360,7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46360,7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9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vAlign w:val="center"/>
            <w:vMerge w:val="continue"/>
            <w:textDirection w:val="lrTb"/>
            <w:noWrap w:val="false"/>
          </w:tcPr>
          <w:p>
            <w:pPr>
              <w:ind w:left="8" w:right="22" w:hanging="8"/>
              <w:jc w:val="center"/>
              <w:widowControl w:val="off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 по основному 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мероприятию 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36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3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198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48661,5</w:t>
            </w: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47661,5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1000,0</w:t>
            </w: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</w:t>
            </w: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3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3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48661,</w:t>
            </w:r>
            <w:r>
              <w:rPr>
                <w:b/>
                <w:bCs/>
                <w:color w:val="000000"/>
              </w:rPr>
              <w:t xml:space="preserve">5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47661,5 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1000,0</w:t>
            </w: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</w:t>
            </w: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3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pacing w:val="1"/>
              </w:rPr>
              <w:t xml:space="preserve">Всего по подпрограмме </w:t>
            </w:r>
            <w:r>
              <w:rPr>
                <w:b/>
                <w:bCs/>
                <w:color w:val="000000"/>
                <w:spacing w:val="1"/>
              </w:rPr>
              <w:t xml:space="preserve">1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36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3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9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48661,5</w:t>
            </w: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47661,5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1000,0</w:t>
            </w: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</w:t>
            </w: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3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3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48661,5</w:t>
            </w: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47661,5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1000,0</w:t>
            </w: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</w:t>
            </w:r>
            <w:r>
              <w:rPr>
                <w:b/>
                <w:bCs/>
                <w:color w:val="000000"/>
              </w:rPr>
              <w:t xml:space="preserve">»;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3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contextualSpacing/>
        <w:ind w:firstLine="709"/>
        <w:jc w:val="both"/>
        <w:widowControl w:val="off"/>
        <w:tabs>
          <w:tab w:val="left" w:pos="426" w:leader="none"/>
        </w:tabs>
        <w:rPr>
          <w:sz w:val="24"/>
          <w:szCs w:val="24"/>
        </w:rPr>
        <w:outlineLvl w:val="1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426" w:leader="none"/>
        </w:tabs>
        <w:rPr>
          <w:sz w:val="24"/>
          <w:szCs w:val="24"/>
        </w:rPr>
        <w:outlineLvl w:val="1"/>
      </w:pPr>
      <w:r>
        <w:rPr>
          <w:sz w:val="24"/>
          <w:szCs w:val="24"/>
        </w:rPr>
        <w:t xml:space="preserve">- строк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1.1.3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таблицы 2 «Перечень мероприятий подпрограммы с показателями результативности выполнения мероприятий» к Подпрограмме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54"/>
        <w:tblW w:w="9639" w:type="dxa"/>
        <w:tblInd w:w="108" w:type="dxa"/>
        <w:tblBorders>
          <w:bottom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843"/>
        <w:gridCol w:w="850"/>
        <w:gridCol w:w="1985"/>
        <w:gridCol w:w="708"/>
        <w:gridCol w:w="851"/>
        <w:gridCol w:w="850"/>
        <w:gridCol w:w="709"/>
        <w:gridCol w:w="992"/>
      </w:tblGrid>
      <w:tr>
        <w:tblPrEx/>
        <w:trPr/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«1.1.3.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</w:pPr>
            <w:r>
              <w:t xml:space="preserve">Ликвидация несанкционированных мест размещения отходов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2025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pStyle w:val="942"/>
              <w:jc w:val="both"/>
              <w:widowControl/>
              <w:rPr>
                <w:b w:val="0"/>
                <w:sz w:val="20"/>
                <w:szCs w:val="20"/>
              </w:rPr>
              <w:outlineLvl w:val="2"/>
            </w:pPr>
            <w:r>
              <w:rPr>
                <w:b w:val="0"/>
                <w:bCs w:val="0"/>
                <w:sz w:val="20"/>
                <w:szCs w:val="20"/>
                <w:lang w:eastAsia="en-US"/>
              </w:rPr>
              <w:t xml:space="preserve">Снижение количества несанкционированных мест размещения отходов</w:t>
            </w:r>
            <w:r>
              <w:rPr>
                <w:b w:val="0"/>
                <w:sz w:val="20"/>
                <w:szCs w:val="20"/>
              </w:rPr>
            </w:r>
            <w:r>
              <w:rPr>
                <w:b w:val="0"/>
                <w:sz w:val="20"/>
                <w:szCs w:val="20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ind w:right="-108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Да/ нет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да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-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-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МБУ «НДС»</w:t>
            </w:r>
            <w:r>
              <w:rPr>
                <w:sz w:val="18"/>
                <w:szCs w:val="18"/>
                <w:lang w:eastAsia="en-US"/>
              </w:rPr>
              <w:t xml:space="preserve">»;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строку «Финансовое обеспечение подпрограммы» в паспорте Подпрограммы 2 «Жилищно-коммунальное хозяйство» (далее – Подпрограмма 2)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48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08"/>
        <w:gridCol w:w="7279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255 266,2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56414,2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56414,2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149242,9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144337,3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4905,6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15375,5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4375,5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11000,0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34233,6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34233,6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строку</w:t>
      </w:r>
      <w:r>
        <w:rPr>
          <w:sz w:val="24"/>
          <w:szCs w:val="24"/>
        </w:rPr>
        <w:t xml:space="preserve"> 2.1.</w:t>
      </w:r>
      <w:r>
        <w:rPr>
          <w:sz w:val="24"/>
          <w:szCs w:val="24"/>
        </w:rPr>
        <w:t xml:space="preserve">2,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«Итого по основному мероприятию 1» и «Всего по подпрограмме 2» </w:t>
      </w:r>
      <w:r>
        <w:rPr>
          <w:sz w:val="24"/>
          <w:szCs w:val="24"/>
        </w:rPr>
        <w:t xml:space="preserve">таблицы 1 «Перечень</w:t>
      </w:r>
      <w:r>
        <w:rPr>
          <w:sz w:val="24"/>
          <w:szCs w:val="24"/>
        </w:rPr>
        <w:t xml:space="preserve"> мероприятий </w:t>
      </w:r>
      <w:r>
        <w:rPr>
          <w:sz w:val="24"/>
          <w:szCs w:val="24"/>
        </w:rPr>
        <w:t xml:space="preserve">подпрограммы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  <w:t xml:space="preserve">» к Подпрограмме 2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4"/>
        <w:gridCol w:w="2266"/>
        <w:gridCol w:w="713"/>
        <w:gridCol w:w="850"/>
        <w:gridCol w:w="992"/>
        <w:gridCol w:w="994"/>
        <w:gridCol w:w="990"/>
        <w:gridCol w:w="1135"/>
        <w:gridCol w:w="840"/>
      </w:tblGrid>
      <w:tr>
        <w:tblPrEx/>
        <w:trPr>
          <w:trHeight w:val="65"/>
        </w:trPr>
        <w:tc>
          <w:tcPr>
            <w:shd w:val="clear" w:color="auto" w:fill="auto"/>
            <w:tcW w:w="443" w:type="pct"/>
            <w:vMerge w:val="restart"/>
            <w:textDirection w:val="lrTb"/>
            <w:noWrap w:val="false"/>
          </w:tcPr>
          <w:p>
            <w:r>
              <w:t xml:space="preserve">«</w:t>
            </w:r>
            <w:r>
              <w:t xml:space="preserve">2.1.</w:t>
            </w:r>
            <w:r>
              <w:t xml:space="preserve">2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1176" w:type="pct"/>
            <w:vMerge w:val="restart"/>
            <w:textDirection w:val="lrTb"/>
            <w:noWrap w:val="false"/>
          </w:tcPr>
          <w:p>
            <w:r>
              <w:t xml:space="preserve">Разработка сметной документации, проведение экспертизы сметных расчетов стоимости ремонтных работ</w:t>
            </w:r>
            <w:r/>
          </w:p>
        </w:tc>
        <w:tc>
          <w:tcPr>
            <w:shd w:val="clear" w:color="auto" w:fill="auto"/>
            <w:tcW w:w="370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2025</w:t>
            </w:r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36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3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393,6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393,6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3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3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393,6 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393,6 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3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 по основному 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мероприятию 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56414,2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56414,2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36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149242,9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144337,3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4905,6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3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198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13375,5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3375,5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10000,0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3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34233,6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34233,6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3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253266,2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181946,4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71319,8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3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pacing w:val="1"/>
              </w:rPr>
              <w:t xml:space="preserve">Всего по подпрограмме </w:t>
            </w:r>
            <w:r>
              <w:rPr>
                <w:b/>
                <w:bCs/>
                <w:color w:val="000000"/>
                <w:spacing w:val="1"/>
              </w:rPr>
              <w:t xml:space="preserve">2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ФБ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56414,2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56414,2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36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ОБ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149242,9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144337,3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4905,6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3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9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МБ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15375,5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4375,5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11000,0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3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ВБС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34233,6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34233,6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3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1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Итого: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255266,2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182946,4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72319,8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0,0»;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3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строку «Финансовое обеспечение подпрограммы» в паспорте Подпрограммы 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«Развитие сферы ритуальных услуг и мест захоронения» </w:t>
      </w:r>
      <w:r>
        <w:rPr>
          <w:sz w:val="24"/>
          <w:szCs w:val="24"/>
        </w:rPr>
        <w:t xml:space="preserve">(далее – Подпрограмма 3</w:t>
      </w:r>
      <w:r>
        <w:rPr>
          <w:sz w:val="24"/>
          <w:szCs w:val="24"/>
        </w:rPr>
        <w:t xml:space="preserve">)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48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08"/>
        <w:gridCol w:w="7279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8 401,6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200,0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63,9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66,7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69,4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8201,6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2447,0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2877,3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2877,3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3.1.1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«Итого по основному мероприят</w:t>
      </w:r>
      <w:r>
        <w:rPr>
          <w:sz w:val="24"/>
          <w:szCs w:val="24"/>
        </w:rPr>
        <w:t xml:space="preserve">ию 1» и «Всего по подпрограмме 3</w:t>
      </w:r>
      <w:r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 таблицы 1 «Перечень</w:t>
      </w:r>
      <w:r>
        <w:rPr>
          <w:sz w:val="24"/>
          <w:szCs w:val="24"/>
        </w:rPr>
        <w:t xml:space="preserve"> мероприятий </w:t>
      </w:r>
      <w:r>
        <w:rPr>
          <w:sz w:val="24"/>
          <w:szCs w:val="24"/>
        </w:rPr>
        <w:t xml:space="preserve">подпрограммы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  <w:t xml:space="preserve">» к Подпрограмме 3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5"/>
        <w:gridCol w:w="2262"/>
        <w:gridCol w:w="852"/>
        <w:gridCol w:w="994"/>
        <w:gridCol w:w="990"/>
        <w:gridCol w:w="852"/>
        <w:gridCol w:w="852"/>
        <w:gridCol w:w="996"/>
        <w:gridCol w:w="8"/>
        <w:gridCol w:w="973"/>
      </w:tblGrid>
      <w:tr>
        <w:tblPrEx/>
        <w:trPr>
          <w:trHeight w:val="65"/>
        </w:trPr>
        <w:tc>
          <w:tcPr>
            <w:shd w:val="clear" w:color="auto" w:fill="auto"/>
            <w:tcW w:w="444" w:type="pct"/>
            <w:vMerge w:val="restart"/>
            <w:textDirection w:val="lrTb"/>
            <w:noWrap w:val="false"/>
          </w:tcPr>
          <w:p>
            <w:r>
              <w:t xml:space="preserve">«3.1.1.</w:t>
            </w:r>
            <w:r/>
          </w:p>
        </w:tc>
        <w:tc>
          <w:tcPr>
            <w:shd w:val="clear" w:color="auto" w:fill="auto"/>
            <w:tcW w:w="1174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Содержание мест захоронения на территории Печенгского  муниципального округа (текущее содержание, доставка тел в морг и захоронение трупов, не востребованных родственниками)</w:t>
            </w:r>
            <w:r/>
          </w:p>
        </w:tc>
        <w:tc>
          <w:tcPr>
            <w:shd w:val="clear" w:color="auto" w:fill="auto"/>
            <w:tcW w:w="442" w:type="pct"/>
            <w:vMerge w:val="restart"/>
            <w:textDirection w:val="lrTb"/>
            <w:noWrap w:val="false"/>
          </w:tcPr>
          <w:p>
            <w:pPr>
              <w:jc w:val="center"/>
              <w:rPr>
                <w:highlight w:val="yellow"/>
              </w:rPr>
            </w:pPr>
            <w:r>
              <w:t xml:space="preserve">2025</w:t>
            </w:r>
            <w:r>
              <w:t xml:space="preserve">-2027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05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МБУ «НДС»,                      МБУ «РЭС»</w:t>
            </w:r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4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4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8201,6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2447,0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2877,3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2877,3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4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4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8201,6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2447,0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2877,3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21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2877,3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60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 по основному 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мероприятию 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09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6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200,0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63,9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66,7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69,4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0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206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8201,6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2447,0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2877,3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2877,3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0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6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0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6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8401,6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2510,9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2944,0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2946,7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0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6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pacing w:val="1"/>
              </w:rPr>
              <w:t xml:space="preserve">Всего по подпрограмме </w:t>
            </w:r>
            <w:r>
              <w:rPr>
                <w:b/>
                <w:bCs/>
                <w:color w:val="000000"/>
                <w:spacing w:val="1"/>
              </w:rPr>
              <w:t xml:space="preserve">3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09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6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200,0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63,9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66,7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69,4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0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206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8201,6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2447,0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2877,3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2877,3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0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6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0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6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8401,6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2510,9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2944,0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2946,7»;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0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строку «Показатели подпрограммы» в паспорте Подпрограммы </w:t>
      </w:r>
      <w:r>
        <w:rPr>
          <w:sz w:val="24"/>
          <w:szCs w:val="24"/>
        </w:rPr>
        <w:t xml:space="preserve">4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Комплексное благоустройство и содержание городской среды</w:t>
      </w:r>
      <w:r>
        <w:rPr>
          <w:sz w:val="24"/>
          <w:szCs w:val="24"/>
        </w:rPr>
        <w:t xml:space="preserve">» (далее – Подпрограмма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) дополнить пункт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13 и 14</w:t>
      </w:r>
      <w:r>
        <w:rPr>
          <w:sz w:val="24"/>
          <w:szCs w:val="24"/>
        </w:rPr>
        <w:t xml:space="preserve">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787"/>
        <w:gridCol w:w="7739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87" w:type="dxa"/>
            <w:textDirection w:val="lrTb"/>
            <w:noWrap w:val="false"/>
          </w:tcPr>
          <w:p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3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«13.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Количество отремонтированных фонтанов.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14. Количество подготовленных искусственных ледовых покрытий (катков)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  <w:t xml:space="preserve">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троку «Финансовое обеспечение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программы» в паспорте П</w:t>
      </w:r>
      <w:r>
        <w:rPr>
          <w:sz w:val="24"/>
          <w:szCs w:val="24"/>
        </w:rPr>
        <w:t xml:space="preserve">одп</w:t>
      </w:r>
      <w:r>
        <w:rPr>
          <w:sz w:val="24"/>
          <w:szCs w:val="24"/>
        </w:rPr>
        <w:t xml:space="preserve">рограммы</w:t>
      </w:r>
      <w:r>
        <w:rPr>
          <w:sz w:val="24"/>
          <w:szCs w:val="24"/>
        </w:rPr>
        <w:t xml:space="preserve"> 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47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865"/>
        <w:gridCol w:w="7820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3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37" w:type="pct"/>
            <w:textDirection w:val="lrTb"/>
            <w:noWrap w:val="false"/>
          </w:tcPr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302 950,8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36492,8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26613,4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4939,7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4939,7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266458,0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107726,4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91368,6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67363,0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таблицу 1 «Перечень мероприятий программы с объёмом финансирования» к Подпрограмме 4 изложить в редакции согласно приложению к настоящему постановлению;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left="0" w:right="0" w:firstLine="709"/>
        <w:jc w:val="both"/>
        <w:widowControl w:val="off"/>
        <w:tabs>
          <w:tab w:val="left" w:pos="426" w:leader="none"/>
        </w:tabs>
        <w:rPr>
          <w:sz w:val="24"/>
          <w:szCs w:val="24"/>
        </w:rPr>
        <w:outlineLvl w:val="1"/>
      </w:pPr>
      <w:r>
        <w:rPr>
          <w:sz w:val="24"/>
          <w:szCs w:val="24"/>
        </w:rPr>
        <w:t xml:space="preserve">- строки 4.1.2 и 4.1.5 </w:t>
      </w:r>
      <w:r>
        <w:rPr>
          <w:sz w:val="24"/>
          <w:szCs w:val="24"/>
        </w:rPr>
        <w:t xml:space="preserve">таблицы 2 «Перечень мероприятий подпрограммы с показателями результативности выполнения мероприятий» к Подпрограмме </w:t>
      </w:r>
      <w:r>
        <w:rPr>
          <w:sz w:val="24"/>
          <w:szCs w:val="24"/>
        </w:rPr>
        <w:t xml:space="preserve">4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54"/>
        <w:tblW w:w="9639" w:type="dxa"/>
        <w:tblInd w:w="108" w:type="dxa"/>
        <w:tblBorders>
          <w:bottom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701"/>
        <w:gridCol w:w="709"/>
        <w:gridCol w:w="2126"/>
        <w:gridCol w:w="709"/>
        <w:gridCol w:w="850"/>
        <w:gridCol w:w="851"/>
        <w:gridCol w:w="850"/>
        <w:gridCol w:w="992"/>
      </w:tblGrid>
      <w:tr>
        <w:tblPrEx/>
        <w:trPr/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t xml:space="preserve">«4.1.2.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Повышение привлекательности объектов, озеленение территорий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2025-2027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Приобретение рассады, саженцев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Да/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нет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да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да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да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МБУ «РЭС»; МБУ «НДС»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/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2025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Количество отремонтированных фонтанов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Шт.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-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-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lang w:eastAsia="en-US"/>
              </w:rPr>
              <w:t xml:space="preserve">МБУ «РЭС»</w:t>
            </w:r>
            <w:r/>
          </w:p>
        </w:tc>
      </w:tr>
      <w:tr>
        <w:tblPrEx/>
        <w:trPr/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2025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Количество подготовленных искусственных ледовых покрытий (катков)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Шт.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4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-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-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lang w:eastAsia="en-US"/>
              </w:rPr>
              <w:t xml:space="preserve">МБУ «РЭС»</w:t>
            </w:r>
            <w:r/>
          </w:p>
        </w:tc>
      </w:tr>
      <w:tr>
        <w:tblPrEx/>
        <w:trPr/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4.1.5.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Ремонт наружного освещения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2025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Количество замененных опор наружного освещения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Шт.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16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-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-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МКУ «</w:t>
            </w:r>
            <w:r>
              <w:rPr>
                <w:lang w:eastAsia="en-US"/>
              </w:rPr>
              <w:t xml:space="preserve">УБиР</w:t>
            </w:r>
            <w:r>
              <w:rPr>
                <w:lang w:eastAsia="en-US"/>
              </w:rPr>
              <w:t xml:space="preserve">»</w:t>
            </w:r>
            <w:r>
              <w:rPr>
                <w:lang w:eastAsia="en-US"/>
              </w:rPr>
              <w:t xml:space="preserve">»;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426" w:leader="none"/>
        </w:tabs>
        <w:rPr>
          <w:sz w:val="24"/>
          <w:szCs w:val="24"/>
        </w:rPr>
        <w:outlineLvl w:val="1"/>
      </w:pPr>
      <w:r>
        <w:rPr>
          <w:sz w:val="24"/>
          <w:szCs w:val="24"/>
        </w:rPr>
        <w:t xml:space="preserve">- строку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5.1.1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таблицы 2 «Перечень мероприятий подпрограммы с показателями результативности выполнения мероприятий» к Подпрограмме </w:t>
      </w:r>
      <w:r>
        <w:rPr>
          <w:sz w:val="24"/>
          <w:szCs w:val="24"/>
        </w:rPr>
        <w:t xml:space="preserve">5 </w:t>
      </w:r>
      <w:r>
        <w:rPr>
          <w:sz w:val="24"/>
          <w:szCs w:val="24"/>
        </w:rPr>
        <w:t xml:space="preserve">«Организация отлова животных без владельцев»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54"/>
        <w:tblW w:w="9639" w:type="dxa"/>
        <w:tblInd w:w="108" w:type="dxa"/>
        <w:tblBorders>
          <w:bottom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851"/>
        <w:gridCol w:w="1559"/>
        <w:gridCol w:w="709"/>
        <w:gridCol w:w="850"/>
        <w:gridCol w:w="851"/>
        <w:gridCol w:w="850"/>
        <w:gridCol w:w="1134"/>
      </w:tblGrid>
      <w:tr>
        <w:tblPrEx/>
        <w:trPr/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«</w:t>
            </w:r>
            <w:r>
              <w:t xml:space="preserve">5.1.1.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eastAsia="en-US"/>
              </w:rPr>
            </w:pPr>
            <w:r>
              <w:t xml:space="preserve">Организация осуществления деятельности по отлову и содержанию животных без владельцев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2025-2027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pStyle w:val="942"/>
              <w:jc w:val="both"/>
              <w:widowControl/>
              <w:rPr>
                <w:b w:val="0"/>
              </w:rPr>
              <w:outlineLvl w:val="2"/>
            </w:pPr>
            <w:r>
              <w:rPr>
                <w:b w:val="0"/>
                <w:sz w:val="20"/>
              </w:rPr>
              <w:t xml:space="preserve">Количество отловленных  животных без владельцев</w:t>
            </w:r>
            <w:r>
              <w:rPr>
                <w:b w:val="0"/>
              </w:rPr>
            </w:r>
            <w:r>
              <w:rPr>
                <w:b w:val="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-108"/>
              <w:rPr>
                <w:sz w:val="22"/>
                <w:szCs w:val="22"/>
                <w:lang w:eastAsia="en-US"/>
              </w:rPr>
            </w:pPr>
            <w:r>
              <w:t xml:space="preserve">голов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Не менее 56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Не менее 95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Не менее 95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>
              <w:t xml:space="preserve">»;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строку «Показатели подпрограммы» в паспорте Подпрограммы </w:t>
      </w:r>
      <w:r>
        <w:rPr>
          <w:sz w:val="24"/>
          <w:szCs w:val="24"/>
        </w:rPr>
        <w:t xml:space="preserve">6 </w:t>
      </w:r>
      <w:r>
        <w:rPr>
          <w:sz w:val="24"/>
          <w:szCs w:val="24"/>
        </w:rPr>
        <w:t xml:space="preserve">«Формирован</w:t>
      </w:r>
      <w:r>
        <w:rPr>
          <w:sz w:val="24"/>
          <w:szCs w:val="24"/>
        </w:rPr>
        <w:t xml:space="preserve">ие современной городской среды»</w:t>
      </w:r>
      <w:bookmarkStart w:id="0" w:name="_GoBack"/>
      <w:r/>
      <w:bookmarkEnd w:id="0"/>
      <w:r>
        <w:rPr>
          <w:sz w:val="24"/>
          <w:szCs w:val="24"/>
        </w:rPr>
        <w:t xml:space="preserve"> (далее – Подпрограмма 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) дополнить пунктом 1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715"/>
        <w:gridCol w:w="7811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15" w:type="dxa"/>
            <w:textDirection w:val="lrTb"/>
            <w:noWrap w:val="false"/>
          </w:tcPr>
          <w:p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11</w:t>
            </w:r>
            <w:r>
              <w:rPr>
                <w:sz w:val="24"/>
                <w:szCs w:val="24"/>
              </w:rPr>
              <w:t xml:space="preserve">. Количество </w:t>
            </w:r>
            <w:r>
              <w:rPr>
                <w:sz w:val="24"/>
                <w:szCs w:val="24"/>
              </w:rPr>
              <w:t xml:space="preserve">устроенных оснований под остановочные п</w:t>
            </w:r>
            <w:r>
              <w:rPr>
                <w:sz w:val="24"/>
                <w:szCs w:val="24"/>
              </w:rPr>
              <w:t xml:space="preserve">авильоны.</w:t>
            </w:r>
            <w:r>
              <w:rPr>
                <w:sz w:val="24"/>
                <w:szCs w:val="24"/>
              </w:rPr>
              <w:t xml:space="preserve">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с</w:t>
      </w:r>
      <w:r>
        <w:rPr>
          <w:sz w:val="24"/>
          <w:szCs w:val="24"/>
        </w:rPr>
        <w:t xml:space="preserve">троку «Финансовое обеспечение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программы» в паспорте П</w:t>
      </w:r>
      <w:r>
        <w:rPr>
          <w:sz w:val="24"/>
          <w:szCs w:val="24"/>
        </w:rPr>
        <w:t xml:space="preserve">одп</w:t>
      </w:r>
      <w:r>
        <w:rPr>
          <w:sz w:val="24"/>
          <w:szCs w:val="24"/>
        </w:rPr>
        <w:t xml:space="preserve">рограммы</w:t>
      </w:r>
      <w:r>
        <w:rPr>
          <w:sz w:val="24"/>
          <w:szCs w:val="24"/>
        </w:rPr>
        <w:t xml:space="preserve"> 6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72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08"/>
        <w:gridCol w:w="7326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7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3" w:type="pct"/>
            <w:textDirection w:val="lrTb"/>
            <w:noWrap w:val="false"/>
          </w:tcPr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b/>
              </w:rPr>
              <w:t xml:space="preserve"> 192 246,8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111078,2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111078,2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6677,1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6677,1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74491,5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34491,5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40000,0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строку 6.1.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в таблице 1 «Перечень</w:t>
      </w:r>
      <w:r>
        <w:rPr>
          <w:sz w:val="24"/>
          <w:szCs w:val="24"/>
        </w:rPr>
        <w:t xml:space="preserve"> мероприятий </w:t>
      </w:r>
      <w:r>
        <w:rPr>
          <w:sz w:val="24"/>
          <w:szCs w:val="24"/>
        </w:rPr>
        <w:t xml:space="preserve">подпрограммы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  <w:t xml:space="preserve">» к Подпрограмме 6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49"/>
        <w:gridCol w:w="2093"/>
        <w:gridCol w:w="746"/>
        <w:gridCol w:w="852"/>
        <w:gridCol w:w="992"/>
        <w:gridCol w:w="992"/>
        <w:gridCol w:w="992"/>
        <w:gridCol w:w="1010"/>
        <w:gridCol w:w="1108"/>
      </w:tblGrid>
      <w:tr>
        <w:tblPrEx/>
        <w:trPr>
          <w:trHeight w:val="65"/>
        </w:trPr>
        <w:tc>
          <w:tcPr>
            <w:shd w:val="clear" w:color="auto" w:fill="auto"/>
            <w:tcW w:w="441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«6.1.3.</w:t>
            </w:r>
            <w:r/>
          </w:p>
        </w:tc>
        <w:tc>
          <w:tcPr>
            <w:shd w:val="clear" w:color="auto" w:fill="auto"/>
            <w:tcW w:w="1086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Ямочный ремонт дворовых проездов на территории Печенгского муниципального округа </w:t>
            </w:r>
            <w:r/>
          </w:p>
        </w:tc>
        <w:tc>
          <w:tcPr>
            <w:shd w:val="clear" w:color="auto" w:fill="auto"/>
            <w:tcW w:w="38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2025</w:t>
            </w:r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contextualSpacing/>
            </w:pPr>
            <w:r>
              <w:t xml:space="preserve">ФБ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7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МКУ «</w:t>
            </w:r>
            <w:r>
              <w:t xml:space="preserve">УБиР</w:t>
            </w:r>
            <w:r>
              <w:t xml:space="preserve">»»;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7" w:type="pct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6677,1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6677,1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7" w:type="pct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414,5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414,5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7" w:type="pct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7" w:type="pct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7091,6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7091,6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таблицу 1 «Перечень</w:t>
      </w:r>
      <w:r>
        <w:rPr>
          <w:sz w:val="24"/>
          <w:szCs w:val="24"/>
        </w:rPr>
        <w:t xml:space="preserve"> мероприятий </w:t>
      </w:r>
      <w:r>
        <w:rPr>
          <w:sz w:val="24"/>
          <w:szCs w:val="24"/>
        </w:rPr>
        <w:t xml:space="preserve">подпрограммы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  <w:t xml:space="preserve">» к Подпрограмме 6 </w:t>
      </w:r>
      <w:r>
        <w:rPr>
          <w:sz w:val="24"/>
          <w:szCs w:val="24"/>
        </w:rPr>
        <w:t xml:space="preserve">дополнить </w:t>
      </w:r>
      <w:r>
        <w:rPr>
          <w:sz w:val="24"/>
          <w:szCs w:val="24"/>
        </w:rPr>
        <w:t xml:space="preserve">строкой 6.1.5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49"/>
        <w:gridCol w:w="2093"/>
        <w:gridCol w:w="746"/>
        <w:gridCol w:w="852"/>
        <w:gridCol w:w="992"/>
        <w:gridCol w:w="992"/>
        <w:gridCol w:w="992"/>
        <w:gridCol w:w="1010"/>
        <w:gridCol w:w="1108"/>
      </w:tblGrid>
      <w:tr>
        <w:tblPrEx/>
        <w:trPr>
          <w:trHeight w:val="65"/>
        </w:trPr>
        <w:tc>
          <w:tcPr>
            <w:shd w:val="clear" w:color="auto" w:fill="auto"/>
            <w:tcW w:w="441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«6.1.5.</w:t>
            </w:r>
            <w:r/>
          </w:p>
        </w:tc>
        <w:tc>
          <w:tcPr>
            <w:shd w:val="clear" w:color="auto" w:fill="auto"/>
            <w:tcW w:w="1086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Устройство оснований под остановочные павильоны в </w:t>
            </w:r>
            <w:r>
              <w:t xml:space="preserve">н.п</w:t>
            </w:r>
            <w:r>
              <w:t xml:space="preserve">. </w:t>
            </w:r>
            <w:r>
              <w:t xml:space="preserve">Луостари</w:t>
            </w:r>
            <w:r>
              <w:t xml:space="preserve"> </w:t>
            </w:r>
            <w:r/>
          </w:p>
        </w:tc>
        <w:tc>
          <w:tcPr>
            <w:shd w:val="clear" w:color="auto" w:fill="auto"/>
            <w:tcW w:w="38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2025</w:t>
            </w:r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contextualSpacing/>
            </w:pPr>
            <w:r>
              <w:t xml:space="preserve">ФБ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7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МКУ «</w:t>
            </w:r>
            <w:r>
              <w:t xml:space="preserve">УБиР</w:t>
            </w:r>
            <w:r>
              <w:t xml:space="preserve">»»;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7" w:type="pct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7" w:type="pct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904,3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904,3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7" w:type="pct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7" w:type="pct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904,3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904,3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строку </w:t>
      </w:r>
      <w:r>
        <w:rPr>
          <w:sz w:val="24"/>
          <w:szCs w:val="24"/>
        </w:rPr>
        <w:t xml:space="preserve">«Итого по основному мероприятию </w:t>
      </w:r>
      <w:r>
        <w:rPr>
          <w:sz w:val="24"/>
          <w:szCs w:val="24"/>
        </w:rPr>
        <w:t xml:space="preserve">1» таблицы 1 «Перечень</w:t>
      </w:r>
      <w:r>
        <w:rPr>
          <w:sz w:val="24"/>
          <w:szCs w:val="24"/>
        </w:rPr>
        <w:t xml:space="preserve"> мероприятий </w:t>
      </w:r>
      <w:r>
        <w:rPr>
          <w:sz w:val="24"/>
          <w:szCs w:val="24"/>
        </w:rPr>
        <w:t xml:space="preserve">подпрограммы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  <w:t xml:space="preserve">» к Подпрограмме 6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3690"/>
        <w:gridCol w:w="854"/>
        <w:gridCol w:w="992"/>
        <w:gridCol w:w="992"/>
        <w:gridCol w:w="992"/>
        <w:gridCol w:w="1129"/>
        <w:gridCol w:w="985"/>
      </w:tblGrid>
      <w:tr>
        <w:tblPrEx/>
        <w:trPr>
          <w:trHeight w:val="65"/>
        </w:trPr>
        <w:tc>
          <w:tcPr>
            <w:shd w:val="clear" w:color="auto" w:fill="auto"/>
            <w:tcW w:w="191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«</w:t>
            </w:r>
            <w:r>
              <w:rPr>
                <w:b/>
                <w:bCs/>
                <w:color w:val="000000"/>
                <w:szCs w:val="22"/>
              </w:rPr>
              <w:t xml:space="preserve">Итого по </w:t>
            </w:r>
            <w:r>
              <w:rPr>
                <w:b/>
                <w:bCs/>
                <w:color w:val="000000"/>
                <w:szCs w:val="22"/>
              </w:rPr>
              <w:t xml:space="preserve">основному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 </w:t>
            </w:r>
            <w:r>
              <w:rPr>
                <w:b/>
                <w:bCs/>
                <w:color w:val="000000"/>
                <w:szCs w:val="22"/>
              </w:rPr>
              <w:t xml:space="preserve">мероприятию </w:t>
            </w:r>
            <w:r>
              <w:rPr>
                <w:b/>
                <w:bCs/>
                <w:color w:val="000000"/>
                <w:szCs w:val="22"/>
              </w:rPr>
              <w:t xml:space="preserve">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3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ФБ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111078,2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111078,2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191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3" w:type="pct"/>
            <w:vAlign w:val="center"/>
            <w:textDirection w:val="lrTb"/>
            <w:noWrap w:val="false"/>
          </w:tcPr>
          <w:p>
            <w:r>
              <w:rPr>
                <w:b/>
                <w:bCs/>
                <w:color w:val="000000"/>
                <w:szCs w:val="22"/>
              </w:rP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6677,1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6677,1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191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3" w:type="pct"/>
            <w:vAlign w:val="center"/>
            <w:textDirection w:val="lrTb"/>
            <w:noWrap w:val="false"/>
          </w:tcPr>
          <w:p>
            <w:r>
              <w:rPr>
                <w:b/>
                <w:bCs/>
                <w:color w:val="000000"/>
                <w:szCs w:val="22"/>
              </w:rP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45293,8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20293,8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25000,0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191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3" w:type="pct"/>
            <w:vAlign w:val="center"/>
            <w:textDirection w:val="lrTb"/>
            <w:noWrap w:val="false"/>
          </w:tcPr>
          <w:p>
            <w:r>
              <w:rPr>
                <w:b/>
                <w:bCs/>
                <w:color w:val="000000"/>
                <w:szCs w:val="22"/>
              </w:rP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191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  <w:bCs/>
                <w:color w:val="000000"/>
                <w:szCs w:val="22"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163049,1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26970,9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136078,2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0,0»;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строки 6.2.1, </w:t>
      </w:r>
      <w:r>
        <w:rPr>
          <w:sz w:val="24"/>
          <w:szCs w:val="24"/>
        </w:rPr>
        <w:t xml:space="preserve">«Итого по основному мероприятию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и «Всего по подпрограмме 6» таблицы 1 «Перечень</w:t>
      </w:r>
      <w:r>
        <w:rPr>
          <w:sz w:val="24"/>
          <w:szCs w:val="24"/>
        </w:rPr>
        <w:t xml:space="preserve"> мероприятий </w:t>
      </w:r>
      <w:r>
        <w:rPr>
          <w:sz w:val="24"/>
          <w:szCs w:val="24"/>
        </w:rPr>
        <w:t xml:space="preserve">подпрограммы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  <w:t xml:space="preserve">» к Подпрограмме 6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3"/>
        <w:gridCol w:w="2093"/>
        <w:gridCol w:w="740"/>
        <w:gridCol w:w="12"/>
        <w:gridCol w:w="840"/>
        <w:gridCol w:w="12"/>
        <w:gridCol w:w="981"/>
        <w:gridCol w:w="12"/>
        <w:gridCol w:w="981"/>
        <w:gridCol w:w="12"/>
        <w:gridCol w:w="981"/>
        <w:gridCol w:w="12"/>
        <w:gridCol w:w="1118"/>
        <w:gridCol w:w="987"/>
      </w:tblGrid>
      <w:tr>
        <w:tblPrEx/>
        <w:trPr>
          <w:trHeight w:val="65"/>
        </w:trPr>
        <w:tc>
          <w:tcPr>
            <w:shd w:val="clear" w:color="auto" w:fill="auto"/>
            <w:tcW w:w="443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«6.2.1.</w:t>
            </w:r>
            <w:r/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Merge w:val="restart"/>
            <w:textDirection w:val="lrTb"/>
            <w:noWrap w:val="false"/>
          </w:tcPr>
          <w:p>
            <w:r>
              <w:t xml:space="preserve">Благоустройство общественных территорий</w:t>
            </w:r>
            <w:r/>
          </w:p>
        </w:tc>
        <w:tc>
          <w:tcPr>
            <w:gridSpan w:val="2"/>
            <w:shd w:val="clear" w:color="auto" w:fill="auto"/>
            <w:tcW w:w="390" w:type="pct"/>
            <w:vMerge w:val="restart"/>
            <w:textDirection w:val="lrTb"/>
            <w:noWrap w:val="false"/>
          </w:tcPr>
          <w:p>
            <w:r>
              <w:t xml:space="preserve">2025-2026</w:t>
            </w:r>
            <w:r/>
          </w:p>
        </w:tc>
        <w:tc>
          <w:tcPr>
            <w:gridSpan w:val="2"/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gridSpan w:val="2"/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2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 xml:space="preserve">МКУ «</w:t>
            </w:r>
            <w:r>
              <w:rPr>
                <w:sz w:val="18"/>
                <w:szCs w:val="18"/>
              </w:rPr>
              <w:t xml:space="preserve">УБиР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gridSpan w:val="2"/>
            <w:shd w:val="clear" w:color="auto" w:fill="auto"/>
            <w:tcW w:w="390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2"/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gridSpan w:val="2"/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gridSpan w:val="2"/>
            <w:shd w:val="clear" w:color="auto" w:fill="auto"/>
            <w:tcW w:w="390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2"/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gridSpan w:val="2"/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29197,7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14197,7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15000,0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gridSpan w:val="2"/>
            <w:shd w:val="clear" w:color="auto" w:fill="auto"/>
            <w:tcW w:w="390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2"/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gridSpan w:val="2"/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gridSpan w:val="2"/>
            <w:shd w:val="clear" w:color="auto" w:fill="auto"/>
            <w:tcW w:w="390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2"/>
            <w:shd w:val="clear" w:color="auto" w:fill="auto"/>
            <w:tcW w:w="44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29197,7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14197,7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15000,0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0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91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Итого по </w:t>
            </w:r>
            <w:r>
              <w:rPr>
                <w:b/>
                <w:bCs/>
                <w:color w:val="000000"/>
                <w:szCs w:val="22"/>
              </w:rPr>
              <w:t xml:space="preserve">основному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 </w:t>
            </w:r>
            <w:r>
              <w:rPr>
                <w:b/>
                <w:bCs/>
                <w:color w:val="000000"/>
                <w:szCs w:val="22"/>
              </w:rPr>
              <w:t xml:space="preserve">мероприятию </w:t>
            </w:r>
            <w:r>
              <w:rPr>
                <w:b/>
                <w:bCs/>
                <w:color w:val="000000"/>
                <w:szCs w:val="22"/>
              </w:rPr>
              <w:t xml:space="preserve">2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gridSpan w:val="2"/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ФБ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gridSpan w:val="2"/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8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91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r>
              <w:rPr>
                <w:b/>
                <w:bCs/>
                <w:color w:val="000000"/>
                <w:szCs w:val="22"/>
              </w:rPr>
              <w:t xml:space="preserve">ОБ</w:t>
            </w:r>
            <w:r/>
          </w:p>
        </w:tc>
        <w:tc>
          <w:tcPr>
            <w:gridSpan w:val="2"/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8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91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r>
              <w:rPr>
                <w:b/>
                <w:bCs/>
                <w:color w:val="000000"/>
                <w:szCs w:val="22"/>
              </w:rPr>
              <w:t xml:space="preserve">МБ</w:t>
            </w:r>
            <w:r/>
          </w:p>
        </w:tc>
        <w:tc>
          <w:tcPr>
            <w:gridSpan w:val="2"/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29197,7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14197,7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15000,0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8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91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r>
              <w:rPr>
                <w:b/>
                <w:bCs/>
                <w:color w:val="000000"/>
                <w:szCs w:val="22"/>
              </w:rPr>
              <w:t xml:space="preserve">ВБС</w:t>
            </w:r>
            <w:r/>
          </w:p>
        </w:tc>
        <w:tc>
          <w:tcPr>
            <w:gridSpan w:val="2"/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8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gridSpan w:val="3"/>
            <w:shd w:val="clear" w:color="auto" w:fill="auto"/>
            <w:tcW w:w="191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  <w:bCs/>
                <w:color w:val="000000"/>
                <w:szCs w:val="22"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29197,7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14197,7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15000,0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8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Всего </w:t>
            </w:r>
            <w:r>
              <w:rPr>
                <w:b/>
              </w:rPr>
              <w:t xml:space="preserve">по </w:t>
            </w:r>
            <w:r>
              <w:rPr>
                <w:b/>
                <w:color w:val="000000"/>
                <w:spacing w:val="1"/>
              </w:rPr>
              <w:t xml:space="preserve">подпрограмме </w:t>
            </w:r>
            <w:r>
              <w:rPr>
                <w:b/>
                <w:color w:val="000000"/>
                <w:spacing w:val="1"/>
              </w:rPr>
              <w:t xml:space="preserve">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111078,2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111078,2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8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2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6677,1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6677,1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8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91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74491,5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34491,5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40000,0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8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8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192246,8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41168,6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151078,2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8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0,0»;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426" w:leader="none"/>
        </w:tabs>
        <w:rPr>
          <w:sz w:val="24"/>
          <w:szCs w:val="24"/>
        </w:rPr>
        <w:outlineLvl w:val="1"/>
      </w:pPr>
      <w:r>
        <w:rPr>
          <w:sz w:val="24"/>
          <w:szCs w:val="24"/>
        </w:rPr>
        <w:t xml:space="preserve">- строки 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.1.1</w:t>
      </w:r>
      <w:r>
        <w:rPr>
          <w:sz w:val="24"/>
          <w:szCs w:val="24"/>
        </w:rPr>
        <w:t xml:space="preserve">, 6.2.1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таблицы 2 «Перечень мероприятий подпрограммы с показателями результативности выполнения мероприятий» к Подпрограмме 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54"/>
        <w:tblW w:w="9639" w:type="dxa"/>
        <w:tblInd w:w="108" w:type="dxa"/>
        <w:tblBorders>
          <w:bottom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709"/>
        <w:gridCol w:w="1843"/>
        <w:gridCol w:w="709"/>
        <w:gridCol w:w="850"/>
        <w:gridCol w:w="851"/>
        <w:gridCol w:w="708"/>
        <w:gridCol w:w="1134"/>
      </w:tblGrid>
      <w:tr>
        <w:tblPrEx/>
        <w:trPr/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«</w:t>
            </w:r>
            <w:r>
              <w:t xml:space="preserve">6.1.1.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84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eastAsia="en-US"/>
              </w:rPr>
            </w:pPr>
            <w:r>
              <w:t xml:space="preserve">Благоустройство дворовых территорий многоквартирных домов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 xml:space="preserve">2025-2026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eastAsia="en-US"/>
              </w:rPr>
            </w:pPr>
            <w:r>
              <w:t xml:space="preserve">Площадь благоустроенных дворовых территорий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кв. м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454</w:t>
            </w:r>
            <w:r>
              <w:t xml:space="preserve">3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</w:rPr>
              <w:t xml:space="preserve">Не менее 3500</w:t>
            </w:r>
            <w:r>
              <w:rPr>
                <w:color w:val="000000"/>
                <w:sz w:val="24"/>
                <w:szCs w:val="24"/>
                <w:lang w:eastAsia="en-US"/>
              </w:rPr>
            </w:r>
            <w:r>
              <w:rPr>
                <w:color w:val="000000"/>
                <w:sz w:val="24"/>
                <w:szCs w:val="24"/>
                <w:lang w:eastAsia="en-US"/>
              </w:rPr>
            </w:r>
          </w:p>
        </w:tc>
        <w:tc>
          <w:tcPr>
            <w:tcW w:w="708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  <w:sz w:val="24"/>
                <w:szCs w:val="24"/>
                <w:lang w:eastAsia="en-US"/>
              </w:rPr>
            </w:r>
            <w:r>
              <w:rPr>
                <w:color w:val="000000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eastAsia="en-US"/>
              </w:rPr>
            </w:pPr>
            <w:r>
              <w:t xml:space="preserve">Количество благоустроенных дворовых территорий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шт.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 3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Не менее 2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-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6.2.1.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84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eastAsia="en-US"/>
              </w:rPr>
            </w:pPr>
            <w:r>
              <w:t xml:space="preserve">Благоустройство общественных территорий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 xml:space="preserve">2025-2026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eastAsia="en-US"/>
              </w:rPr>
            </w:pPr>
            <w:r>
              <w:t xml:space="preserve">Площадь благоустроенных общественных территорий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кв. м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20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</w:rPr>
              <w:t xml:space="preserve">не менее 1240</w:t>
            </w:r>
            <w:r>
              <w:rPr>
                <w:color w:val="000000"/>
                <w:sz w:val="24"/>
                <w:szCs w:val="24"/>
                <w:lang w:eastAsia="en-US"/>
              </w:rPr>
            </w:r>
            <w:r>
              <w:rPr>
                <w:color w:val="000000"/>
                <w:sz w:val="24"/>
                <w:szCs w:val="24"/>
                <w:lang w:eastAsia="en-US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20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</w:rPr>
              <w:t xml:space="preserve">не менее 3000</w:t>
            </w:r>
            <w:r>
              <w:rPr>
                <w:color w:val="000000"/>
                <w:sz w:val="24"/>
                <w:szCs w:val="24"/>
                <w:lang w:eastAsia="en-US"/>
              </w:rPr>
            </w:r>
            <w:r>
              <w:rPr>
                <w:color w:val="000000"/>
                <w:sz w:val="24"/>
                <w:szCs w:val="24"/>
                <w:lang w:eastAsia="en-US"/>
              </w:rPr>
            </w:r>
          </w:p>
        </w:tc>
        <w:tc>
          <w:tcPr>
            <w:tcW w:w="708" w:type="dxa"/>
            <w:vAlign w:val="center"/>
            <w:textDirection w:val="lrTb"/>
            <w:noWrap w:val="false"/>
          </w:tcPr>
          <w:p>
            <w:pPr>
              <w:jc w:val="center"/>
              <w:spacing w:after="20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 xml:space="preserve">-</w:t>
            </w:r>
            <w:r>
              <w:rPr>
                <w:color w:val="000000"/>
                <w:sz w:val="24"/>
                <w:szCs w:val="24"/>
                <w:lang w:eastAsia="en-US"/>
              </w:rPr>
            </w:r>
            <w:r>
              <w:rPr>
                <w:color w:val="000000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>
              <w:t xml:space="preserve">»</w:t>
            </w:r>
            <w:r>
              <w:t xml:space="preserve">;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eastAsia="en-US"/>
              </w:rPr>
            </w:pPr>
            <w:r>
              <w:t xml:space="preserve">Количество благоустроенных общественных территорий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шт.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20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</w:rPr>
              <w:t xml:space="preserve">3</w:t>
            </w:r>
            <w:r>
              <w:rPr>
                <w:color w:val="000000"/>
                <w:sz w:val="24"/>
                <w:szCs w:val="24"/>
                <w:lang w:eastAsia="en-US"/>
              </w:rPr>
            </w:r>
            <w:r>
              <w:rPr>
                <w:color w:val="000000"/>
                <w:sz w:val="24"/>
                <w:szCs w:val="24"/>
                <w:lang w:eastAsia="en-US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20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</w:rPr>
              <w:t xml:space="preserve">не менее 1</w:t>
            </w:r>
            <w:r>
              <w:rPr>
                <w:color w:val="000000"/>
                <w:sz w:val="24"/>
                <w:szCs w:val="24"/>
                <w:lang w:eastAsia="en-US"/>
              </w:rPr>
            </w:r>
            <w:r>
              <w:rPr>
                <w:color w:val="000000"/>
                <w:sz w:val="24"/>
                <w:szCs w:val="24"/>
                <w:lang w:eastAsia="en-US"/>
              </w:rPr>
            </w:r>
          </w:p>
        </w:tc>
        <w:tc>
          <w:tcPr>
            <w:tcW w:w="708" w:type="dxa"/>
            <w:vAlign w:val="center"/>
            <w:textDirection w:val="lrTb"/>
            <w:noWrap w:val="false"/>
          </w:tcPr>
          <w:p>
            <w:pPr>
              <w:jc w:val="center"/>
              <w:spacing w:after="20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</w:r>
            <w:r>
              <w:rPr>
                <w:color w:val="000000"/>
                <w:sz w:val="24"/>
                <w:szCs w:val="24"/>
                <w:lang w:eastAsia="en-US"/>
              </w:rPr>
            </w:r>
            <w:r>
              <w:rPr>
                <w:color w:val="000000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таблиц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2 «Перечень мероприятий подпрограммы с показателями результативности выполнения мероприятий» к Подпрограмме 6 </w:t>
      </w:r>
      <w:r>
        <w:rPr>
          <w:sz w:val="24"/>
          <w:szCs w:val="24"/>
        </w:rPr>
        <w:t xml:space="preserve">дополнить строкой 6.1.5 </w:t>
      </w:r>
      <w:r>
        <w:rPr>
          <w:sz w:val="24"/>
          <w:szCs w:val="24"/>
        </w:rPr>
        <w:t xml:space="preserve">следующего содержания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54"/>
        <w:tblW w:w="9639" w:type="dxa"/>
        <w:tblInd w:w="108" w:type="dxa"/>
        <w:tblBorders>
          <w:bottom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709"/>
        <w:gridCol w:w="1843"/>
        <w:gridCol w:w="709"/>
        <w:gridCol w:w="850"/>
        <w:gridCol w:w="851"/>
        <w:gridCol w:w="708"/>
        <w:gridCol w:w="1134"/>
      </w:tblGrid>
      <w:tr>
        <w:tblPrEx/>
        <w:trPr/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«</w:t>
            </w:r>
            <w:r>
              <w:t xml:space="preserve">6.1.</w:t>
            </w:r>
            <w:r>
              <w:rPr>
                <w:lang w:val="en-US"/>
              </w:rPr>
              <w:t xml:space="preserve">5</w:t>
            </w:r>
            <w:r>
              <w:t xml:space="preserve">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eastAsia="en-US"/>
              </w:rPr>
            </w:pPr>
            <w:r>
              <w:t xml:space="preserve">Устройство оснований под остановочные павильоны в </w:t>
            </w:r>
            <w:r>
              <w:t xml:space="preserve">н.п</w:t>
            </w:r>
            <w:r>
              <w:t xml:space="preserve">. </w:t>
            </w:r>
            <w:r>
              <w:t xml:space="preserve">Луостари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 xml:space="preserve">2025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 xml:space="preserve">Количество устроенных оснований под остановочные павильоны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шт.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2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  <w:sz w:val="24"/>
                <w:szCs w:val="24"/>
                <w:lang w:eastAsia="en-US"/>
              </w:rPr>
            </w:r>
            <w:r>
              <w:rPr>
                <w:color w:val="000000"/>
                <w:sz w:val="24"/>
                <w:szCs w:val="24"/>
                <w:lang w:eastAsia="en-US"/>
              </w:rPr>
            </w:r>
          </w:p>
        </w:tc>
        <w:tc>
          <w:tcPr>
            <w:tcW w:w="708" w:type="dxa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  <w:sz w:val="24"/>
                <w:szCs w:val="24"/>
                <w:lang w:eastAsia="en-US"/>
              </w:rPr>
            </w:r>
            <w:r>
              <w:rPr>
                <w:color w:val="000000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>
              <w:t xml:space="preserve">».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ab/>
      </w:r>
      <w:r>
        <w:rPr>
          <w:rFonts w:eastAsia="Calibri"/>
          <w:sz w:val="24"/>
          <w:szCs w:val="24"/>
          <w:lang w:eastAsia="en-US"/>
        </w:rPr>
        <w:t xml:space="preserve">2.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   </w:t>
      </w:r>
      <w:r>
        <w:rPr>
          <w:rFonts w:eastAsia="Calibri"/>
          <w:sz w:val="24"/>
          <w:szCs w:val="24"/>
          <w:lang w:eastAsia="en-US"/>
        </w:rPr>
        <w:t xml:space="preserve">      </w:t>
      </w:r>
      <w:r>
        <w:rPr>
          <w:rFonts w:eastAsia="Calibri"/>
          <w:sz w:val="24"/>
          <w:szCs w:val="24"/>
          <w:lang w:eastAsia="en-US"/>
        </w:rPr>
        <w:t xml:space="preserve">                         </w:t>
      </w:r>
      <w:r>
        <w:rPr>
          <w:rFonts w:eastAsia="Calibri"/>
          <w:sz w:val="24"/>
          <w:szCs w:val="24"/>
          <w:lang w:eastAsia="en-US"/>
        </w:rPr>
        <w:t xml:space="preserve">   </w:t>
      </w:r>
      <w:r>
        <w:rPr>
          <w:rFonts w:eastAsia="Calibri"/>
          <w:sz w:val="24"/>
          <w:szCs w:val="24"/>
          <w:lang w:eastAsia="en-US"/>
        </w:rPr>
        <w:t xml:space="preserve">    А.В. Кузнецов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</w:pPr>
      <w:r>
        <w:rPr>
          <w:highlight w:val="none"/>
        </w:rPr>
      </w:r>
      <w:r>
        <w:rPr>
          <w:highlight w:val="none"/>
        </w:rPr>
      </w:r>
      <w:r/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t xml:space="preserve">Шавырова</w:t>
      </w:r>
      <w:r>
        <w:t xml:space="preserve"> Ю.В.</w:t>
      </w:r>
      <w:r>
        <w:t xml:space="preserve">,</w:t>
      </w:r>
      <w:r>
        <w:t xml:space="preserve"> </w:t>
      </w:r>
      <w:r>
        <w:t xml:space="preserve">5-12-91</w:t>
      </w:r>
      <w:r>
        <w:rPr>
          <w:highlight w:val="none"/>
        </w:rPr>
      </w:r>
    </w:p>
    <w:p>
      <w:pPr>
        <w:ind w:left="9639"/>
        <w:jc w:val="right"/>
        <w:tabs>
          <w:tab w:val="left" w:pos="993" w:leader="none"/>
        </w:tabs>
        <w:rPr>
          <w:sz w:val="18"/>
          <w:szCs w:val="18"/>
        </w:rPr>
        <w:sectPr>
          <w:headerReference w:type="default" r:id="rId9"/>
          <w:headerReference w:type="even" r:id="rId10"/>
          <w:footnotePr/>
          <w:endnotePr/>
          <w:type w:val="nextPage"/>
          <w:pgSz w:w="11906" w:h="16838" w:orient="portrait"/>
          <w:pgMar w:top="1134" w:right="566" w:bottom="1134" w:left="1701" w:header="709" w:footer="709" w:gutter="0"/>
          <w:cols w:num="1" w:sep="0" w:space="708" w:equalWidth="1"/>
          <w:docGrid w:linePitch="360"/>
        </w:sect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10772"/>
        <w:tabs>
          <w:tab w:val="left" w:pos="993" w:leader="none"/>
        </w:tabs>
        <w:rPr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772"/>
        <w:tabs>
          <w:tab w:val="left" w:pos="993" w:leader="none"/>
        </w:tabs>
        <w:rPr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772"/>
        <w:rPr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772"/>
        <w:tabs>
          <w:tab w:val="left" w:pos="993" w:leader="none"/>
        </w:tabs>
        <w:rPr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</w:rPr>
        <w:t xml:space="preserve">от 02.12.2025 № 2003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772"/>
        <w:tabs>
          <w:tab w:val="left" w:pos="993" w:leader="none"/>
        </w:tabs>
        <w:rPr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772"/>
        <w:tabs>
          <w:tab w:val="left" w:pos="993" w:leader="none"/>
        </w:tabs>
        <w:rPr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</w:rPr>
        <w:t xml:space="preserve">«Таблица 1 к подпрограмме 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9639"/>
        <w:jc w:val="right"/>
        <w:spacing w:line="276" w:lineRule="auto"/>
        <w:tabs>
          <w:tab w:val="left" w:pos="993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jc w:val="center"/>
        <w:tabs>
          <w:tab w:val="left" w:pos="993" w:leader="none"/>
        </w:tabs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ПЕРЕЧЕНЬ </w:t>
      </w:r>
      <w:r>
        <w:rPr>
          <w:rFonts w:eastAsia="Calibri"/>
          <w:b/>
          <w:sz w:val="24"/>
          <w:szCs w:val="24"/>
          <w:lang w:eastAsia="en-US"/>
        </w:rPr>
      </w:r>
      <w:r>
        <w:rPr>
          <w:rFonts w:eastAsia="Calibri"/>
          <w:b/>
          <w:sz w:val="24"/>
          <w:szCs w:val="24"/>
          <w:lang w:eastAsia="en-US"/>
        </w:rPr>
      </w:r>
    </w:p>
    <w:p>
      <w:pPr>
        <w:jc w:val="center"/>
        <w:tabs>
          <w:tab w:val="left" w:pos="993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мероприятий подпрограммы с объёмом финансирования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jc w:val="center"/>
        <w:tabs>
          <w:tab w:val="left" w:pos="993" w:leader="none"/>
        </w:tabs>
        <w:rPr>
          <w:rFonts w:eastAsia="Calibri"/>
          <w:color w:val="0070c0"/>
          <w:lang w:eastAsia="en-US"/>
        </w:rPr>
      </w:pPr>
      <w:r>
        <w:rPr>
          <w:rFonts w:eastAsia="Calibri"/>
          <w:color w:val="0070c0"/>
          <w:lang w:eastAsia="en-US"/>
        </w:rPr>
      </w:r>
      <w:r>
        <w:rPr>
          <w:rFonts w:eastAsia="Calibri"/>
          <w:color w:val="0070c0"/>
          <w:lang w:eastAsia="en-US"/>
        </w:rPr>
      </w:r>
      <w:r>
        <w:rPr>
          <w:rFonts w:eastAsia="Calibri"/>
          <w:color w:val="0070c0"/>
          <w:lang w:eastAsia="en-US"/>
        </w:rPr>
      </w:r>
    </w:p>
    <w:tbl>
      <w:tblPr>
        <w:tblW w:w="5000" w:type="pct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2"/>
        <w:gridCol w:w="4676"/>
        <w:gridCol w:w="1418"/>
        <w:gridCol w:w="1277"/>
        <w:gridCol w:w="1271"/>
        <w:gridCol w:w="1193"/>
        <w:gridCol w:w="1193"/>
        <w:gridCol w:w="1284"/>
        <w:gridCol w:w="1936"/>
      </w:tblGrid>
      <w:tr>
        <w:tblPrEx/>
        <w:trPr>
          <w:trHeight w:val="780"/>
        </w:trPr>
        <w:tc>
          <w:tcPr>
            <w:shd w:val="clear" w:color="auto" w:fill="auto"/>
            <w:tcW w:w="8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№ п/п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Цели, задачи, мероприятие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Срок исполнения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Источники финансирования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gridSpan w:val="4"/>
            <w:shd w:val="clear" w:color="auto" w:fill="auto"/>
            <w:tcW w:w="494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Объем финансирования,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тысяч рублей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85" w:leader="none"/>
              </w:tabs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Исполнители, соисполнители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8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Всего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2025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2026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2027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1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2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3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4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5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6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7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8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9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90"/>
        </w:trPr>
        <w:tc>
          <w:tcPr>
            <w:gridSpan w:val="9"/>
            <w:shd w:val="clear" w:color="auto" w:fill="auto"/>
            <w:tcW w:w="15100" w:type="dxa"/>
            <w:textDirection w:val="lrTb"/>
            <w:noWrap w:val="false"/>
          </w:tcPr>
          <w:p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Подпрограмма 4.  Комплексное благоустройство и содержание городской среды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90"/>
        </w:trPr>
        <w:tc>
          <w:tcPr>
            <w:gridSpan w:val="9"/>
            <w:shd w:val="clear" w:color="auto" w:fill="auto"/>
            <w:tcW w:w="15100" w:type="dxa"/>
            <w:textDirection w:val="lrTb"/>
            <w:noWrap w:val="false"/>
          </w:tcPr>
          <w:p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Цель. Обеспечение комфортных условий проживания населения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81"/>
        </w:trPr>
        <w:tc>
          <w:tcPr>
            <w:gridSpan w:val="9"/>
            <w:shd w:val="clear" w:color="auto" w:fill="auto"/>
            <w:tcW w:w="15100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Основное мероприятие 1. Повышение уровня комфортности проживания населения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85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4.1.1.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Ремонт пешеходных тротуаров и маршрутов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2025</w:t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МКУ «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УБиР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8801,4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8801,4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8801,4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8801,4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85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4.1.2.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Повышение привлекательности объектов, озеленение территорий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2025 - 2027</w:t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«РЭС»;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«НДС»            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2466,8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1566,8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450,0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450,0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2466,8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1566,8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450,0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450,0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85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4.1.3.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Выполнение комплекса работ по благоустройству детских игровых и спортивных площадок; содержание детских игровых и спортивных площадок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2025 - 2027</w:t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«РЭС»;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«НДС»;            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МКУ «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УБиР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4250,0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4250,0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11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522,9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10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672,9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550,0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300,0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3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15772,9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14922,9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550,0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85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4.1.4.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Техническое обслуживание наружного освещения, оплата электроэнергии наружного освещения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2025 - 2027</w:t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«РЭС»;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«НДС»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60440,6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18546,1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23967,9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17926,6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60440,6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18546,1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23967,9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17926,6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85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4.1.5.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Ремонт наружного освещения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2025</w:t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МКУ «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УБиР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2570,6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2570,6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2570,6</w:t>
            </w:r>
            <w:r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2570,6</w:t>
            </w:r>
            <w:r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85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4.1.6.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Эвакуация с дворовых территорий    бесхозяйного (брошенного) транспорта 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2025 - 2027</w:t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«РЭС»;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«НДС»; МКУ «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УБиР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1130,3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530,3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300,0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300,0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1130,3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530,3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85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4.1.7.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Мероприятия по организации трудовых бригад на территории Печенгского муниципального округа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2025 - 2026</w:t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«РЭС»;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«НДС»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11900,0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69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5000,0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11900,0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69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5000,0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85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4.1.8.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Организация временных общественно полезных работ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«РЭС»;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«НДС»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17423,7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17423,7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17423,7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17423,7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694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  <w:t xml:space="preserve">Итого по основному мероприятию 1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694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21673,7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21673,7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694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98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832,6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49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588,1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30267,9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18976,6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694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176"/>
        </w:trPr>
        <w:tc>
          <w:tcPr>
            <w:gridSpan w:val="3"/>
            <w:shd w:val="clear" w:color="auto" w:fill="auto"/>
            <w:tcW w:w="694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120506,3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71261,8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30267,9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18976,6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9"/>
            <w:shd w:val="clear" w:color="auto" w:fill="auto"/>
            <w:tcW w:w="15100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Основное мероприятие 2. Решение вопросов местного значения в сфере благоустройства и озеленения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85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4.2.1.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Предоставление муниципальных услуг (работ) в сфере благоустройства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2025 - 2027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«РЭС»;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«НДС»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147400,8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51684,1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54215,5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41501,2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147400,8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51684,1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54215,5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41501,2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85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4.2.2.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restart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Обеспечение функционирования МКУ «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УБиР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»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2025 - 2027</w:t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МКУ «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УБиР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17609,2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5582,4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6013,4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6013,4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17609,2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5582,4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6013,4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6013,4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85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4.2.3.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Обеспечение выполнения указов Президента Российской Федерации по оплате труда и начислений по выплатам на оплату труда 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работникам муниципальных учреждений, в том числе: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2025 - 2027</w:t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«РЭС»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14819,1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4939,7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4939,7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4939,7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2615,4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871,8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871,8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871,8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17434,5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5811,5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5811,5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5811,5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85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  <w:t xml:space="preserve">4.2.3.1.</w:t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color w:val="000000"/>
                <w:spacing w:val="1"/>
                <w:sz w:val="22"/>
                <w:szCs w:val="22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Повышение оплаты труда работников муниципальных учреждений в связи с доведением оплат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ы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 труда до минимального размера оплаты труда, установленного федеральным законом от 19.06.2000 № 82-ФЗ «О минимальном размере оплаты труда» </w:t>
              <w:br/>
              <w:t xml:space="preserve">(с изменениями), увеличенного на районных коэффициент и процентную надбавку за стаж работы в районах Крайнего Севера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 w:eastAsia="Calibri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  <w:t xml:space="preserve">2025 - 2027</w:t>
            </w:r>
            <w:r>
              <w:rPr>
                <w:rFonts w:ascii="Calibri" w:hAnsi="Calibri" w:eastAsia="Calibri"/>
                <w:lang w:eastAsia="en-US"/>
              </w:rPr>
            </w:r>
            <w:r>
              <w:rPr>
                <w:rFonts w:ascii="Calibri" w:hAnsi="Calibri" w:eastAsia="Calibri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ФБ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МБУ «РЭС»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14819,1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4939,7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4939,7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4939,7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2615,1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871,8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871,8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871,8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ВБС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shd w:val="clear" w:color="auto" w:fill="auto"/>
            <w:tcW w:w="4676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Итого: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17434,5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5811,5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5811,5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5811,5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694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  <w:t xml:space="preserve">Итого по основному мероприятию 2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694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14819,1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4939,7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4939,7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4939,7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694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167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625,4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8138,3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61100,7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48386,4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694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694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182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444,5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3078,0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66040,4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53326,1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694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  <w:t xml:space="preserve">Всего по подпрограмме 4</w:t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694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6492,8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6613,4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4939,7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4939,7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694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6458,0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7726,4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91368,6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67363,0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694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694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1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302950,8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134339,8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93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96308,3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contextualSpacing/>
              <w:jc w:val="center"/>
              <w:spacing w:after="20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72302,7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</w:tbl>
    <w:p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ФБ - федеральный бюджет; ОБ - областной бюджет; МБ - местный бюджет; ВБС - внебюджетные средства.</w:t>
      </w:r>
      <w:r>
        <w:rPr>
          <w:rFonts w:eastAsia="Calibri"/>
          <w:lang w:eastAsia="en-US"/>
        </w:rPr>
        <w:t xml:space="preserve">».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tabs>
          <w:tab w:val="left" w:pos="993" w:leader="none"/>
        </w:tabs>
        <w:rPr>
          <w:sz w:val="18"/>
          <w:szCs w:val="18"/>
        </w:rPr>
        <w:sectPr>
          <w:footnotePr/>
          <w:endnotePr/>
          <w:type w:val="nextPage"/>
          <w:pgSz w:w="16838" w:h="11906" w:orient="landscape"/>
          <w:pgMar w:top="993" w:right="820" w:bottom="566" w:left="1134" w:header="709" w:footer="709" w:gutter="0"/>
          <w:cols w:num="1" w:sep="0" w:space="708" w:equalWidth="1"/>
          <w:docGrid w:linePitch="360"/>
        </w:sect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r/>
    </w:p>
    <w:sectPr>
      <w:footnotePr/>
      <w:endnotePr/>
      <w:type w:val="nextPage"/>
      <w:pgSz w:w="11906" w:h="16838" w:orient="portrait"/>
      <w:pgMar w:top="709" w:right="851" w:bottom="56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1"/>
      <w:rPr>
        <w:rStyle w:val="930"/>
      </w:rPr>
      <w:framePr w:wrap="around" w:vAnchor="text" w:hAnchor="margin" w:xAlign="center" w:y="1"/>
    </w:pPr>
    <w:r>
      <w:rPr>
        <w:rStyle w:val="930"/>
      </w:rPr>
    </w:r>
    <w:r>
      <w:rPr>
        <w:rStyle w:val="930"/>
      </w:rPr>
    </w:r>
  </w:p>
  <w:p>
    <w:pPr>
      <w:pStyle w:val="931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1"/>
      <w:rPr>
        <w:rStyle w:val="930"/>
      </w:rPr>
      <w:framePr w:wrap="around" w:vAnchor="text" w:hAnchor="margin" w:xAlign="center" w:y="1"/>
    </w:pPr>
    <w:r>
      <w:rPr>
        <w:rStyle w:val="930"/>
      </w:rPr>
      <w:fldChar w:fldCharType="begin"/>
    </w:r>
    <w:r>
      <w:rPr>
        <w:rStyle w:val="930"/>
      </w:rPr>
      <w:instrText xml:space="preserve">PAGE  </w:instrText>
    </w:r>
    <w:r>
      <w:rPr>
        <w:rStyle w:val="930"/>
      </w:rPr>
      <w:fldChar w:fldCharType="end"/>
    </w:r>
    <w:r>
      <w:rPr>
        <w:rStyle w:val="930"/>
      </w:rPr>
    </w:r>
    <w:r>
      <w:rPr>
        <w:rStyle w:val="930"/>
      </w:rPr>
    </w:r>
  </w:p>
  <w:p>
    <w:pPr>
      <w:pStyle w:val="93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7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29"/>
  </w:num>
  <w:num w:numId="4">
    <w:abstractNumId w:val="23"/>
  </w:num>
  <w:num w:numId="5">
    <w:abstractNumId w:val="17"/>
  </w:num>
  <w:num w:numId="6">
    <w:abstractNumId w:val="7"/>
  </w:num>
  <w:num w:numId="7">
    <w:abstractNumId w:val="27"/>
  </w:num>
  <w:num w:numId="8">
    <w:abstractNumId w:val="18"/>
  </w:num>
  <w:num w:numId="9">
    <w:abstractNumId w:val="28"/>
  </w:num>
  <w:num w:numId="10">
    <w:abstractNumId w:val="2"/>
  </w:num>
  <w:num w:numId="11">
    <w:abstractNumId w:val="19"/>
  </w:num>
  <w:num w:numId="12">
    <w:abstractNumId w:val="20"/>
  </w:num>
  <w:num w:numId="13">
    <w:abstractNumId w:val="6"/>
  </w:num>
  <w:num w:numId="14">
    <w:abstractNumId w:val="3"/>
  </w:num>
  <w:num w:numId="15">
    <w:abstractNumId w:val="22"/>
  </w:num>
  <w:num w:numId="16">
    <w:abstractNumId w:val="25"/>
  </w:num>
  <w:num w:numId="17">
    <w:abstractNumId w:val="24"/>
  </w:num>
  <w:num w:numId="18">
    <w:abstractNumId w:val="21"/>
  </w:num>
  <w:num w:numId="19">
    <w:abstractNumId w:val="4"/>
  </w:num>
  <w:num w:numId="20">
    <w:abstractNumId w:val="14"/>
  </w:num>
  <w:num w:numId="21">
    <w:abstractNumId w:val="5"/>
  </w:num>
  <w:num w:numId="22">
    <w:abstractNumId w:val="26"/>
  </w:num>
  <w:num w:numId="23">
    <w:abstractNumId w:val="1"/>
  </w:num>
  <w:num w:numId="24">
    <w:abstractNumId w:val="8"/>
  </w:num>
  <w:num w:numId="25">
    <w:abstractNumId w:val="16"/>
  </w:num>
  <w:num w:numId="26">
    <w:abstractNumId w:val="12"/>
  </w:num>
  <w:num w:numId="27">
    <w:abstractNumId w:val="10"/>
  </w:num>
  <w:num w:numId="28">
    <w:abstractNumId w:val="15"/>
  </w:num>
  <w:num w:numId="29">
    <w:abstractNumId w:val="13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5">
    <w:name w:val="Heading 1 Char"/>
    <w:basedOn w:val="917"/>
    <w:link w:val="915"/>
    <w:uiPriority w:val="9"/>
    <w:rPr>
      <w:rFonts w:ascii="Arial" w:hAnsi="Arial" w:eastAsia="Arial" w:cs="Arial"/>
      <w:sz w:val="40"/>
      <w:szCs w:val="40"/>
    </w:rPr>
  </w:style>
  <w:style w:type="character" w:styleId="746">
    <w:name w:val="Heading 2 Char"/>
    <w:basedOn w:val="917"/>
    <w:link w:val="916"/>
    <w:uiPriority w:val="9"/>
    <w:rPr>
      <w:rFonts w:ascii="Arial" w:hAnsi="Arial" w:eastAsia="Arial" w:cs="Arial"/>
      <w:sz w:val="34"/>
    </w:rPr>
  </w:style>
  <w:style w:type="paragraph" w:styleId="747">
    <w:name w:val="Heading 3"/>
    <w:basedOn w:val="914"/>
    <w:next w:val="914"/>
    <w:link w:val="74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48">
    <w:name w:val="Heading 3 Char"/>
    <w:basedOn w:val="917"/>
    <w:link w:val="747"/>
    <w:uiPriority w:val="9"/>
    <w:rPr>
      <w:rFonts w:ascii="Arial" w:hAnsi="Arial" w:eastAsia="Arial" w:cs="Arial"/>
      <w:sz w:val="30"/>
      <w:szCs w:val="30"/>
    </w:rPr>
  </w:style>
  <w:style w:type="paragraph" w:styleId="749">
    <w:name w:val="Heading 4"/>
    <w:basedOn w:val="914"/>
    <w:next w:val="914"/>
    <w:link w:val="75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50">
    <w:name w:val="Heading 4 Char"/>
    <w:basedOn w:val="917"/>
    <w:link w:val="749"/>
    <w:uiPriority w:val="9"/>
    <w:rPr>
      <w:rFonts w:ascii="Arial" w:hAnsi="Arial" w:eastAsia="Arial" w:cs="Arial"/>
      <w:b/>
      <w:bCs/>
      <w:sz w:val="26"/>
      <w:szCs w:val="26"/>
    </w:rPr>
  </w:style>
  <w:style w:type="paragraph" w:styleId="751">
    <w:name w:val="Heading 5"/>
    <w:basedOn w:val="914"/>
    <w:next w:val="914"/>
    <w:link w:val="75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52">
    <w:name w:val="Heading 5 Char"/>
    <w:basedOn w:val="917"/>
    <w:link w:val="751"/>
    <w:uiPriority w:val="9"/>
    <w:rPr>
      <w:rFonts w:ascii="Arial" w:hAnsi="Arial" w:eastAsia="Arial" w:cs="Arial"/>
      <w:b/>
      <w:bCs/>
      <w:sz w:val="24"/>
      <w:szCs w:val="24"/>
    </w:rPr>
  </w:style>
  <w:style w:type="paragraph" w:styleId="753">
    <w:name w:val="Heading 6"/>
    <w:basedOn w:val="914"/>
    <w:next w:val="914"/>
    <w:link w:val="75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54">
    <w:name w:val="Heading 6 Char"/>
    <w:basedOn w:val="917"/>
    <w:link w:val="753"/>
    <w:uiPriority w:val="9"/>
    <w:rPr>
      <w:rFonts w:ascii="Arial" w:hAnsi="Arial" w:eastAsia="Arial" w:cs="Arial"/>
      <w:b/>
      <w:bCs/>
      <w:sz w:val="22"/>
      <w:szCs w:val="22"/>
    </w:rPr>
  </w:style>
  <w:style w:type="paragraph" w:styleId="755">
    <w:name w:val="Heading 7"/>
    <w:basedOn w:val="914"/>
    <w:next w:val="914"/>
    <w:link w:val="75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56">
    <w:name w:val="Heading 7 Char"/>
    <w:basedOn w:val="917"/>
    <w:link w:val="75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57">
    <w:name w:val="Heading 8"/>
    <w:basedOn w:val="914"/>
    <w:next w:val="914"/>
    <w:link w:val="75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8">
    <w:name w:val="Heading 8 Char"/>
    <w:basedOn w:val="917"/>
    <w:link w:val="757"/>
    <w:uiPriority w:val="9"/>
    <w:rPr>
      <w:rFonts w:ascii="Arial" w:hAnsi="Arial" w:eastAsia="Arial" w:cs="Arial"/>
      <w:i/>
      <w:iCs/>
      <w:sz w:val="22"/>
      <w:szCs w:val="22"/>
    </w:rPr>
  </w:style>
  <w:style w:type="paragraph" w:styleId="759">
    <w:name w:val="Heading 9"/>
    <w:basedOn w:val="914"/>
    <w:next w:val="914"/>
    <w:link w:val="76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0">
    <w:name w:val="Heading 9 Char"/>
    <w:basedOn w:val="917"/>
    <w:link w:val="759"/>
    <w:uiPriority w:val="9"/>
    <w:rPr>
      <w:rFonts w:ascii="Arial" w:hAnsi="Arial" w:eastAsia="Arial" w:cs="Arial"/>
      <w:i/>
      <w:iCs/>
      <w:sz w:val="21"/>
      <w:szCs w:val="21"/>
    </w:rPr>
  </w:style>
  <w:style w:type="character" w:styleId="761">
    <w:name w:val="Title Char"/>
    <w:basedOn w:val="917"/>
    <w:link w:val="946"/>
    <w:uiPriority w:val="10"/>
    <w:rPr>
      <w:sz w:val="48"/>
      <w:szCs w:val="48"/>
    </w:rPr>
  </w:style>
  <w:style w:type="paragraph" w:styleId="762">
    <w:name w:val="Subtitle"/>
    <w:basedOn w:val="914"/>
    <w:next w:val="914"/>
    <w:link w:val="763"/>
    <w:uiPriority w:val="11"/>
    <w:qFormat/>
    <w:pPr>
      <w:spacing w:before="200" w:after="200"/>
    </w:pPr>
    <w:rPr>
      <w:sz w:val="24"/>
      <w:szCs w:val="24"/>
    </w:rPr>
  </w:style>
  <w:style w:type="character" w:styleId="763">
    <w:name w:val="Subtitle Char"/>
    <w:basedOn w:val="917"/>
    <w:link w:val="762"/>
    <w:uiPriority w:val="11"/>
    <w:rPr>
      <w:sz w:val="24"/>
      <w:szCs w:val="24"/>
    </w:rPr>
  </w:style>
  <w:style w:type="paragraph" w:styleId="764">
    <w:name w:val="Quote"/>
    <w:basedOn w:val="914"/>
    <w:next w:val="914"/>
    <w:link w:val="765"/>
    <w:uiPriority w:val="29"/>
    <w:qFormat/>
    <w:pPr>
      <w:ind w:left="720" w:right="720"/>
    </w:pPr>
    <w:rPr>
      <w:i/>
    </w:rPr>
  </w:style>
  <w:style w:type="character" w:styleId="765">
    <w:name w:val="Quote Char"/>
    <w:link w:val="764"/>
    <w:uiPriority w:val="29"/>
    <w:rPr>
      <w:i/>
    </w:rPr>
  </w:style>
  <w:style w:type="paragraph" w:styleId="766">
    <w:name w:val="Intense Quote"/>
    <w:basedOn w:val="914"/>
    <w:next w:val="914"/>
    <w:link w:val="76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7">
    <w:name w:val="Intense Quote Char"/>
    <w:link w:val="766"/>
    <w:uiPriority w:val="30"/>
    <w:rPr>
      <w:i/>
    </w:rPr>
  </w:style>
  <w:style w:type="character" w:styleId="768">
    <w:name w:val="Header Char"/>
    <w:basedOn w:val="917"/>
    <w:link w:val="931"/>
    <w:uiPriority w:val="99"/>
  </w:style>
  <w:style w:type="character" w:styleId="769">
    <w:name w:val="Footer Char"/>
    <w:basedOn w:val="917"/>
    <w:link w:val="928"/>
    <w:uiPriority w:val="99"/>
  </w:style>
  <w:style w:type="paragraph" w:styleId="770">
    <w:name w:val="Caption"/>
    <w:basedOn w:val="914"/>
    <w:next w:val="91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1">
    <w:name w:val="Caption Char"/>
    <w:basedOn w:val="770"/>
    <w:link w:val="928"/>
    <w:uiPriority w:val="99"/>
  </w:style>
  <w:style w:type="table" w:styleId="772">
    <w:name w:val="Table Grid Light"/>
    <w:basedOn w:val="9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3">
    <w:name w:val="Plain Table 1"/>
    <w:basedOn w:val="9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4">
    <w:name w:val="Plain Table 2"/>
    <w:basedOn w:val="91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5">
    <w:name w:val="Plain Table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6">
    <w:name w:val="Plain Table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Plain Table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8">
    <w:name w:val="Grid Table 1 Light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1 Light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Grid Table 1 Light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Grid Table 1 Light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Grid Table 1 Light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Grid Table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2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2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2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2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3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3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3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3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4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0">
    <w:name w:val="Grid Table 4 - Accent 1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1">
    <w:name w:val="Grid Table 4 - Accent 2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2">
    <w:name w:val="Grid Table 4 - Accent 3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3">
    <w:name w:val="Grid Table 4 - Accent 4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4">
    <w:name w:val="Grid Table 4 - Accent 5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5">
    <w:name w:val="Grid Table 4 - Accent 6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6">
    <w:name w:val="Grid Table 5 Dark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7">
    <w:name w:val="Grid Table 5 Dark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8">
    <w:name w:val="Grid Table 5 Dark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9">
    <w:name w:val="Grid Table 5 Dark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10">
    <w:name w:val="Grid Table 5 Dark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11">
    <w:name w:val="Grid Table 5 Dark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12">
    <w:name w:val="Grid Table 5 Dark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13">
    <w:name w:val="Grid Table 6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4">
    <w:name w:val="Grid Table 6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5">
    <w:name w:val="Grid Table 6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6">
    <w:name w:val="Grid Table 6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7">
    <w:name w:val="Grid Table 6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8">
    <w:name w:val="Grid Table 6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9">
    <w:name w:val="Grid Table 6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0">
    <w:name w:val="Grid Table 7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7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7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7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7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1 Light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1 Light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List Table 1 Light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List Table 1 Light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List Table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5">
    <w:name w:val="List Table 2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6">
    <w:name w:val="List Table 2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7">
    <w:name w:val="List Table 2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8">
    <w:name w:val="List Table 2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9">
    <w:name w:val="List Table 2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0">
    <w:name w:val="List Table 2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41">
    <w:name w:val="List Table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3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3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3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3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4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4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4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4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5 Dark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5 Dark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7">
    <w:name w:val="List Table 5 Dark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8">
    <w:name w:val="List Table 5 Dark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9">
    <w:name w:val="List Table 5 Dark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0">
    <w:name w:val="List Table 5 Dark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1">
    <w:name w:val="List Table 5 Dark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2">
    <w:name w:val="List Table 6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3">
    <w:name w:val="List Table 6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4">
    <w:name w:val="List Table 6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5">
    <w:name w:val="List Table 6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6">
    <w:name w:val="List Table 6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7">
    <w:name w:val="List Table 6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8">
    <w:name w:val="List Table 6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9">
    <w:name w:val="List Table 7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70">
    <w:name w:val="List Table 7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71">
    <w:name w:val="List Table 7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72">
    <w:name w:val="List Table 7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73">
    <w:name w:val="List Table 7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4">
    <w:name w:val="List Table 7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5">
    <w:name w:val="List Table 7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6">
    <w:name w:val="Lined - Accent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7">
    <w:name w:val="Lined - Accent 1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8">
    <w:name w:val="Lined - Accent 2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9">
    <w:name w:val="Lined - Accent 3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0">
    <w:name w:val="Lined - Accent 4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1">
    <w:name w:val="Lined - Accent 5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2">
    <w:name w:val="Lined - Accent 6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3">
    <w:name w:val="Bordered &amp; Lined - Accent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4">
    <w:name w:val="Bordered &amp; Lined - Accent 1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5">
    <w:name w:val="Bordered &amp; Lined - Accent 2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6">
    <w:name w:val="Bordered &amp; Lined - Accent 3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7">
    <w:name w:val="Bordered &amp; Lined - Accent 4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8">
    <w:name w:val="Bordered &amp; Lined - Accent 5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9">
    <w:name w:val="Bordered &amp; Lined - Accent 6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0">
    <w:name w:val="Bordered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91">
    <w:name w:val="Bordered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92">
    <w:name w:val="Bordered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3">
    <w:name w:val="Bordered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4">
    <w:name w:val="Bordered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5">
    <w:name w:val="Bordered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6">
    <w:name w:val="Bordered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97">
    <w:name w:val="footnote text"/>
    <w:basedOn w:val="914"/>
    <w:link w:val="898"/>
    <w:uiPriority w:val="99"/>
    <w:semiHidden/>
    <w:unhideWhenUsed/>
    <w:pPr>
      <w:spacing w:after="40" w:line="240" w:lineRule="auto"/>
    </w:pPr>
    <w:rPr>
      <w:sz w:val="18"/>
    </w:rPr>
  </w:style>
  <w:style w:type="character" w:styleId="898">
    <w:name w:val="Footnote Text Char"/>
    <w:link w:val="897"/>
    <w:uiPriority w:val="99"/>
    <w:rPr>
      <w:sz w:val="18"/>
    </w:rPr>
  </w:style>
  <w:style w:type="character" w:styleId="899">
    <w:name w:val="footnote reference"/>
    <w:basedOn w:val="917"/>
    <w:uiPriority w:val="99"/>
    <w:unhideWhenUsed/>
    <w:rPr>
      <w:vertAlign w:val="superscript"/>
    </w:rPr>
  </w:style>
  <w:style w:type="paragraph" w:styleId="900">
    <w:name w:val="endnote text"/>
    <w:basedOn w:val="914"/>
    <w:link w:val="901"/>
    <w:uiPriority w:val="99"/>
    <w:semiHidden/>
    <w:unhideWhenUsed/>
    <w:pPr>
      <w:spacing w:after="0" w:line="240" w:lineRule="auto"/>
    </w:pPr>
    <w:rPr>
      <w:sz w:val="20"/>
    </w:rPr>
  </w:style>
  <w:style w:type="character" w:styleId="901">
    <w:name w:val="Endnote Text Char"/>
    <w:link w:val="900"/>
    <w:uiPriority w:val="99"/>
    <w:rPr>
      <w:sz w:val="20"/>
    </w:rPr>
  </w:style>
  <w:style w:type="character" w:styleId="902">
    <w:name w:val="endnote reference"/>
    <w:basedOn w:val="917"/>
    <w:uiPriority w:val="99"/>
    <w:semiHidden/>
    <w:unhideWhenUsed/>
    <w:rPr>
      <w:vertAlign w:val="superscript"/>
    </w:rPr>
  </w:style>
  <w:style w:type="paragraph" w:styleId="903">
    <w:name w:val="toc 1"/>
    <w:basedOn w:val="914"/>
    <w:next w:val="914"/>
    <w:uiPriority w:val="39"/>
    <w:unhideWhenUsed/>
    <w:pPr>
      <w:ind w:left="0" w:right="0" w:firstLine="0"/>
      <w:spacing w:after="57"/>
    </w:pPr>
  </w:style>
  <w:style w:type="paragraph" w:styleId="904">
    <w:name w:val="toc 2"/>
    <w:basedOn w:val="914"/>
    <w:next w:val="914"/>
    <w:uiPriority w:val="39"/>
    <w:unhideWhenUsed/>
    <w:pPr>
      <w:ind w:left="283" w:right="0" w:firstLine="0"/>
      <w:spacing w:after="57"/>
    </w:pPr>
  </w:style>
  <w:style w:type="paragraph" w:styleId="905">
    <w:name w:val="toc 3"/>
    <w:basedOn w:val="914"/>
    <w:next w:val="914"/>
    <w:uiPriority w:val="39"/>
    <w:unhideWhenUsed/>
    <w:pPr>
      <w:ind w:left="567" w:right="0" w:firstLine="0"/>
      <w:spacing w:after="57"/>
    </w:pPr>
  </w:style>
  <w:style w:type="paragraph" w:styleId="906">
    <w:name w:val="toc 4"/>
    <w:basedOn w:val="914"/>
    <w:next w:val="914"/>
    <w:uiPriority w:val="39"/>
    <w:unhideWhenUsed/>
    <w:pPr>
      <w:ind w:left="850" w:right="0" w:firstLine="0"/>
      <w:spacing w:after="57"/>
    </w:pPr>
  </w:style>
  <w:style w:type="paragraph" w:styleId="907">
    <w:name w:val="toc 5"/>
    <w:basedOn w:val="914"/>
    <w:next w:val="914"/>
    <w:uiPriority w:val="39"/>
    <w:unhideWhenUsed/>
    <w:pPr>
      <w:ind w:left="1134" w:right="0" w:firstLine="0"/>
      <w:spacing w:after="57"/>
    </w:pPr>
  </w:style>
  <w:style w:type="paragraph" w:styleId="908">
    <w:name w:val="toc 6"/>
    <w:basedOn w:val="914"/>
    <w:next w:val="914"/>
    <w:uiPriority w:val="39"/>
    <w:unhideWhenUsed/>
    <w:pPr>
      <w:ind w:left="1417" w:right="0" w:firstLine="0"/>
      <w:spacing w:after="57"/>
    </w:pPr>
  </w:style>
  <w:style w:type="paragraph" w:styleId="909">
    <w:name w:val="toc 7"/>
    <w:basedOn w:val="914"/>
    <w:next w:val="914"/>
    <w:uiPriority w:val="39"/>
    <w:unhideWhenUsed/>
    <w:pPr>
      <w:ind w:left="1701" w:right="0" w:firstLine="0"/>
      <w:spacing w:after="57"/>
    </w:pPr>
  </w:style>
  <w:style w:type="paragraph" w:styleId="910">
    <w:name w:val="toc 8"/>
    <w:basedOn w:val="914"/>
    <w:next w:val="914"/>
    <w:uiPriority w:val="39"/>
    <w:unhideWhenUsed/>
    <w:pPr>
      <w:ind w:left="1984" w:right="0" w:firstLine="0"/>
      <w:spacing w:after="57"/>
    </w:pPr>
  </w:style>
  <w:style w:type="paragraph" w:styleId="911">
    <w:name w:val="toc 9"/>
    <w:basedOn w:val="914"/>
    <w:next w:val="914"/>
    <w:uiPriority w:val="39"/>
    <w:unhideWhenUsed/>
    <w:pPr>
      <w:ind w:left="2268" w:right="0" w:firstLine="0"/>
      <w:spacing w:after="57"/>
    </w:pPr>
  </w:style>
  <w:style w:type="paragraph" w:styleId="912">
    <w:name w:val="TOC Heading"/>
    <w:uiPriority w:val="39"/>
    <w:unhideWhenUsed/>
  </w:style>
  <w:style w:type="paragraph" w:styleId="913">
    <w:name w:val="table of figures"/>
    <w:basedOn w:val="914"/>
    <w:next w:val="914"/>
    <w:uiPriority w:val="99"/>
    <w:unhideWhenUsed/>
    <w:pPr>
      <w:spacing w:after="0" w:afterAutospacing="0"/>
    </w:pPr>
  </w:style>
  <w:style w:type="paragraph" w:styleId="914" w:default="1">
    <w:name w:val="Normal"/>
    <w:qFormat/>
  </w:style>
  <w:style w:type="paragraph" w:styleId="915">
    <w:name w:val="Heading 1"/>
    <w:basedOn w:val="914"/>
    <w:next w:val="914"/>
    <w:qFormat/>
    <w:pPr>
      <w:jc w:val="center"/>
      <w:keepNext/>
      <w:outlineLvl w:val="0"/>
    </w:pPr>
    <w:rPr>
      <w:sz w:val="24"/>
    </w:rPr>
  </w:style>
  <w:style w:type="paragraph" w:styleId="916">
    <w:name w:val="Heading 2"/>
    <w:basedOn w:val="914"/>
    <w:next w:val="914"/>
    <w:link w:val="926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917" w:default="1">
    <w:name w:val="Default Paragraph Font"/>
    <w:uiPriority w:val="1"/>
    <w:semiHidden/>
    <w:unhideWhenUsed/>
  </w:style>
  <w:style w:type="table" w:styleId="91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9" w:default="1">
    <w:name w:val="No List"/>
    <w:uiPriority w:val="99"/>
    <w:semiHidden/>
    <w:unhideWhenUsed/>
  </w:style>
  <w:style w:type="paragraph" w:styleId="920">
    <w:name w:val="Body Text"/>
    <w:basedOn w:val="914"/>
    <w:pPr>
      <w:jc w:val="both"/>
    </w:pPr>
    <w:rPr>
      <w:sz w:val="24"/>
      <w:szCs w:val="24"/>
    </w:rPr>
  </w:style>
  <w:style w:type="paragraph" w:styleId="921">
    <w:name w:val="Body Text Indent"/>
    <w:basedOn w:val="914"/>
    <w:link w:val="945"/>
    <w:uiPriority w:val="99"/>
    <w:pPr>
      <w:ind w:left="283"/>
      <w:spacing w:after="120"/>
    </w:pPr>
  </w:style>
  <w:style w:type="paragraph" w:styleId="922">
    <w:name w:val="Body Text 2"/>
    <w:basedOn w:val="914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23">
    <w:name w:val="Body Text Indent 2"/>
    <w:basedOn w:val="914"/>
    <w:pPr>
      <w:ind w:firstLine="709"/>
      <w:jc w:val="both"/>
    </w:pPr>
    <w:rPr>
      <w:bCs/>
      <w:sz w:val="26"/>
      <w:szCs w:val="26"/>
    </w:rPr>
  </w:style>
  <w:style w:type="paragraph" w:styleId="924">
    <w:name w:val="Body Text Indent 3"/>
    <w:basedOn w:val="914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25" w:customStyle="1">
    <w:name w:val="Знак Знак2"/>
    <w:basedOn w:val="914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26" w:customStyle="1">
    <w:name w:val="Заголовок 2 Знак"/>
    <w:link w:val="916"/>
    <w:uiPriority w:val="99"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27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28">
    <w:name w:val="Footer"/>
    <w:basedOn w:val="914"/>
    <w:link w:val="929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29" w:customStyle="1">
    <w:name w:val="Нижний колонтитул Знак"/>
    <w:link w:val="928"/>
    <w:uiPriority w:val="99"/>
    <w:rPr>
      <w:rFonts w:ascii="Arial" w:hAnsi="Arial" w:cs="Arial"/>
    </w:rPr>
  </w:style>
  <w:style w:type="character" w:styleId="930">
    <w:name w:val="page number"/>
    <w:uiPriority w:val="99"/>
  </w:style>
  <w:style w:type="paragraph" w:styleId="931">
    <w:name w:val="Header"/>
    <w:basedOn w:val="914"/>
    <w:link w:val="932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32" w:customStyle="1">
    <w:name w:val="Верхний колонтитул Знак"/>
    <w:link w:val="931"/>
    <w:uiPriority w:val="99"/>
    <w:rPr>
      <w:rFonts w:ascii="Arial" w:hAnsi="Arial" w:cs="Arial"/>
    </w:rPr>
  </w:style>
  <w:style w:type="paragraph" w:styleId="933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34">
    <w:name w:val="Table Grid"/>
    <w:basedOn w:val="918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5">
    <w:name w:val="Balloon Text"/>
    <w:basedOn w:val="914"/>
    <w:link w:val="936"/>
    <w:uiPriority w:val="99"/>
    <w:rPr>
      <w:rFonts w:ascii="Arial" w:hAnsi="Arial" w:cs="Arial"/>
      <w:sz w:val="16"/>
      <w:szCs w:val="16"/>
    </w:rPr>
  </w:style>
  <w:style w:type="character" w:styleId="936" w:customStyle="1">
    <w:name w:val="Текст выноски Знак"/>
    <w:link w:val="935"/>
    <w:uiPriority w:val="99"/>
    <w:rPr>
      <w:rFonts w:ascii="Arial" w:hAnsi="Arial" w:cs="Arial"/>
      <w:sz w:val="16"/>
      <w:szCs w:val="16"/>
    </w:rPr>
  </w:style>
  <w:style w:type="paragraph" w:styleId="937">
    <w:name w:val="List Paragraph"/>
    <w:basedOn w:val="914"/>
    <w:link w:val="938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38" w:customStyle="1">
    <w:name w:val="Абзац списка Знак"/>
    <w:link w:val="937"/>
    <w:uiPriority w:val="99"/>
    <w:rPr>
      <w:rFonts w:ascii="Calibri" w:hAnsi="Calibri" w:eastAsia="Calibri" w:cs="Calibri"/>
      <w:sz w:val="22"/>
      <w:szCs w:val="22"/>
      <w:lang w:eastAsia="en-US"/>
    </w:rPr>
  </w:style>
  <w:style w:type="paragraph" w:styleId="939" w:customStyle="1">
    <w:name w:val="Абзац списка1"/>
    <w:basedOn w:val="914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40">
    <w:name w:val="Hyperlink"/>
    <w:rPr>
      <w:color w:val="0000ff"/>
      <w:u w:val="single"/>
    </w:rPr>
  </w:style>
  <w:style w:type="paragraph" w:styleId="941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42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43">
    <w:name w:val="Body Text 3"/>
    <w:basedOn w:val="914"/>
    <w:link w:val="944"/>
    <w:uiPriority w:val="99"/>
    <w:pPr>
      <w:spacing w:after="120"/>
    </w:pPr>
    <w:rPr>
      <w:sz w:val="16"/>
      <w:szCs w:val="16"/>
    </w:rPr>
  </w:style>
  <w:style w:type="character" w:styleId="944" w:customStyle="1">
    <w:name w:val="Основной текст 3 Знак"/>
    <w:basedOn w:val="917"/>
    <w:link w:val="943"/>
    <w:uiPriority w:val="99"/>
    <w:rPr>
      <w:sz w:val="16"/>
      <w:szCs w:val="16"/>
    </w:rPr>
  </w:style>
  <w:style w:type="character" w:styleId="945" w:customStyle="1">
    <w:name w:val="Основной текст с отступом Знак"/>
    <w:link w:val="921"/>
    <w:uiPriority w:val="99"/>
  </w:style>
  <w:style w:type="paragraph" w:styleId="946">
    <w:name w:val="Title"/>
    <w:basedOn w:val="914"/>
    <w:link w:val="947"/>
    <w:uiPriority w:val="99"/>
    <w:qFormat/>
    <w:pPr>
      <w:jc w:val="center"/>
    </w:pPr>
    <w:rPr>
      <w:caps/>
      <w:sz w:val="24"/>
      <w:szCs w:val="24"/>
    </w:rPr>
  </w:style>
  <w:style w:type="character" w:styleId="947" w:customStyle="1">
    <w:name w:val="Название Знак"/>
    <w:basedOn w:val="917"/>
    <w:link w:val="946"/>
    <w:uiPriority w:val="99"/>
    <w:rPr>
      <w:caps/>
      <w:sz w:val="24"/>
      <w:szCs w:val="24"/>
    </w:rPr>
  </w:style>
  <w:style w:type="paragraph" w:styleId="948" w:customStyle="1">
    <w:name w:val="Знак1"/>
    <w:basedOn w:val="914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49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50" w:customStyle="1">
    <w:name w:val="Знак Знак Знак Знак Знак Знак Знак Знак Знак Знак"/>
    <w:basedOn w:val="914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51">
    <w:name w:val="Emphasis"/>
    <w:qFormat/>
    <w:rPr>
      <w:i/>
      <w:iCs/>
    </w:rPr>
  </w:style>
  <w:style w:type="table" w:styleId="952" w:customStyle="1">
    <w:name w:val="Сетка таблицы1"/>
    <w:basedOn w:val="918"/>
    <w:next w:val="934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53" w:customStyle="1">
    <w:name w:val="Таблица простая 21"/>
    <w:basedOn w:val="918"/>
    <w:uiPriority w:val="59"/>
    <w:rPr>
      <w:rFonts w:ascii="Calibri" w:hAnsi="Calibri" w:eastAsia="Calibri"/>
    </w:r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54" w:customStyle="1">
    <w:name w:val="Сетка таблицы2"/>
    <w:basedOn w:val="918"/>
    <w:next w:val="934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C507AF-351F-4269-B139-4488DCF8C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5</cp:revision>
  <dcterms:created xsi:type="dcterms:W3CDTF">2025-12-12T09:00:00Z</dcterms:created>
  <dcterms:modified xsi:type="dcterms:W3CDTF">2025-12-19T09:27:30Z</dcterms:modified>
</cp:coreProperties>
</file>