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02.12.2025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2007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«Экономический потенциал» на 2025 - 2027 годы, утвержденную постановлением</w:t>
      </w:r>
      <w:r>
        <w:rPr>
          <w:b/>
          <w:sz w:val="20"/>
          <w:szCs w:val="20"/>
        </w:rPr>
        <w:br/>
        <w:t xml:space="preserve">администрации Печенгского муниципального округа от 01.11.2024 № 1713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разработки,</w:t>
      </w:r>
      <w:r>
        <w:rPr>
          <w:color w:val="000000"/>
        </w:rPr>
        <w:t xml:space="preserve">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16.08.2021 № 838,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pBdr>
          <w:right w:val="none" w:color="000000" w:sz="4" w:space="12"/>
        </w:pBdr>
      </w:pPr>
      <w:r/>
      <w:r/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</w:pPr>
      <w:r/>
      <w:r/>
    </w:p>
    <w:p>
      <w:pPr>
        <w:pStyle w:val="907"/>
        <w:numPr>
          <w:ilvl w:val="0"/>
          <w:numId w:val="2"/>
        </w:numPr>
        <w:ind w:left="0" w:right="0" w:firstLine="709"/>
        <w:tabs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муниципальную программ</w:t>
      </w:r>
      <w:r>
        <w:rPr>
          <w:sz w:val="24"/>
          <w:szCs w:val="24"/>
        </w:rPr>
        <w:t xml:space="preserve">у </w:t>
      </w:r>
      <w:r>
        <w:rPr>
          <w:sz w:val="24"/>
          <w:szCs w:val="24"/>
        </w:rPr>
        <w:t xml:space="preserve">Печенгского муниципального округа «Экономический потенциал» на 2025 - 2027 годы, утвержденную постановлением администрации Печенгского муниципального округа от 01.11.2024 № 1713 (в редакции постановления администрации Печенгского муниципального округа от 2</w:t>
      </w:r>
      <w:r>
        <w:rPr>
          <w:sz w:val="24"/>
          <w:szCs w:val="24"/>
        </w:rPr>
        <w:t xml:space="preserve">9.08</w:t>
      </w:r>
      <w:r>
        <w:rPr>
          <w:sz w:val="24"/>
          <w:szCs w:val="24"/>
        </w:rPr>
        <w:t xml:space="preserve">.2025 </w:t>
      </w:r>
      <w:r>
        <w:rPr>
          <w:sz w:val="24"/>
          <w:szCs w:val="24"/>
        </w:rPr>
        <w:br/>
        <w:t xml:space="preserve">№ </w:t>
      </w:r>
      <w:r>
        <w:rPr>
          <w:sz w:val="24"/>
          <w:szCs w:val="24"/>
        </w:rPr>
        <w:t xml:space="preserve">1404</w:t>
      </w:r>
      <w:r>
        <w:rPr>
          <w:sz w:val="24"/>
          <w:szCs w:val="24"/>
        </w:rPr>
        <w:t xml:space="preserve">) (далее – Программа)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7"/>
        <w:ind w:right="0" w:firstLine="709"/>
        <w:tabs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t xml:space="preserve"> </w:t>
      </w:r>
      <w:r>
        <w:rPr>
          <w:sz w:val="24"/>
          <w:szCs w:val="24"/>
        </w:rPr>
        <w:t xml:space="preserve">пункт 8 строки «Показатели программы» паспорта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1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296"/>
        <w:gridCol w:w="7114"/>
      </w:tblGrid>
      <w:tr>
        <w:tblPrEx/>
        <w:trPr>
          <w:jc w:val="center"/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96" w:type="dxa"/>
            <w:textDirection w:val="lrTb"/>
            <w:noWrap w:val="false"/>
          </w:tcPr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14" w:type="dxa"/>
            <w:textDirection w:val="lrTb"/>
            <w:noWrap w:val="false"/>
          </w:tcPr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«8. Количество проведенных мероприятий по вопроса</w:t>
            </w:r>
            <w:r>
              <w:t xml:space="preserve">м</w:t>
            </w:r>
            <w:r>
              <w:t xml:space="preserve"> СМСП.»;</w:t>
            </w:r>
            <w:r/>
          </w:p>
        </w:tc>
      </w:tr>
    </w:tbl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>
        <w:rPr>
          <w:highlight w:val="none"/>
        </w:rPr>
      </w:r>
      <w:r>
        <w:rPr>
          <w:highlight w:val="none"/>
        </w:rPr>
      </w:r>
      <w:r/>
    </w:p>
    <w:p>
      <w:pPr>
        <w:ind w:right="0" w:firstLine="709"/>
        <w:jc w:val="both"/>
        <w:widowControl w:val="off"/>
        <w:tabs>
          <w:tab w:val="left" w:pos="709" w:leader="none"/>
          <w:tab w:val="left" w:pos="851" w:leader="none"/>
        </w:tabs>
        <w:rPr>
          <w:highlight w:val="none"/>
        </w:rPr>
        <w:suppressLineNumbers w:val="0"/>
      </w:pPr>
      <w:r>
        <w:t xml:space="preserve">- строку «Финансовое обеспечение программы» паспорта Программы изложить в следующей редакции:</w:t>
      </w:r>
      <w:r>
        <w:rPr>
          <w:highlight w:val="none"/>
        </w:rPr>
      </w:r>
    </w:p>
    <w:tbl>
      <w:tblPr>
        <w:tblW w:w="941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296"/>
        <w:gridCol w:w="7114"/>
      </w:tblGrid>
      <w:tr>
        <w:tblPrEx/>
        <w:trPr>
          <w:jc w:val="center"/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96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«Финансовое обеспечение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14" w:type="dxa"/>
            <w:textDirection w:val="lrTb"/>
            <w:noWrap w:val="false"/>
          </w:tcPr>
          <w:p>
            <w:pPr>
              <w:rPr>
                <w:rFonts w:eastAsia="Calibri" w:cs="Calibri"/>
                <w:b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Всего по муниципальной программе: </w:t>
            </w:r>
            <w:r>
              <w:rPr>
                <w:rFonts w:eastAsia="Calibri" w:cs="Calibri"/>
                <w:b/>
                <w:lang w:eastAsia="en-US"/>
              </w:rPr>
              <w:t xml:space="preserve"> 4</w:t>
            </w:r>
            <w:r>
              <w:rPr>
                <w:rFonts w:eastAsia="Calibri" w:cs="Calibri"/>
                <w:b/>
                <w:lang w:eastAsia="en-US"/>
              </w:rPr>
              <w:t xml:space="preserve"> 253,1</w:t>
            </w:r>
            <w:r>
              <w:rPr>
                <w:rFonts w:eastAsia="Calibri" w:cs="Calibri"/>
                <w:b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b/>
                <w:lang w:eastAsia="en-US"/>
              </w:rPr>
            </w:r>
            <w:r>
              <w:rPr>
                <w:rFonts w:eastAsia="Calibri" w:cs="Calibri"/>
                <w:b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 в том числе: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ФБ: 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ОБ: 819,1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739,9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39,6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39,6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МБ: 1</w:t>
            </w:r>
            <w:r>
              <w:rPr>
                <w:rFonts w:eastAsia="Calibri" w:cs="Calibri"/>
                <w:lang w:eastAsia="en-US"/>
              </w:rPr>
              <w:t xml:space="preserve">844</w:t>
            </w:r>
            <w:r>
              <w:rPr>
                <w:rFonts w:eastAsia="Calibri" w:cs="Calibri"/>
                <w:lang w:eastAsia="en-US"/>
              </w:rPr>
              <w:t xml:space="preserve">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</w:t>
            </w:r>
            <w:r>
              <w:rPr>
                <w:rFonts w:eastAsia="Calibri" w:cs="Calibri"/>
                <w:lang w:eastAsia="en-US"/>
              </w:rPr>
              <w:t xml:space="preserve">77</w:t>
            </w:r>
            <w:r>
              <w:rPr>
                <w:rFonts w:eastAsia="Calibri" w:cs="Calibri"/>
                <w:lang w:eastAsia="en-US"/>
              </w:rPr>
              <w:t xml:space="preserve">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537,0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537,0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ВБС: 1590,0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530,0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530,0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530,0 тыс. рублей.»;</w:t>
            </w:r>
            <w:r/>
          </w:p>
        </w:tc>
      </w:tr>
    </w:tbl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/>
      <w:r/>
    </w:p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>
        <w:t xml:space="preserve">- строку «Ожидаемые конечные результаты реализации программы» в паспорте </w:t>
      </w:r>
      <w:bookmarkStart w:id="0" w:name="_GoBack"/>
      <w:r/>
      <w:bookmarkEnd w:id="0"/>
      <w:r>
        <w:t xml:space="preserve">Программы изложить в следующей редак</w:t>
      </w:r>
      <w:r>
        <w:t xml:space="preserve">ц</w:t>
      </w:r>
      <w:r>
        <w:t xml:space="preserve">ии:</w:t>
      </w:r>
      <w:r/>
    </w:p>
    <w:tbl>
      <w:tblPr>
        <w:tblW w:w="946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322"/>
        <w:gridCol w:w="7141"/>
      </w:tblGrid>
      <w:tr>
        <w:tblPrEx/>
        <w:trPr>
          <w:jc w:val="center"/>
          <w:trHeight w:val="18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22" w:type="dxa"/>
            <w:textDirection w:val="lrTb"/>
            <w:noWrap w:val="false"/>
          </w:tcPr>
          <w:p>
            <w:pPr>
              <w:ind w:firstLine="1"/>
            </w:pPr>
            <w:r>
              <w:t xml:space="preserve">«Ожидаемые конечные результаты реализации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41" w:type="dxa"/>
            <w:textDirection w:val="lrTb"/>
            <w:noWrap w:val="false"/>
          </w:tcPr>
          <w:p>
            <w:pPr>
              <w:jc w:val="both"/>
            </w:pPr>
            <w:r>
              <w:t xml:space="preserve">- улучшение инвестиционного и предпринимательского климата, повышение инвестиционной привлекательности Печенгского муниципального округа – рост количества малых, в том числе микропредприятий, к концу 2027 года до 747 единиц;</w:t>
            </w:r>
            <w:r/>
          </w:p>
          <w:p>
            <w:pPr>
              <w:jc w:val="both"/>
              <w:widowControl w:val="off"/>
            </w:pPr>
            <w:r>
              <w:t xml:space="preserve">- увеличение объема инвестиций в основной капитал (за исключением бюджетных средств) в расчете на 1 жителя в 2027 году до 579,9 тыс. рублей; </w:t>
            </w:r>
            <w:r/>
          </w:p>
          <w:p>
            <w:pPr>
              <w:pStyle w:val="864"/>
              <w:ind w:left="34"/>
              <w:jc w:val="both"/>
              <w:tabs>
                <w:tab w:val="left" w:pos="317" w:leader="none"/>
              </w:tabs>
            </w:pPr>
            <w:r>
              <w:t xml:space="preserve">- увеличение количества функционирующих КСР к 2027 году до 17 единиц;</w:t>
            </w:r>
            <w:r/>
          </w:p>
          <w:p>
            <w:pPr>
              <w:jc w:val="both"/>
            </w:pPr>
            <w:r>
              <w:t xml:space="preserve">- рост туристического потока (количество лиц, размещенных в КСР) в Печенгском муниципальном округе ежегодно на 5% к уровню предыдущего года; </w:t>
            </w:r>
            <w:r/>
          </w:p>
          <w:p>
            <w:pPr>
              <w:jc w:val="both"/>
              <w:rPr>
                <w:color w:val="ff0000"/>
              </w:rPr>
            </w:pPr>
            <w:r>
              <w:t xml:space="preserve">- увеличение количества СО НКО, осуществляющих деятельность на территории Печенгского муниципального округа, к 2027 году до  28 единиц.</w:t>
            </w:r>
            <w:r>
              <w:t xml:space="preserve">»;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</w:tbl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/>
      <w:r/>
    </w:p>
    <w:p>
      <w:pPr>
        <w:ind w:firstLine="709"/>
        <w:jc w:val="both"/>
        <w:tabs>
          <w:tab w:val="left" w:pos="993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 строки 1.</w:t>
      </w:r>
      <w:r>
        <w:rPr>
          <w:rFonts w:eastAsia="Calibri"/>
          <w:lang w:eastAsia="en-US"/>
        </w:rPr>
        <w:t xml:space="preserve">1</w:t>
      </w:r>
      <w:r>
        <w:rPr>
          <w:rFonts w:eastAsia="Calibri"/>
          <w:lang w:eastAsia="en-US"/>
        </w:rPr>
        <w:t xml:space="preserve">.1</w:t>
      </w:r>
      <w:r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 xml:space="preserve">1.</w:t>
      </w:r>
      <w:r>
        <w:rPr>
          <w:rFonts w:eastAsia="Calibri"/>
          <w:lang w:eastAsia="en-US"/>
        </w:rPr>
        <w:t xml:space="preserve">1.</w:t>
      </w:r>
      <w:r>
        <w:rPr>
          <w:rFonts w:eastAsia="Calibri"/>
          <w:lang w:eastAsia="en-US"/>
        </w:rPr>
        <w:t xml:space="preserve">2</w:t>
      </w:r>
      <w:r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 xml:space="preserve">1.</w:t>
      </w:r>
      <w:r>
        <w:rPr>
          <w:rFonts w:eastAsia="Calibri"/>
          <w:lang w:eastAsia="en-US"/>
        </w:rPr>
        <w:t xml:space="preserve">1.</w:t>
      </w:r>
      <w:r>
        <w:rPr>
          <w:rFonts w:eastAsia="Calibri"/>
          <w:lang w:eastAsia="en-US"/>
        </w:rPr>
        <w:t xml:space="preserve">3</w:t>
      </w:r>
      <w:r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 xml:space="preserve">1.</w:t>
      </w:r>
      <w:r>
        <w:rPr>
          <w:rFonts w:eastAsia="Calibri"/>
          <w:lang w:eastAsia="en-US"/>
        </w:rPr>
        <w:t xml:space="preserve">1.4</w:t>
      </w:r>
      <w:r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 xml:space="preserve">1.</w:t>
      </w:r>
      <w:r>
        <w:rPr>
          <w:rFonts w:eastAsia="Calibri"/>
          <w:lang w:eastAsia="en-US"/>
        </w:rPr>
        <w:t xml:space="preserve">1.5</w:t>
      </w:r>
      <w:r>
        <w:rPr>
          <w:rFonts w:eastAsia="Calibri"/>
          <w:lang w:eastAsia="en-US"/>
        </w:rPr>
        <w:t xml:space="preserve">, 2.</w:t>
      </w:r>
      <w:r>
        <w:rPr>
          <w:rFonts w:eastAsia="Calibri"/>
          <w:lang w:eastAsia="en-US"/>
        </w:rPr>
        <w:t xml:space="preserve">1.1, 2.1.8 и 2.2</w:t>
      </w:r>
      <w:r>
        <w:rPr>
          <w:rFonts w:eastAsia="Calibri"/>
          <w:lang w:eastAsia="en-US"/>
        </w:rPr>
        <w:t xml:space="preserve">.6</w:t>
      </w:r>
      <w:r>
        <w:rPr>
          <w:rFonts w:eastAsia="Calibri"/>
          <w:lang w:eastAsia="en-US"/>
        </w:rPr>
        <w:t xml:space="preserve"> таблицы «Основные показатели эффективности реализации программы» раздела 2 «Основные цели и задачи программы с указанием сроков и этапов её реализации, а также перечень основных мероприятий и показателей» Программы изложить в следующей редакции: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7"/>
        <w:gridCol w:w="2111"/>
        <w:gridCol w:w="711"/>
        <w:gridCol w:w="990"/>
        <w:gridCol w:w="868"/>
        <w:gridCol w:w="850"/>
        <w:gridCol w:w="851"/>
        <w:gridCol w:w="850"/>
        <w:gridCol w:w="1418"/>
      </w:tblGrid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1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малых, в том числе микро-предприятий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788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747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Данные Единого реестра СМСП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1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инвестиций в основной капитал (за исключением бюджетных средств) в расчете на 1 жителя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Тыс. руб.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244,8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324,3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396,4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525,9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579,9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Информация ОЭР, Сектора инвестиционной деятельности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1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функционирующих КСР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Статистическая информация № 041941119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1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Рост туристического потока (количество лиц, размещенных в КСР) в Печенгском муниципальном округе, ежегодно к уровню предыдущего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127,3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121,4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105,0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105,0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105,0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Статистическая информация № 041941119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1.5.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1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СО НКО, осуществляющих деятельность на территории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Статистическая информация № 020241272, № 020241273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1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объектов недвижимости нежилого фонда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находящегося в собственности Печенгского муниципального округа, подлежащих к сдаче в аренду СМСП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116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117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Информация КУИ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2.1.8.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1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мероприятий по вопросам СМСП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Сектора инвестиционной деятельности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2.2.6.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1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 конкурсов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Консультанта по приграничному сотрудничеству»;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/>
      <w:r/>
    </w:p>
    <w:p>
      <w:pPr>
        <w:pStyle w:val="907"/>
        <w:ind w:right="0" w:firstLine="709"/>
        <w:tabs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пункт 8 строки «Показатели подпрограммы» паспорта Подпрограммы 1 «Повышение инвестиционной привлекательности Печенгского муниципального округа» (далее – Подпрограмма 1)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1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296"/>
        <w:gridCol w:w="7114"/>
      </w:tblGrid>
      <w:tr>
        <w:tblPrEx/>
        <w:trPr>
          <w:jc w:val="center"/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96" w:type="dxa"/>
            <w:textDirection w:val="lrTb"/>
            <w:noWrap w:val="false"/>
          </w:tcPr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14" w:type="dxa"/>
            <w:textDirection w:val="lrTb"/>
            <w:noWrap w:val="false"/>
          </w:tcPr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«8. Количество проведенных мероприятий по вопросам СМСП.»;</w:t>
            </w:r>
            <w:r/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r/>
          </w:p>
        </w:tc>
      </w:tr>
    </w:tbl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/>
      <w:r/>
    </w:p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>
        <w:t xml:space="preserve">- строку «Финансовое обеспечение подпрограммы» паспорта Подпрограмм</w:t>
      </w:r>
      <w:r>
        <w:t xml:space="preserve">ы</w:t>
      </w:r>
      <w:r>
        <w:t xml:space="preserve"> 1 изложить в следующей редакции:</w:t>
      </w:r>
      <w:r/>
    </w:p>
    <w:tbl>
      <w:tblPr>
        <w:tblW w:w="941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296"/>
        <w:gridCol w:w="7114"/>
      </w:tblGrid>
      <w:tr>
        <w:tblPrEx/>
        <w:trPr>
          <w:jc w:val="center"/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96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«Финансовое обеспечение подпрограммы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14" w:type="dxa"/>
            <w:textDirection w:val="lrTb"/>
            <w:noWrap w:val="false"/>
          </w:tcPr>
          <w:p>
            <w:pPr>
              <w:rPr>
                <w:rFonts w:eastAsia="Calibri" w:cs="Calibri"/>
                <w:b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Всего по подпрограмме:  </w:t>
            </w:r>
            <w:r>
              <w:rPr>
                <w:rFonts w:eastAsia="Calibri" w:cs="Calibri"/>
                <w:b/>
                <w:lang w:eastAsia="en-US"/>
              </w:rPr>
              <w:t xml:space="preserve">1 979,1  тыс. рублей,</w:t>
            </w:r>
            <w:r>
              <w:rPr>
                <w:rFonts w:eastAsia="Calibri" w:cs="Calibri"/>
                <w:b/>
                <w:lang w:eastAsia="en-US"/>
              </w:rPr>
            </w:r>
            <w:r>
              <w:rPr>
                <w:rFonts w:eastAsia="Calibri" w:cs="Calibri"/>
                <w:b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 в том числе: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ФБ: 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ОБ: 119,1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39,9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39,6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39,6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МБ: 270,0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70,0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100,0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100,0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ВБС: 1590,0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530,0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530,0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530,0 тыс. рублей.»;</w:t>
            </w:r>
            <w:r/>
          </w:p>
        </w:tc>
      </w:tr>
    </w:tbl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/>
      <w:r/>
    </w:p>
    <w:p>
      <w:pPr>
        <w:ind w:right="0" w:firstLine="709"/>
        <w:jc w:val="both"/>
        <w:widowControl w:val="off"/>
        <w:tabs>
          <w:tab w:val="left" w:pos="709" w:leader="none"/>
          <w:tab w:val="left" w:pos="851" w:leader="none"/>
        </w:tabs>
        <w:suppressLineNumbers w:val="0"/>
      </w:pPr>
      <w:r>
        <w:t xml:space="preserve">- строку «Ожидаемые конечные результаты реализации подпрограммы» паспорта Подпрограммы 1 изложить в следующей редакции:</w:t>
      </w:r>
      <w:r/>
    </w:p>
    <w:tbl>
      <w:tblPr>
        <w:tblW w:w="9502" w:type="dxa"/>
        <w:jc w:val="center"/>
        <w:tblBorders>
          <w:top w:val="single" w:color="000000" w:sz="4" w:space="0"/>
          <w:left w:val="single" w:color="000000" w:sz="4" w:space="0"/>
          <w:bottom w:val="single" w:color="auto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342"/>
        <w:gridCol w:w="7160"/>
      </w:tblGrid>
      <w:tr>
        <w:tblPrEx/>
        <w:trPr>
          <w:jc w:val="center"/>
          <w:trHeight w:val="189"/>
        </w:trPr>
        <w:tc>
          <w:tcPr>
            <w:tcW w:w="2342" w:type="dxa"/>
            <w:textDirection w:val="lrTb"/>
            <w:noWrap w:val="false"/>
          </w:tcPr>
          <w:p>
            <w:pPr>
              <w:ind w:firstLine="1"/>
            </w:pPr>
            <w:r>
              <w:t xml:space="preserve">«Ожидаемые конечные результаты реализации подпрограммы</w:t>
            </w:r>
            <w:r/>
          </w:p>
        </w:tc>
        <w:tc>
          <w:tcPr>
            <w:tcW w:w="7160" w:type="dxa"/>
            <w:textDirection w:val="lrTb"/>
            <w:noWrap w:val="false"/>
          </w:tcPr>
          <w:p>
            <w:pPr>
              <w:jc w:val="both"/>
            </w:pPr>
            <w:r>
              <w:t xml:space="preserve">- улучшение инвестиционного и предпринимательского климата, повышение инвестиционной привлекательности Печенгского муниципального округа – рост количества малых, в том числе микропредприятий, к концу 2027 года до 747 единиц;</w:t>
            </w:r>
            <w:r/>
          </w:p>
          <w:p>
            <w:pPr>
              <w:jc w:val="both"/>
              <w:widowControl w:val="off"/>
            </w:pPr>
            <w:r>
              <w:t xml:space="preserve">- увеличение объема инвестиций в основной капитал (за исключением бюджетных средств) в расчете на 1 жителя в 2027 году до 579,9 тыс. рублей.»; </w:t>
            </w:r>
            <w:r/>
          </w:p>
        </w:tc>
      </w:tr>
    </w:tbl>
    <w:p>
      <w:pPr>
        <w:ind w:firstLine="709"/>
        <w:jc w:val="both"/>
        <w:tabs>
          <w:tab w:val="left" w:pos="1276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ind w:firstLine="709"/>
        <w:jc w:val="both"/>
        <w:tabs>
          <w:tab w:val="left" w:pos="1276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>
        <w:t xml:space="preserve">- приложение к подпрограмме 1 «Перечень муниципального имущества Печенгского муниципального округа, предназначенного для передачи во владение и (или) пользование СМСП» изложить в редакции согласно приложению к настоящему постановлению;</w:t>
      </w:r>
      <w:r/>
    </w:p>
    <w:p>
      <w:pPr>
        <w:ind w:firstLine="709"/>
        <w:jc w:val="both"/>
        <w:tabs>
          <w:tab w:val="left" w:pos="1276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-</w:t>
      </w:r>
      <w:r>
        <w:t xml:space="preserve"> строки 1.1.6, «Итого по основному мероприятию 1» и «Всего по подпрограмме 1» таблицы 1 «Перечень мероприятий подпрограммы с объёмом финансирования» к Подпрограмме 1 изложить в следующей редакции:</w:t>
      </w:r>
      <w:r/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5"/>
        <w:gridCol w:w="1559"/>
        <w:gridCol w:w="709"/>
        <w:gridCol w:w="932"/>
        <w:gridCol w:w="1123"/>
        <w:gridCol w:w="1121"/>
        <w:gridCol w:w="979"/>
        <w:gridCol w:w="979"/>
        <w:gridCol w:w="1102"/>
      </w:tblGrid>
      <w:tr>
        <w:tblPrEx/>
        <w:trPr>
          <w:trHeight w:val="188"/>
        </w:trPr>
        <w:tc>
          <w:tcPr>
            <w:shd w:val="clear" w:color="auto" w:fill="auto"/>
            <w:tcW w:w="45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«1.1.6.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Организация и проведение мероприятий по вопросам СМСП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Сектор инвестиционной деятельности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270,0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70</w:t>
            </w:r>
            <w:r>
              <w:rPr>
                <w:sz w:val="20"/>
                <w:szCs w:val="20"/>
              </w:rPr>
              <w:t xml:space="preserve">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  <w:t xml:space="preserve">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270,0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100</w:t>
            </w:r>
            <w:r>
              <w:rPr>
                <w:b/>
                <w:sz w:val="20"/>
                <w:szCs w:val="20"/>
              </w:rPr>
              <w:t xml:space="preserve">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100</w:t>
            </w:r>
            <w:r>
              <w:rPr>
                <w:b/>
                <w:sz w:val="20"/>
                <w:szCs w:val="20"/>
              </w:rPr>
              <w:t xml:space="preserve">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119,1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39,9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36,6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36,6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270,0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389,1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109,9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139,6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139,6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Всего по подпрограмме </w:t>
            </w:r>
            <w:r>
              <w:rPr>
                <w:b/>
                <w:sz w:val="20"/>
                <w:szCs w:val="20"/>
              </w:rPr>
              <w:t xml:space="preserve">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119,1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39,9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270,0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1590,0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530,0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530,0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530,0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1979,1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639,9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669,6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669,6»;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/>
      <w:r/>
    </w:p>
    <w:p>
      <w:pPr>
        <w:ind w:firstLine="709"/>
        <w:jc w:val="both"/>
        <w:tabs>
          <w:tab w:val="left" w:pos="0" w:leader="none"/>
          <w:tab w:val="left" w:pos="993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</w:t>
      </w:r>
      <w:r>
        <w:rPr>
          <w:rFonts w:eastAsia="Calibri"/>
          <w:lang w:eastAsia="en-US"/>
        </w:rPr>
        <w:t xml:space="preserve"> строки 1.1.</w:t>
      </w:r>
      <w:r>
        <w:rPr>
          <w:rFonts w:eastAsia="Calibri"/>
          <w:lang w:eastAsia="en-US"/>
        </w:rPr>
        <w:t xml:space="preserve">1 и</w:t>
      </w:r>
      <w:r>
        <w:rPr>
          <w:rFonts w:eastAsia="Calibri"/>
          <w:lang w:eastAsia="en-US"/>
        </w:rPr>
        <w:t xml:space="preserve"> 1.1.6</w:t>
      </w:r>
      <w:r>
        <w:rPr>
          <w:rFonts w:ascii="Calibri" w:hAnsi="Calibri" w:eastAsia="Calibri"/>
          <w:sz w:val="22"/>
          <w:szCs w:val="22"/>
          <w:lang w:eastAsia="en-US"/>
        </w:rPr>
        <w:t xml:space="preserve"> </w:t>
      </w:r>
      <w:r>
        <w:rPr>
          <w:rFonts w:eastAsia="Calibri"/>
          <w:lang w:eastAsia="en-US"/>
        </w:rPr>
        <w:t xml:space="preserve">таблицы 2 «Перечень мероприятий подпрограммы с показателями результативности выполнения мероприятий» к Подпрограмме 1 изложить в следующей редакции: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tbl>
      <w:tblPr>
        <w:tblStyle w:val="916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708"/>
        <w:gridCol w:w="2410"/>
        <w:gridCol w:w="709"/>
        <w:gridCol w:w="850"/>
        <w:gridCol w:w="851"/>
        <w:gridCol w:w="850"/>
        <w:gridCol w:w="851"/>
      </w:tblGrid>
      <w:tr>
        <w:tblPrEx/>
        <w:trPr>
          <w:trHeight w:val="273"/>
        </w:trPr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«1.1.1.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Имущественная поддержка СМСП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2025-2027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объектов недвижимости нежилого фонда, находящегося в собственности Печенгского муниципального округа, подлежащих к сдаче в аренду СМСП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шт.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116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117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18"/>
                <w:szCs w:val="18"/>
              </w:rPr>
              <w:t xml:space="preserve">КУИ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Наличие актуализированного перечня договоров аренды объектов недвижимости нежилого фонда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да/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center"/>
              <w:tabs>
                <w:tab w:val="left" w:pos="993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нет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Увеличение доля объектов, включенных в перечни муниципального имущества и предоставляемого СМСП и самозанятым гражданам в рамках оказания имущественной поддержки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%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1.1.6.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Организация и проведение мероприятий по вопросам СМСП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2025-2027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мероприятий по вопросам СМСП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Шт. 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Сектор инвестиционной деятельности»;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/>
      <w:r/>
    </w:p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/>
      <w:r/>
    </w:p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/>
      <w:r/>
    </w:p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>
        <w:t xml:space="preserve">- строку «Финансовое обеспечение подпрограммы» паспорта подпрограммы 2 «Развитие туризма в Печенгском муниципальном округе» (далее – Подпрограмма 2) изложить в следующей редакции:</w:t>
      </w:r>
      <w:r/>
    </w:p>
    <w:tbl>
      <w:tblPr>
        <w:tblW w:w="941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580"/>
        <w:gridCol w:w="6830"/>
      </w:tblGrid>
      <w:tr>
        <w:tblPrEx/>
        <w:trPr>
          <w:jc w:val="center"/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0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«Финансовое обеспечение подпрограммы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30" w:type="dxa"/>
            <w:textDirection w:val="lrTb"/>
            <w:noWrap w:val="false"/>
          </w:tcPr>
          <w:p>
            <w:pPr>
              <w:rPr>
                <w:rFonts w:eastAsia="Calibri" w:cs="Calibri"/>
                <w:b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Всего по подпрограмме:  </w:t>
            </w:r>
            <w:r>
              <w:rPr>
                <w:rFonts w:eastAsia="Calibri" w:cs="Calibri"/>
                <w:b/>
                <w:lang w:eastAsia="en-US"/>
              </w:rPr>
              <w:t xml:space="preserve">2 </w:t>
            </w:r>
            <w:r>
              <w:rPr>
                <w:rFonts w:eastAsia="Calibri" w:cs="Calibri"/>
                <w:b/>
                <w:lang w:eastAsia="en-US"/>
              </w:rPr>
              <w:t xml:space="preserve">27</w:t>
            </w:r>
            <w:r>
              <w:rPr>
                <w:rFonts w:eastAsia="Calibri" w:cs="Calibri"/>
                <w:b/>
                <w:lang w:eastAsia="en-US"/>
              </w:rPr>
              <w:t xml:space="preserve">4,0  тыс. рублей,</w:t>
            </w:r>
            <w:r>
              <w:rPr>
                <w:rFonts w:eastAsia="Calibri" w:cs="Calibri"/>
                <w:b/>
                <w:lang w:eastAsia="en-US"/>
              </w:rPr>
            </w:r>
            <w:r>
              <w:rPr>
                <w:rFonts w:eastAsia="Calibri" w:cs="Calibri"/>
                <w:b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 в том числе: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ФБ: 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ОБ: 700,0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700,0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МБ: 1</w:t>
            </w:r>
            <w:r>
              <w:rPr>
                <w:rFonts w:eastAsia="Calibri" w:cs="Calibri"/>
                <w:lang w:eastAsia="en-US"/>
              </w:rPr>
              <w:t xml:space="preserve">57</w:t>
            </w:r>
            <w:r>
              <w:rPr>
                <w:rFonts w:eastAsia="Calibri" w:cs="Calibri"/>
                <w:lang w:eastAsia="en-US"/>
              </w:rPr>
              <w:t xml:space="preserve">4,0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7</w:t>
            </w:r>
            <w:r>
              <w:rPr>
                <w:rFonts w:eastAsia="Calibri" w:cs="Calibri"/>
                <w:lang w:eastAsia="en-US"/>
              </w:rPr>
              <w:t xml:space="preserve">0</w:t>
            </w:r>
            <w:r>
              <w:rPr>
                <w:rFonts w:eastAsia="Calibri" w:cs="Calibri"/>
                <w:lang w:eastAsia="en-US"/>
              </w:rPr>
              <w:t xml:space="preserve">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437,0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437,0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ВБС: 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0,0 тыс. рублей.»;</w:t>
            </w:r>
            <w:r/>
          </w:p>
        </w:tc>
      </w:tr>
    </w:tbl>
    <w:p>
      <w:pPr>
        <w:ind w:firstLine="709"/>
        <w:jc w:val="both"/>
        <w:tabs>
          <w:tab w:val="left" w:pos="1276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ind w:right="0" w:firstLine="709"/>
        <w:jc w:val="both"/>
        <w:widowControl w:val="off"/>
        <w:tabs>
          <w:tab w:val="left" w:pos="709" w:leader="none"/>
          <w:tab w:val="left" w:pos="851" w:leader="none"/>
        </w:tabs>
        <w:suppressLineNumbers w:val="0"/>
      </w:pPr>
      <w:r>
        <w:t xml:space="preserve">- строку «Ожидаемые конечные результаты реализации подпрограммы» паспорта Подпрограммы 2 изложить в следующей редакции:</w:t>
      </w:r>
      <w:r/>
    </w:p>
    <w:tbl>
      <w:tblPr>
        <w:tblW w:w="936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420"/>
        <w:gridCol w:w="6945"/>
      </w:tblGrid>
      <w:tr>
        <w:tblPrEx/>
        <w:trPr>
          <w:jc w:val="center"/>
          <w:trHeight w:val="18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0" w:type="dxa"/>
            <w:textDirection w:val="lrTb"/>
            <w:noWrap w:val="false"/>
          </w:tcPr>
          <w:p>
            <w:pPr>
              <w:ind w:firstLine="1"/>
            </w:pPr>
            <w:r>
              <w:t xml:space="preserve">«Ожидаемые конечные результаты реализации подпрограммы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45" w:type="dxa"/>
            <w:textDirection w:val="lrTb"/>
            <w:noWrap w:val="false"/>
          </w:tcPr>
          <w:p>
            <w:pPr>
              <w:pStyle w:val="864"/>
              <w:ind w:left="34"/>
              <w:jc w:val="both"/>
              <w:tabs>
                <w:tab w:val="left" w:pos="317" w:leader="none"/>
              </w:tabs>
            </w:pPr>
            <w:r>
              <w:t xml:space="preserve">- увеличение количества функционирующих КСР к 2027 году до 17 единиц;</w:t>
            </w:r>
            <w:r/>
          </w:p>
          <w:p>
            <w:pPr>
              <w:pStyle w:val="864"/>
              <w:ind w:left="34"/>
              <w:jc w:val="both"/>
              <w:tabs>
                <w:tab w:val="left" w:pos="317" w:leader="none"/>
              </w:tabs>
            </w:pPr>
            <w:r>
              <w:t xml:space="preserve">- рост туристического потока (количество лиц, размещенных в КСР) в Печенгском муниципальном округе ежегодно на 5% к уровню предыдущего года.»;</w:t>
            </w:r>
            <w:r/>
          </w:p>
        </w:tc>
      </w:tr>
    </w:tbl>
    <w:p>
      <w:pPr>
        <w:ind w:firstLine="709"/>
        <w:jc w:val="both"/>
        <w:tabs>
          <w:tab w:val="left" w:pos="1276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ind w:firstLine="709"/>
        <w:jc w:val="both"/>
        <w:tabs>
          <w:tab w:val="left" w:pos="1276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- строки 2.1.6</w:t>
      </w:r>
      <w:r>
        <w:t xml:space="preserve">, «Итого по основному мероприятию 1» и «Всего по подпрограмме 2» таблицы 1 «Перечень мероприятий подпрограммы с объёмом финансирования» к Подпрограмме 2 изложить в следующей редакции:</w:t>
      </w:r>
      <w:r/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5"/>
        <w:gridCol w:w="1980"/>
        <w:gridCol w:w="850"/>
        <w:gridCol w:w="994"/>
        <w:gridCol w:w="990"/>
        <w:gridCol w:w="852"/>
        <w:gridCol w:w="850"/>
        <w:gridCol w:w="852"/>
        <w:gridCol w:w="1136"/>
      </w:tblGrid>
      <w:tr>
        <w:tblPrEx/>
        <w:trPr>
          <w:trHeight w:val="188"/>
        </w:trPr>
        <w:tc>
          <w:tcPr>
            <w:shd w:val="clear" w:color="auto" w:fill="auto"/>
            <w:tcW w:w="45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«2.1.6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5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Проведение конкурса цифрового контента (фото, видео) в целях продвижения туристического потенциала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Консультатнт по приграничному сотрудничеству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58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58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120,0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60</w:t>
            </w:r>
            <w:r>
              <w:rPr>
                <w:sz w:val="20"/>
                <w:szCs w:val="20"/>
              </w:rPr>
              <w:t xml:space="preserve">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60</w:t>
            </w:r>
            <w:r>
              <w:rPr>
                <w:sz w:val="20"/>
                <w:szCs w:val="20"/>
              </w:rPr>
              <w:t xml:space="preserve">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58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58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120,0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60,0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60,0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969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 по основному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мероприятию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</w:t>
            </w:r>
            <w:r>
              <w:rPr>
                <w:b/>
                <w:sz w:val="20"/>
                <w:szCs w:val="20"/>
              </w:rPr>
              <w:t xml:space="preserve">57</w:t>
            </w:r>
            <w:r>
              <w:rPr>
                <w:b/>
                <w:sz w:val="20"/>
                <w:szCs w:val="20"/>
              </w:rPr>
              <w:t xml:space="preserve">4,0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</w:t>
            </w: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</w:t>
            </w:r>
            <w:r>
              <w:rPr>
                <w:b/>
                <w:sz w:val="20"/>
                <w:szCs w:val="20"/>
              </w:rPr>
              <w:t xml:space="preserve">27</w:t>
            </w:r>
            <w:r>
              <w:rPr>
                <w:b/>
                <w:sz w:val="20"/>
                <w:szCs w:val="20"/>
              </w:rPr>
              <w:t xml:space="preserve">4,0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</w:t>
            </w:r>
            <w:r>
              <w:rPr>
                <w:b/>
                <w:sz w:val="20"/>
                <w:szCs w:val="20"/>
              </w:rPr>
              <w:t xml:space="preserve">40</w:t>
            </w: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969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Всего по подпрограмме 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</w:t>
            </w:r>
            <w:r>
              <w:rPr>
                <w:b/>
                <w:sz w:val="20"/>
                <w:szCs w:val="20"/>
              </w:rPr>
              <w:t xml:space="preserve">57</w:t>
            </w:r>
            <w:r>
              <w:rPr>
                <w:b/>
                <w:sz w:val="20"/>
                <w:szCs w:val="20"/>
              </w:rPr>
              <w:t xml:space="preserve">4,0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</w:t>
            </w: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</w:t>
            </w:r>
            <w:r>
              <w:rPr>
                <w:b/>
                <w:sz w:val="20"/>
                <w:szCs w:val="20"/>
              </w:rPr>
              <w:t xml:space="preserve">27</w:t>
            </w:r>
            <w:r>
              <w:rPr>
                <w:b/>
                <w:sz w:val="20"/>
                <w:szCs w:val="20"/>
              </w:rPr>
              <w:t xml:space="preserve">4,0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14</w:t>
            </w: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jc w:val="both"/>
        <w:tabs>
          <w:tab w:val="left" w:pos="0" w:leader="none"/>
          <w:tab w:val="left" w:pos="993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</w:t>
      </w:r>
      <w:r>
        <w:rPr>
          <w:rFonts w:eastAsia="Calibri"/>
          <w:lang w:eastAsia="en-US"/>
        </w:rPr>
        <w:t xml:space="preserve"> с</w:t>
      </w:r>
      <w:r>
        <w:rPr>
          <w:rFonts w:eastAsia="Calibri"/>
          <w:lang w:eastAsia="en-US"/>
        </w:rPr>
        <w:t xml:space="preserve">троку</w:t>
      </w:r>
      <w:r>
        <w:rPr>
          <w:rFonts w:eastAsia="Calibri"/>
          <w:lang w:eastAsia="en-US"/>
        </w:rPr>
        <w:t xml:space="preserve"> 2.1.6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таблицы 2 «Перечень мероприятий подпрограммы с показателями результативности выполнения мероприятий» к Подпрограмме </w:t>
      </w:r>
      <w:r>
        <w:rPr>
          <w:rFonts w:eastAsia="Calibri"/>
          <w:lang w:eastAsia="en-US"/>
        </w:rPr>
        <w:t xml:space="preserve">2</w:t>
      </w:r>
      <w:r>
        <w:rPr>
          <w:rFonts w:eastAsia="Calibri"/>
          <w:lang w:eastAsia="en-US"/>
        </w:rPr>
        <w:t xml:space="preserve"> изложить в следующей редакции: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tbl>
      <w:tblPr>
        <w:tblStyle w:val="916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1418"/>
        <w:gridCol w:w="708"/>
        <w:gridCol w:w="709"/>
        <w:gridCol w:w="851"/>
        <w:gridCol w:w="850"/>
        <w:gridCol w:w="1276"/>
      </w:tblGrid>
      <w:tr>
        <w:tblPrEx/>
        <w:trPr>
          <w:trHeight w:val="273"/>
        </w:trPr>
        <w:tc>
          <w:tcPr>
            <w:tcBorders>
              <w:bottom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«2.1.6.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Проведение конкурса цифрового контента (фото, </w:t>
            </w:r>
            <w:r>
              <w:rPr>
                <w:sz w:val="20"/>
                <w:szCs w:val="20"/>
              </w:rPr>
              <w:t xml:space="preserve">видео) в целях продвижения туристического потенциала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2026-2027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 конкурсов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tabs>
                <w:tab w:val="left" w:pos="993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Шт.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Консультант</w:t>
            </w:r>
            <w:r>
              <w:rPr>
                <w:sz w:val="18"/>
                <w:szCs w:val="18"/>
              </w:rPr>
              <w:t xml:space="preserve"> по пригранично</w:t>
            </w:r>
            <w:r>
              <w:rPr>
                <w:sz w:val="18"/>
                <w:szCs w:val="18"/>
              </w:rPr>
              <w:t xml:space="preserve">му сотрудничеству»;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     </w:t>
      </w:r>
      <w:r/>
    </w:p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>
        <w:t xml:space="preserve">- строку «Ожидаемые конечные результаты реализации подпрограммы» паспорта Подпрограммы 3 «Взаимодействие с СО НКО» изложить в следующей редакции:</w:t>
      </w:r>
      <w:r/>
    </w:p>
    <w:tbl>
      <w:tblPr>
        <w:tblW w:w="936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420"/>
        <w:gridCol w:w="6945"/>
      </w:tblGrid>
      <w:tr>
        <w:tblPrEx/>
        <w:trPr>
          <w:jc w:val="center"/>
          <w:trHeight w:val="18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0" w:type="dxa"/>
            <w:textDirection w:val="lrTb"/>
            <w:noWrap w:val="false"/>
          </w:tcPr>
          <w:p>
            <w:pPr>
              <w:ind w:firstLine="1"/>
            </w:pPr>
            <w:r>
              <w:t xml:space="preserve">«Ожидаемые конечные результаты реализации подпрограммы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45" w:type="dxa"/>
            <w:textDirection w:val="lrTb"/>
            <w:noWrap w:val="false"/>
          </w:tcPr>
          <w:p>
            <w:pPr>
              <w:pStyle w:val="864"/>
              <w:ind w:left="34"/>
              <w:jc w:val="both"/>
              <w:tabs>
                <w:tab w:val="left" w:pos="317" w:leader="none"/>
              </w:tabs>
            </w:pPr>
            <w:r>
              <w:t xml:space="preserve">«- увеличение количества СО НКО, осуществляющих деятельность на территории Печенгского муниципального округа, к 2027 году до 28 единиц.».</w:t>
            </w:r>
            <w:r/>
          </w:p>
        </w:tc>
      </w:tr>
    </w:tbl>
    <w:p>
      <w:pPr>
        <w:contextualSpacing/>
        <w:ind w:left="0" w:right="0" w:firstLine="709"/>
        <w:jc w:val="both"/>
        <w:widowControl w:val="off"/>
        <w:pBdr>
          <w:top w:val="none" w:color="000000" w:sz="4" w:space="10"/>
        </w:pBdr>
      </w:pPr>
      <w:r>
        <w:t xml:space="preserve">2. Настоящее постановление вступает в силу после его подписания.</w:t>
      </w:r>
      <w:r/>
    </w:p>
    <w:p>
      <w:pPr>
        <w:contextualSpacing/>
        <w:ind w:left="0" w:right="0" w:firstLine="709"/>
        <w:jc w:val="both"/>
        <w:widowControl w:val="off"/>
        <w:pBdr>
          <w:top w:val="none" w:color="000000" w:sz="4" w:space="10"/>
        </w:pBdr>
      </w:pPr>
      <w: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/>
    </w:p>
    <w:p>
      <w:pPr>
        <w:contextualSpacing/>
        <w:ind w:left="0" w:right="0" w:firstLine="709"/>
        <w:pBdr>
          <w:top w:val="none" w:color="000000" w:sz="4" w:space="3"/>
        </w:pBdr>
      </w:pPr>
      <w:r/>
      <w:r/>
    </w:p>
    <w:p>
      <w:pPr>
        <w:contextualSpacing/>
        <w:ind w:left="0" w:right="0" w:firstLine="709"/>
        <w:pBdr>
          <w:top w:val="none" w:color="000000" w:sz="4" w:space="5"/>
        </w:pBdr>
      </w:pPr>
      <w:r/>
      <w:r/>
    </w:p>
    <w:p>
      <w:pPr>
        <w:contextualSpacing/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t xml:space="preserve">Глава Печенгского муниципального округа </w:t>
      </w:r>
      <w:r>
        <w:tab/>
      </w:r>
      <w:r>
        <w:tab/>
      </w:r>
      <w:r>
        <w:tab/>
        <w:t xml:space="preserve">                        А.В. Кузнецов</w:t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color w:val="000000" w:themeColor="text1"/>
          <w:sz w:val="20"/>
          <w:szCs w:val="20"/>
        </w:rPr>
        <w:pBdr>
          <w:top w:val="none" w:color="000000" w:sz="4" w:space="5"/>
        </w:pBdr>
      </w:pPr>
      <w:r>
        <w:rPr>
          <w:bCs/>
          <w:color w:val="000000" w:themeColor="text1"/>
          <w:sz w:val="20"/>
          <w:szCs w:val="20"/>
        </w:rPr>
        <w:t xml:space="preserve">Чупина Н.В., 62041</w:t>
      </w:r>
      <w:r>
        <w:rPr>
          <w:bCs/>
          <w:color w:val="000000" w:themeColor="text1"/>
          <w:sz w:val="20"/>
          <w:szCs w:val="20"/>
        </w:rPr>
        <w:br w:type="page" w:clear="all"/>
      </w:r>
      <w:r>
        <w:rPr>
          <w:color w:val="000000" w:themeColor="text1"/>
          <w:sz w:val="20"/>
          <w:szCs w:val="20"/>
        </w:rPr>
      </w:r>
      <w:r>
        <w:rPr>
          <w:color w:val="000000" w:themeColor="text1"/>
          <w:sz w:val="20"/>
          <w:szCs w:val="20"/>
        </w:rPr>
      </w:r>
    </w:p>
    <w:p>
      <w:pPr>
        <w:ind w:left="5522"/>
      </w:pPr>
      <w:r>
        <w:t xml:space="preserve">Приложение</w:t>
      </w:r>
      <w:r/>
    </w:p>
    <w:p>
      <w:pPr>
        <w:ind w:left="5522"/>
      </w:pPr>
      <w:r>
        <w:t xml:space="preserve">к постановлению администрации</w:t>
      </w:r>
      <w:r/>
    </w:p>
    <w:p>
      <w:pPr>
        <w:ind w:left="5522"/>
      </w:pPr>
      <w:r>
        <w:t xml:space="preserve">Печенгского муниципального округа</w:t>
      </w:r>
      <w:r/>
    </w:p>
    <w:p>
      <w:pPr>
        <w:ind w:left="5522"/>
      </w:pPr>
      <w:r>
        <w:t xml:space="preserve">от 02.12.2025 № 2007</w:t>
      </w:r>
      <w:r/>
    </w:p>
    <w:p>
      <w:r/>
      <w:r/>
    </w:p>
    <w:p>
      <w:r>
        <w:t xml:space="preserve">                                                                                            «Приложение к подпрограмме 1</w:t>
      </w:r>
      <w:r/>
    </w:p>
    <w:p>
      <w:r/>
      <w:r/>
    </w:p>
    <w:p>
      <w:r/>
      <w:r/>
    </w:p>
    <w:p>
      <w:pPr>
        <w:jc w:val="center"/>
        <w:widowControl w:val="off"/>
        <w:rPr>
          <w:b/>
        </w:rPr>
      </w:pPr>
      <w:r>
        <w:rPr>
          <w:b/>
        </w:rPr>
        <w:t xml:space="preserve">ПЕРЕЧЕНЬ 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</w:pPr>
      <w:r>
        <w:t xml:space="preserve">муниципального имущества Печенгского муниципального округа,</w:t>
      </w:r>
      <w:r/>
    </w:p>
    <w:p>
      <w:pPr>
        <w:jc w:val="center"/>
        <w:widowControl w:val="off"/>
      </w:pPr>
      <w:r>
        <w:t xml:space="preserve">предназначенного для передачи во владение и (или) пользование СМСП</w:t>
      </w:r>
      <w:r/>
    </w:p>
    <w:p>
      <w:pPr>
        <w:jc w:val="right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tbl>
      <w:tblPr>
        <w:tblW w:w="976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2"/>
        <w:gridCol w:w="1403"/>
        <w:gridCol w:w="1843"/>
        <w:gridCol w:w="1417"/>
        <w:gridCol w:w="1134"/>
        <w:gridCol w:w="992"/>
        <w:gridCol w:w="836"/>
        <w:gridCol w:w="708"/>
        <w:gridCol w:w="851"/>
      </w:tblGrid>
      <w:tr>
        <w:tblPrEx/>
        <w:trPr>
          <w:trHeight w:val="111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8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№№ п/п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0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Номер в реестре имущества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Адрес (местоположение) объекта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и номер помещения, расположенного в здании или сооружении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объекта недвижимости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Основная характеристика объекта недвижимости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Право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обладатель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2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01.000010851110851000003042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  <w:br/>
              <w:t xml:space="preserve">МО г.п. Никель Печенгского района, </w:t>
              <w:br/>
              <w:t xml:space="preserve">п.г.т. Никель, </w:t>
              <w:br/>
              <w:t xml:space="preserve">ул. Бредова, д. 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Iа/1, 2, 2а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  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94,90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9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01.0001108510000000102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  <w:br/>
              <w:t xml:space="preserve">МО г.п. Никель Печенгского района, </w:t>
              <w:br/>
              <w:t xml:space="preserve">п.г.т. Никель, </w:t>
              <w:br/>
              <w:t xml:space="preserve">ул. Бредова, д. 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часть 1-го этажа № II/ч. 1, ч. 2, 2а, 13, 14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  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40,05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72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01.0001108510000000102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  <w:br/>
              <w:t xml:space="preserve">МО г.п. Никель Печенгского района, </w:t>
              <w:br/>
              <w:t xml:space="preserve">п.г.т. Никель, </w:t>
              <w:br/>
              <w:t xml:space="preserve">ул. Бредова, д. 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часть 1-го этажа </w:t>
            </w:r>
            <w:r>
              <w:rPr>
                <w:color w:val="000000"/>
                <w:sz w:val="20"/>
                <w:szCs w:val="20"/>
              </w:rPr>
              <w:br/>
              <w:t xml:space="preserve">№ IIIа/1, 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60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01.0001108510000000102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  <w:br/>
              <w:t xml:space="preserve">МО г.п. Никель Печенгского района, </w:t>
              <w:br/>
              <w:t xml:space="preserve">п.г.т. Никель, </w:t>
              <w:br/>
              <w:t xml:space="preserve">ул. Бредова, д. 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этаж № II/ч. 1, ч.2, 3 - 12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118,50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63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01.0001108510000000102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  <w:br/>
              <w:t xml:space="preserve">МО г.п. Никель Печенгского района, </w:t>
              <w:br/>
              <w:t xml:space="preserve">п.г.т. Никель, </w:t>
              <w:br/>
              <w:t xml:space="preserve">ул. Бредова, д. 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первый этаж № IIIа/2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64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01.000010851НЗ0021010600621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  <w:br/>
              <w:t xml:space="preserve">МО г.п. Никель Печенгского района, </w:t>
              <w:br/>
              <w:t xml:space="preserve">п.г.т. Никель, </w:t>
              <w:br/>
              <w:t xml:space="preserve">ул. Бредова, д. 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первый этаж, № I/1, 1а-5, </w:t>
            </w:r>
            <w:r>
              <w:rPr>
                <w:color w:val="000000"/>
                <w:sz w:val="20"/>
                <w:szCs w:val="20"/>
              </w:rPr>
              <w:br/>
              <w:t xml:space="preserve">8 - 10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114,50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01.0001108510000000235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  <w:br/>
              <w:t xml:space="preserve">МО г.п. Никель Печенгского района, </w:t>
              <w:br/>
              <w:t xml:space="preserve">п.г.т. Никель, </w:t>
              <w:br/>
              <w:t xml:space="preserve">ул. Бредова, д. 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подвал, цоколь № II/8,15, ч.1(0,9), 2(2,92), 6(0,62), 7(0,62)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46,46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01.0001108510000000226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  <w:br/>
              <w:t xml:space="preserve">МО г.п. Никель Печенгского района, </w:t>
              <w:br/>
              <w:t xml:space="preserve">п.г.т. Никель, </w:t>
              <w:br/>
              <w:t xml:space="preserve">ул. Бредова, д. 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подвал, цоколь, № I/ч.1, ч2, ч.7, ч.8, ч.9, 3 - 6, 10, 12,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150,70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6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01.0001108510000000227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  <w:br/>
              <w:t xml:space="preserve">МО г.п. Никель Печенгского района, </w:t>
              <w:br/>
              <w:t xml:space="preserve">п.г.т. Никель, </w:t>
              <w:br/>
              <w:t xml:space="preserve">ул. Бредова, д. 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</w:t>
            </w:r>
            <w:r>
              <w:rPr>
                <w:color w:val="000000"/>
                <w:sz w:val="20"/>
                <w:szCs w:val="20"/>
              </w:rPr>
              <w:br/>
              <w:t xml:space="preserve">№ II/ч.1, ч.2, ч.6, ч.7, ч.10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4,14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01.0001108510000000229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  <w:br/>
              <w:t xml:space="preserve">МО г.п. Никель Печенгского района, </w:t>
              <w:br/>
              <w:t xml:space="preserve">п.г.т. Никель, </w:t>
              <w:br/>
              <w:t xml:space="preserve">ул. Бредова, д. 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II/4, 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01.0001108510000000234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  <w:br/>
              <w:t xml:space="preserve">МО г.п. Никель Печенгского района, </w:t>
              <w:br/>
              <w:t xml:space="preserve">п.г.т. Никель, </w:t>
              <w:br/>
              <w:t xml:space="preserve">ул. Бредова, д.9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II/14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01.000010851110851000003044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  <w:br/>
              <w:t xml:space="preserve">МО г.п. Никель Печенгского района, </w:t>
              <w:br/>
              <w:t xml:space="preserve">п.г.т. Никель, </w:t>
              <w:br/>
              <w:t xml:space="preserve">ул. Бредова, д. 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второй, № (19) 1 - 20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89,30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01.000010851110851000003003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  <w:br/>
              <w:t xml:space="preserve">МО г.п. Никель Печенгского района, </w:t>
              <w:br/>
              <w:t xml:space="preserve">п.г.т. Никель, </w:t>
              <w:br/>
              <w:t xml:space="preserve">ул. Бредова, д. 18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подвал, </w:t>
            </w:r>
            <w:r>
              <w:rPr>
                <w:color w:val="000000"/>
                <w:sz w:val="20"/>
                <w:szCs w:val="20"/>
              </w:rPr>
              <w:br/>
              <w:t xml:space="preserve">№ II/1 - 3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57,40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1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01.000010851110851000003003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  <w:br/>
              <w:t xml:space="preserve">МО г.п. Никель Печенгского района, </w:t>
              <w:br/>
              <w:t xml:space="preserve">п.г.т. Никель, 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ул. Бредова, д. 18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подвал, </w:t>
            </w:r>
            <w:r>
              <w:rPr>
                <w:color w:val="000000"/>
                <w:sz w:val="20"/>
                <w:szCs w:val="20"/>
              </w:rPr>
              <w:br/>
              <w:t xml:space="preserve">№ II/4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1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01.000010851110851000003003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  <w:br/>
              <w:t xml:space="preserve">МО г.п. Никель Печенгского района, </w:t>
              <w:br/>
              <w:t xml:space="preserve">п.г.т. Никель, </w:t>
              <w:br/>
              <w:t xml:space="preserve">ул. Бредова, д. 18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подвал, </w:t>
            </w:r>
            <w:r>
              <w:rPr>
                <w:color w:val="000000"/>
                <w:sz w:val="20"/>
                <w:szCs w:val="20"/>
              </w:rPr>
              <w:br/>
              <w:t xml:space="preserve">№ II/5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1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01.000010851110851000003003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  <w:br/>
              <w:t xml:space="preserve">МО г.п. Никель Печенгского района, </w:t>
              <w:br/>
              <w:t xml:space="preserve">п.г.т. Никель, </w:t>
              <w:br/>
              <w:t xml:space="preserve">ул. Бредова, д. 18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подвал, </w:t>
            </w:r>
            <w:r>
              <w:rPr>
                <w:color w:val="000000"/>
                <w:sz w:val="20"/>
                <w:szCs w:val="20"/>
              </w:rPr>
              <w:br/>
              <w:t xml:space="preserve">№ II/6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9,40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1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01.000010851110851000003003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  <w:br/>
              <w:t xml:space="preserve">МО г.п. Никель Печенгского района, </w:t>
              <w:br/>
              <w:t xml:space="preserve">п.г.т. Никель, </w:t>
              <w:br/>
              <w:t xml:space="preserve">ул. Бредова, д. 18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подвал, </w:t>
            </w:r>
            <w:r>
              <w:rPr>
                <w:color w:val="000000"/>
                <w:sz w:val="20"/>
                <w:szCs w:val="20"/>
              </w:rPr>
              <w:br/>
              <w:t xml:space="preserve">№ II/7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1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01.000010851110851000003003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  <w:br/>
              <w:t xml:space="preserve">МО г.п. Никель Печенгского района, </w:t>
              <w:br/>
              <w:t xml:space="preserve">п.г.т. Никель, </w:t>
              <w:br/>
              <w:t xml:space="preserve">ул. Бредова, д. 18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подвал, </w:t>
            </w:r>
            <w:r>
              <w:rPr>
                <w:color w:val="000000"/>
                <w:sz w:val="20"/>
                <w:szCs w:val="20"/>
              </w:rPr>
              <w:br/>
              <w:t xml:space="preserve">№ II/8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47,80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1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01.000010851000020010106272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проспект Гвардейский, д. 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четвертый, </w:t>
            </w:r>
            <w:r>
              <w:rPr>
                <w:color w:val="000000"/>
                <w:sz w:val="20"/>
                <w:szCs w:val="20"/>
              </w:rPr>
              <w:br/>
              <w:t xml:space="preserve"> № 3а/1 - 34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257,80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09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01.000010851НЗ0010010110138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проспект Гвардейский, д. 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01.000010851НЗ0010010110138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проспект Гвардейский, д. 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II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01.000010851НЗ0010010110138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проспект Гвардейский, д. 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IV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1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23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01.000010851110851000003055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проспект Гвардейский, д. 15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II/12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73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24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01.000010851110851000003053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проспект Гвардейский, </w:t>
              <w:br/>
              <w:t xml:space="preserve">д. </w:t>
            </w:r>
            <w:r>
              <w:rPr>
                <w:color w:val="000000"/>
                <w:sz w:val="20"/>
                <w:szCs w:val="20"/>
              </w:rPr>
              <w:t xml:space="preserve">19а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(21) 1 - 6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25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01.000010851110851000003050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проспект Гвардейский, </w:t>
              <w:br/>
              <w:t xml:space="preserve">д. 19а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II/1 - 8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42,70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2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26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01.000010851100851000003052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проспект Гвардейский, </w:t>
              <w:br/>
              <w:t xml:space="preserve">д. 19а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IV/1 - 6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2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27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01.000010851110851000003051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проспект Гвардейский, </w:t>
              <w:br/>
              <w:t xml:space="preserve">д. 19а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III/1 - 5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45,10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1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28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01.000010851110851000003049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проспект Гвардейский, </w:t>
              <w:br/>
              <w:t xml:space="preserve">д. 19а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I/1 - 6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69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29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01.000010851110851000003054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проспект Гвардейский, д. 24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II/1 - 14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139,30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2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30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01.0001108510000001496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проспект Гвардейский, д. 27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цоколь, </w:t>
            </w:r>
            <w:r>
              <w:rPr>
                <w:color w:val="000000"/>
                <w:sz w:val="20"/>
                <w:szCs w:val="20"/>
              </w:rPr>
              <w:br/>
              <w:t xml:space="preserve">№ V/1-11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172,50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31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01.000010851НП1085100000009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проспект Гвардейский, д. 27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цоколь, № III/19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37,90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32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01.000010851НП1085100000009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проспект Гвардейский, д. 27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цоколь, № III/1 - 10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182,70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09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33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01.0001108510000000230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проспект Гвардейский, </w:t>
              <w:br/>
              <w:t xml:space="preserve">д. 28а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цоколь, № II/1 - 9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113,30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34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01.000010851110851000002980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проспект Гвардейский, д. 33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VII/1 - 5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80,40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08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35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01.000010851110851000002971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проспект Гвардейский, д. 37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II/1 - 4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27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36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01.000010851НЗ0010010110136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проспект Гвардейский, д. 39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4а/1 - 10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160,60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4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37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01.000010851НЗ0010010110228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улица Победы, </w:t>
              <w:br/>
              <w:t xml:space="preserve">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20,00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38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01.000010851НЗ0010010110228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улица Победы, </w:t>
              <w:br/>
              <w:t xml:space="preserve">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6,90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39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01.000010851НЗ0010010110228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улица Победы, </w:t>
              <w:br/>
              <w:t xml:space="preserve">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24,20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40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01.000010851НЗ0010010110228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улица Победы, </w:t>
              <w:br/>
              <w:t xml:space="preserve">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2,30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41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01.000010851НЗ0010010110228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улица Победы, </w:t>
              <w:br/>
              <w:t xml:space="preserve">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10,30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42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01.000010851НЗ0010010110228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улица Победы, </w:t>
              <w:br/>
              <w:t xml:space="preserve">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13,50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43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01.000010851НЗ0010010110228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улица Победы, </w:t>
              <w:br/>
              <w:t xml:space="preserve">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44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01.000010851НЗ0010010110228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</w:t>
            </w:r>
            <w:r>
              <w:rPr>
                <w:color w:val="000000"/>
                <w:sz w:val="20"/>
                <w:szCs w:val="20"/>
              </w:rPr>
              <w:t xml:space="preserve">п.г.т. Никель, улица Победы, </w:t>
              <w:br/>
              <w:t xml:space="preserve">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45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01.000010851НЗ0010010110228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улица Победы, </w:t>
              <w:br/>
              <w:t xml:space="preserve">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1,40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01.000010851110851000003004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улица Победы, </w:t>
              <w:br/>
              <w:t xml:space="preserve">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I/20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34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01.000010851110851000003004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улица Победы, </w:t>
              <w:br/>
              <w:t xml:space="preserve">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I/25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34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01.000010851110851000003004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улица Победы, </w:t>
              <w:br/>
              <w:t xml:space="preserve">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I/27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3,10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34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01.000010851110851000003004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улица Победы, </w:t>
              <w:br/>
              <w:t xml:space="preserve">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I/28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34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01.000010851110851000002998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улица Победы, </w:t>
              <w:br/>
              <w:t xml:space="preserve">д.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II/1 - 4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187,80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01.000010851110851000003001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улица Победы, </w:t>
              <w:br/>
              <w:t xml:space="preserve">д. 16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II/13 - 15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73,40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09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01.000010851НЗ0010010110162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улица Октябрьская, д. 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первый, № II/1 - 5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01.000010851110851000002986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улица Спортивная, д. 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этаж цоколь, № (24) 1 - 7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01.000010851НЗ002010600203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улица Советская, д. 22а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здание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341,50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01.000010851НЗ0010010110227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 Раякоски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148,70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35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0512085.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н.п. Лиинахамари, улица Северная, </w:t>
              <w:br/>
              <w:t xml:space="preserve">д. 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53,10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09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Юбилейная, </w:t>
              <w:br/>
              <w:t xml:space="preserve">д. 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47,60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Юбилейная, </w:t>
              <w:br/>
              <w:t xml:space="preserve">д.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I/1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Юбилейная, </w:t>
              <w:br/>
              <w:t xml:space="preserve">д.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I/2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27,90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Юбилейная, </w:t>
              <w:br/>
              <w:t xml:space="preserve">д.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I/3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Юбилейная, </w:t>
              <w:br/>
              <w:t xml:space="preserve">д.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III/1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Юбилейная, </w:t>
              <w:br/>
              <w:t xml:space="preserve">д.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III/2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Юбилейная, </w:t>
              <w:br/>
              <w:t xml:space="preserve">д.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III/3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Юбилейная, </w:t>
              <w:br/>
              <w:t xml:space="preserve">д.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III/4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Юбилейная, </w:t>
              <w:br/>
              <w:t xml:space="preserve">д.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III/5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Юбилейная, </w:t>
              <w:br/>
              <w:t xml:space="preserve">д.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IV/1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ул. Юбилейная, </w:t>
              <w:br/>
              <w:t xml:space="preserve">д. 18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III/1 - 35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487,90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2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Бабикова, д. 11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II/1 - 4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2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Бабикова, </w:t>
              <w:br/>
              <w:t xml:space="preserve">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I/8, 8а (57,9),</w:t>
            </w:r>
            <w:r>
              <w:rPr>
                <w:color w:val="000000"/>
                <w:sz w:val="20"/>
                <w:szCs w:val="20"/>
              </w:rPr>
              <w:br/>
              <w:t xml:space="preserve"> ч. I/1, 2, 4 (10,4)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68,30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Бабикова, </w:t>
              <w:br/>
              <w:t xml:space="preserve">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9, 9а, </w:t>
            </w:r>
            <w:r>
              <w:rPr>
                <w:color w:val="000000"/>
                <w:sz w:val="20"/>
                <w:szCs w:val="20"/>
              </w:rPr>
              <w:br/>
              <w:t xml:space="preserve">ч. 1, 2, 4 (I)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Бабикова, </w:t>
              <w:br/>
              <w:t xml:space="preserve">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ч. V/1 (3)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Бабикова, </w:t>
              <w:br/>
              <w:t xml:space="preserve">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V/2 (2,6), ч. V/1 (1)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7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Бабикова, </w:t>
              <w:br/>
              <w:t xml:space="preserve">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V/27, 27а, ч.V/26 (3,7)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4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Бабикова, </w:t>
              <w:br/>
              <w:t xml:space="preserve">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V/28, 29 и ч. 26, 30, 31, 32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233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Бабикова, </w:t>
              <w:br/>
              <w:t xml:space="preserve">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V/26а, 40, 41, 42, 44, 45, 46 (122,7), ч. 1(1,8), 2 (2), 26 (2), 30 (0,7), 31 (0,6), 43 (37,2)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167,00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28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Бабикова, </w:t>
              <w:br/>
              <w:t xml:space="preserve">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V/47 (8,6), ч. V/1 (0,5), V/2 (1,5), V/43 (14,4)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Бабикова, </w:t>
              <w:br/>
              <w:t xml:space="preserve">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V/4 (8,3), ч. V/2 (1,6)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9,90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Бабикова, </w:t>
              <w:br/>
              <w:t xml:space="preserve">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второй, № VI/24, 24а, 25 (51,1), ч. VI/2 (5,5)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59,60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38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Бабикова, </w:t>
              <w:br/>
              <w:t xml:space="preserve">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второй, № VI/26 (12,3), ч. VI/2 (1,8)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14,10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2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Бабикова, </w:t>
              <w:br/>
              <w:t xml:space="preserve">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второй, № VI/12 (9,7), ч. VI/11 (1,5), ч.VI/2 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Бабикова, </w:t>
              <w:br/>
              <w:t xml:space="preserve">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124,10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4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Бабикова, </w:t>
              <w:br/>
              <w:t xml:space="preserve">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второй, № VI/18, 22, 27 (66,5), ч. VI/2 (2,5)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69,00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36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Бабикова, </w:t>
              <w:br/>
              <w:t xml:space="preserve">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второй, № VI/8 (29,1), ч. VI/11 (4,3)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33,40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Бабикова, </w:t>
              <w:br/>
              <w:t xml:space="preserve">д. 14б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второй, № VI/ч. 2Б 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Бабикова, д. 20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98,70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Космонавтов, д. 14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III/1 - 6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Крупской, </w:t>
              <w:br/>
              <w:t xml:space="preserve">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73,20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Ленина, д. 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II/37 - 41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42,40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Ленина, д. 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здание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346,30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Ленина, д. 17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Ленина, д. 18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III/1 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Ленина, д. 25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II/1 - 9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108,10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Ленина, д. 33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II/1 - 11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92,20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обл., Печенгский район, г. Заполярный, </w:t>
              <w:br/>
              <w:t xml:space="preserve">ул. Ленина, д.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II/24а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68,40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27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обл., Печенгский район, г. Заполярный, </w:t>
              <w:br/>
              <w:t xml:space="preserve">ул. Ленина, д.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II/89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53,40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Ленина, д.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II/45, 86, 88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Ленина, д.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второй № V/4-23, II/11-18, 24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678,70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98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Ленина, д.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II/99, 100, этаж третий VIII/13, 14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266,50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99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Ленина, д.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I/1, 2, 4 - 12, 14 - 16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231,50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100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Ленина, д.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II/48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222,80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27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101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Ленина, д.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II/53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Мира, д. 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IV/1 - 3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55,00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Мира, д. 10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II/12 - 15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97,40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104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Мира, д. 13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54/1 - 6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105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пер. Советский, </w:t>
              <w:br/>
              <w:t xml:space="preserve">д. 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I/1 - 2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106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пер. Советский, </w:t>
              <w:br/>
              <w:t xml:space="preserve">д. 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№ II/1 - 5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151,70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15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107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Терешковой, </w:t>
              <w:br/>
              <w:t xml:space="preserve">д. 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IV/1 - 2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108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Терешковой, </w:t>
              <w:br/>
              <w:t xml:space="preserve">д. 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IV/3 - 8 (56,8), ч. 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84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109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район пропускного пункта КПП АО "Кольская ГМК"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сооружение - автостоянка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3 855,0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110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Ленинградская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земельный участок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4 250,0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27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111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Бабикова, д. 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197,50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112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Ленина, д.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II/50 - 52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109,60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113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Ленина, д.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II/67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193,70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4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114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обл., Печенгский район, г. Заполярный, </w:t>
              <w:br/>
              <w:t xml:space="preserve">ул. </w:t>
            </w:r>
            <w:r>
              <w:rPr>
                <w:color w:val="000000"/>
                <w:sz w:val="20"/>
                <w:szCs w:val="20"/>
              </w:rPr>
              <w:t xml:space="preserve">Ленина, д. 41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II/90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349,10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проспект Гвардейский, </w:t>
              <w:br/>
              <w:t xml:space="preserve">д. 24а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цоколь№ III/8, 15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144,60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42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116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проспект Гвардейский, </w:t>
              <w:br/>
              <w:t xml:space="preserve">д. 24а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цоколь № III/3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57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проспект Гвардейский, </w:t>
              <w:br/>
              <w:t xml:space="preserve">д. 24а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подвал, цоколь№ III/11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41,50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06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118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земельный участок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10 206,00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7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119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земельный участок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33 554,00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66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120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земельный участок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200 000,00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61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121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  <w:br/>
              <w:t xml:space="preserve">МО г.п. Никель Печенгского района, </w:t>
              <w:br/>
              <w:t xml:space="preserve">п.г.т. Никель, </w:t>
              <w:br/>
              <w:t xml:space="preserve">ул. Бредова, д. 12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I/19, 20, 32, 37 - 42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98,60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148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22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</w:t>
              <w:br/>
              <w:t xml:space="preserve">МО г.п. Никель Печенгского района, </w:t>
              <w:br/>
              <w:t xml:space="preserve">п.г.т. Никель, </w:t>
              <w:br/>
              <w:t xml:space="preserve">ул. Бредова, д. 12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цоколь, № I/33 - 36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39,90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23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п.г.т. Никель, проспект Гвардейский, д. 23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первый, № I/1 - 16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84,00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124</w:t>
            </w:r>
            <w:r>
              <w:rPr>
                <w:color w:val="000000"/>
                <w:sz w:val="20"/>
                <w:szCs w:val="20"/>
                <w:lang w:val="en-US"/>
              </w:rPr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Мурманская область, Печенгский район, г. Заполярный, </w:t>
              <w:br/>
              <w:t xml:space="preserve">ул. Ленина, д. 37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этаж подвал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помещение 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96,70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кв.м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КУИ</w:t>
            </w:r>
            <w:r>
              <w:rPr>
                <w:color w:val="000000"/>
                <w:sz w:val="20"/>
                <w:szCs w:val="20"/>
              </w:rPr>
              <w:t xml:space="preserve">».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bCs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</w:rPr>
      </w:r>
    </w:p>
    <w:p>
      <w:pPr>
        <w:jc w:val="center"/>
        <w:widowControl w:val="off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widowControl w:val="off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widowControl w:val="off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widowControl w:val="off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widowControl w:val="off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widowControl w:val="off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widowControl w:val="off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widowControl w:val="off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widowControl w:val="off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widowControl w:val="off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widowControl w:val="off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sectPr>
      <w:footnotePr/>
      <w:endnotePr/>
      <w:type w:val="nextPage"/>
      <w:pgSz w:w="11906" w:h="16838" w:orient="portrait"/>
      <w:pgMar w:top="993" w:right="707" w:bottom="70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ndara">
    <w:panose1 w:val="020E0502030303020204"/>
  </w:font>
  <w:font w:name="SimSun">
    <w:panose1 w:val="02010600030101010101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10"/>
      </w:pPr>
      <w:r>
        <w:separator/>
      </w:r>
      <w:r/>
    </w:p>
  </w:footnote>
  <w:footnote w:type="continuationSeparator" w:id="0">
    <w:p>
      <w:pPr>
        <w:pStyle w:val="91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212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84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6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8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0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2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4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6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8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0">
    <w:name w:val="Plain Table 1"/>
    <w:basedOn w:val="69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1">
    <w:name w:val="Plain Table 2"/>
    <w:basedOn w:val="69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2">
    <w:name w:val="Plain Table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63">
    <w:name w:val="Plain Table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4">
    <w:name w:val="Plain Table 5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65">
    <w:name w:val="Grid Table 1 Light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6">
    <w:name w:val="Grid Table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7">
    <w:name w:val="Grid Table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8">
    <w:name w:val="Grid Table 4"/>
    <w:basedOn w:val="6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69">
    <w:name w:val="Grid Table 5 Dark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70">
    <w:name w:val="Grid Table 6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71">
    <w:name w:val="Grid Table 7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2">
    <w:name w:val="List Table 1 Light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3">
    <w:name w:val="List Table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74">
    <w:name w:val="List Table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List Table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List Table 5 Dark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77">
    <w:name w:val="List Table 6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78">
    <w:name w:val="List Table 7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79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680">
    <w:name w:val="Heading 1"/>
    <w:basedOn w:val="679"/>
    <w:next w:val="679"/>
    <w:link w:val="72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681">
    <w:name w:val="Heading 2"/>
    <w:basedOn w:val="679"/>
    <w:next w:val="679"/>
    <w:link w:val="728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682">
    <w:name w:val="Heading 3"/>
    <w:basedOn w:val="679"/>
    <w:next w:val="679"/>
    <w:link w:val="729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683">
    <w:name w:val="Heading 4"/>
    <w:basedOn w:val="679"/>
    <w:next w:val="679"/>
    <w:link w:val="730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684">
    <w:name w:val="Heading 5"/>
    <w:basedOn w:val="679"/>
    <w:next w:val="679"/>
    <w:link w:val="731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685">
    <w:name w:val="Heading 6"/>
    <w:basedOn w:val="679"/>
    <w:next w:val="679"/>
    <w:link w:val="732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686">
    <w:name w:val="Heading 7"/>
    <w:basedOn w:val="679"/>
    <w:next w:val="679"/>
    <w:link w:val="733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687">
    <w:name w:val="Heading 8"/>
    <w:basedOn w:val="679"/>
    <w:next w:val="679"/>
    <w:link w:val="734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688">
    <w:name w:val="Heading 9"/>
    <w:basedOn w:val="679"/>
    <w:next w:val="679"/>
    <w:link w:val="735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689" w:default="1">
    <w:name w:val="Default Paragraph Font"/>
    <w:uiPriority w:val="1"/>
    <w:semiHidden/>
    <w:unhideWhenUsed/>
  </w:style>
  <w:style w:type="table" w:styleId="69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1" w:default="1">
    <w:name w:val="No List"/>
    <w:uiPriority w:val="99"/>
    <w:semiHidden/>
    <w:unhideWhenUsed/>
  </w:style>
  <w:style w:type="table" w:styleId="692" w:customStyle="1">
    <w:name w:val="Таблица простая 11"/>
    <w:basedOn w:val="69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 w:customStyle="1">
    <w:name w:val="Таблица простая 21"/>
    <w:basedOn w:val="69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 w:customStyle="1">
    <w:name w:val="Таблица простая 31"/>
    <w:basedOn w:val="6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 w:customStyle="1">
    <w:name w:val="Таблица простая 41"/>
    <w:basedOn w:val="6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 w:customStyle="1">
    <w:name w:val="Таблица простая 51"/>
    <w:basedOn w:val="6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 w:customStyle="1">
    <w:name w:val="Таблица-сетка 1 светлая1"/>
    <w:basedOn w:val="69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 w:customStyle="1">
    <w:name w:val="Таблица-сетка 21"/>
    <w:basedOn w:val="69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 w:customStyle="1">
    <w:name w:val="Таблица-сетка 31"/>
    <w:basedOn w:val="69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 w:customStyle="1">
    <w:name w:val="Таблица-сетка 41"/>
    <w:basedOn w:val="69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1" w:customStyle="1">
    <w:name w:val="Таблица-сетка 5 темная1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2" w:customStyle="1">
    <w:name w:val="Таблица-сетка 6 цветная1"/>
    <w:basedOn w:val="69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3" w:customStyle="1">
    <w:name w:val="Таблица-сетка 7 цветная1"/>
    <w:basedOn w:val="69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04" w:customStyle="1">
    <w:name w:val="Список-таблица 1 светлая1"/>
    <w:basedOn w:val="69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 w:customStyle="1">
    <w:name w:val="Список-таблица 21"/>
    <w:basedOn w:val="69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06" w:customStyle="1">
    <w:name w:val="Список-таблица 31"/>
    <w:basedOn w:val="69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Список-таблица 41"/>
    <w:basedOn w:val="69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Список-таблица 5 темная1"/>
    <w:basedOn w:val="69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09" w:customStyle="1">
    <w:name w:val="Список-таблица 6 цветная1"/>
    <w:basedOn w:val="69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0" w:customStyle="1">
    <w:name w:val="Список-таблица 7 цветная1"/>
    <w:basedOn w:val="69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11" w:customStyle="1">
    <w:name w:val="Heading 1 Char"/>
    <w:basedOn w:val="689"/>
    <w:uiPriority w:val="9"/>
    <w:rPr>
      <w:rFonts w:ascii="Arial" w:hAnsi="Arial" w:eastAsia="Arial" w:cs="Arial"/>
      <w:sz w:val="40"/>
      <w:szCs w:val="40"/>
    </w:rPr>
  </w:style>
  <w:style w:type="character" w:styleId="712" w:customStyle="1">
    <w:name w:val="Heading 2 Char"/>
    <w:basedOn w:val="689"/>
    <w:uiPriority w:val="9"/>
    <w:rPr>
      <w:rFonts w:ascii="Arial" w:hAnsi="Arial" w:eastAsia="Arial" w:cs="Arial"/>
      <w:sz w:val="34"/>
    </w:rPr>
  </w:style>
  <w:style w:type="character" w:styleId="713" w:customStyle="1">
    <w:name w:val="Heading 3 Char"/>
    <w:basedOn w:val="689"/>
    <w:uiPriority w:val="9"/>
    <w:rPr>
      <w:rFonts w:ascii="Arial" w:hAnsi="Arial" w:eastAsia="Arial" w:cs="Arial"/>
      <w:sz w:val="30"/>
      <w:szCs w:val="30"/>
    </w:rPr>
  </w:style>
  <w:style w:type="character" w:styleId="714" w:customStyle="1">
    <w:name w:val="Heading 4 Char"/>
    <w:basedOn w:val="689"/>
    <w:uiPriority w:val="9"/>
    <w:rPr>
      <w:rFonts w:ascii="Arial" w:hAnsi="Arial" w:eastAsia="Arial" w:cs="Arial"/>
      <w:b/>
      <w:bCs/>
      <w:sz w:val="26"/>
      <w:szCs w:val="26"/>
    </w:rPr>
  </w:style>
  <w:style w:type="character" w:styleId="715" w:customStyle="1">
    <w:name w:val="Heading 5 Char"/>
    <w:basedOn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16" w:customStyle="1">
    <w:name w:val="Heading 6 Char"/>
    <w:basedOn w:val="689"/>
    <w:uiPriority w:val="9"/>
    <w:rPr>
      <w:rFonts w:ascii="Arial" w:hAnsi="Arial" w:eastAsia="Arial" w:cs="Arial"/>
      <w:b/>
      <w:bCs/>
      <w:sz w:val="22"/>
      <w:szCs w:val="22"/>
    </w:rPr>
  </w:style>
  <w:style w:type="character" w:styleId="717" w:customStyle="1">
    <w:name w:val="Heading 7 Char"/>
    <w:basedOn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8" w:customStyle="1">
    <w:name w:val="Heading 8 Char"/>
    <w:basedOn w:val="689"/>
    <w:uiPriority w:val="9"/>
    <w:rPr>
      <w:rFonts w:ascii="Arial" w:hAnsi="Arial" w:eastAsia="Arial" w:cs="Arial"/>
      <w:i/>
      <w:iCs/>
      <w:sz w:val="22"/>
      <w:szCs w:val="22"/>
    </w:rPr>
  </w:style>
  <w:style w:type="character" w:styleId="719" w:customStyle="1">
    <w:name w:val="Heading 9 Char"/>
    <w:basedOn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720" w:customStyle="1">
    <w:name w:val="Title Char"/>
    <w:basedOn w:val="689"/>
    <w:uiPriority w:val="10"/>
    <w:rPr>
      <w:sz w:val="48"/>
      <w:szCs w:val="48"/>
    </w:rPr>
  </w:style>
  <w:style w:type="character" w:styleId="721" w:customStyle="1">
    <w:name w:val="Subtitle Char"/>
    <w:basedOn w:val="689"/>
    <w:uiPriority w:val="11"/>
    <w:rPr>
      <w:sz w:val="24"/>
      <w:szCs w:val="24"/>
    </w:rPr>
  </w:style>
  <w:style w:type="character" w:styleId="722" w:customStyle="1">
    <w:name w:val="Quote Char"/>
    <w:uiPriority w:val="29"/>
    <w:rPr>
      <w:i/>
    </w:rPr>
  </w:style>
  <w:style w:type="character" w:styleId="723" w:customStyle="1">
    <w:name w:val="Intense Quote Char"/>
    <w:uiPriority w:val="30"/>
    <w:rPr>
      <w:i/>
    </w:rPr>
  </w:style>
  <w:style w:type="character" w:styleId="724" w:customStyle="1">
    <w:name w:val="Header Char"/>
    <w:basedOn w:val="689"/>
    <w:uiPriority w:val="99"/>
  </w:style>
  <w:style w:type="character" w:styleId="725" w:customStyle="1">
    <w:name w:val="Caption Char"/>
    <w:uiPriority w:val="99"/>
  </w:style>
  <w:style w:type="character" w:styleId="726" w:customStyle="1">
    <w:name w:val="Endnote Text Char"/>
    <w:uiPriority w:val="99"/>
    <w:rPr>
      <w:sz w:val="20"/>
    </w:rPr>
  </w:style>
  <w:style w:type="character" w:styleId="727" w:customStyle="1">
    <w:name w:val="Заголовок 1 Знак"/>
    <w:basedOn w:val="689"/>
    <w:link w:val="680"/>
    <w:uiPriority w:val="9"/>
    <w:rPr>
      <w:rFonts w:ascii="Arial" w:hAnsi="Arial" w:eastAsia="Arial" w:cs="Arial"/>
      <w:sz w:val="40"/>
      <w:szCs w:val="40"/>
    </w:rPr>
  </w:style>
  <w:style w:type="character" w:styleId="728" w:customStyle="1">
    <w:name w:val="Заголовок 2 Знак"/>
    <w:basedOn w:val="689"/>
    <w:link w:val="681"/>
    <w:uiPriority w:val="9"/>
    <w:rPr>
      <w:rFonts w:ascii="Arial" w:hAnsi="Arial" w:eastAsia="Arial" w:cs="Arial"/>
      <w:sz w:val="34"/>
    </w:rPr>
  </w:style>
  <w:style w:type="character" w:styleId="729" w:customStyle="1">
    <w:name w:val="Заголовок 3 Знак"/>
    <w:basedOn w:val="689"/>
    <w:link w:val="682"/>
    <w:uiPriority w:val="9"/>
    <w:rPr>
      <w:rFonts w:ascii="Arial" w:hAnsi="Arial" w:eastAsia="Arial" w:cs="Arial"/>
      <w:sz w:val="30"/>
      <w:szCs w:val="30"/>
    </w:rPr>
  </w:style>
  <w:style w:type="character" w:styleId="730" w:customStyle="1">
    <w:name w:val="Заголовок 4 Знак"/>
    <w:basedOn w:val="689"/>
    <w:link w:val="683"/>
    <w:uiPriority w:val="9"/>
    <w:rPr>
      <w:rFonts w:ascii="Arial" w:hAnsi="Arial" w:eastAsia="Arial" w:cs="Arial"/>
      <w:b/>
      <w:bCs/>
      <w:sz w:val="26"/>
      <w:szCs w:val="26"/>
    </w:rPr>
  </w:style>
  <w:style w:type="character" w:styleId="731" w:customStyle="1">
    <w:name w:val="Заголовок 5 Знак"/>
    <w:basedOn w:val="689"/>
    <w:link w:val="684"/>
    <w:uiPriority w:val="9"/>
    <w:rPr>
      <w:rFonts w:ascii="Arial" w:hAnsi="Arial" w:eastAsia="Arial" w:cs="Arial"/>
      <w:b/>
      <w:bCs/>
      <w:sz w:val="24"/>
      <w:szCs w:val="24"/>
    </w:rPr>
  </w:style>
  <w:style w:type="character" w:styleId="732" w:customStyle="1">
    <w:name w:val="Заголовок 6 Знак"/>
    <w:basedOn w:val="689"/>
    <w:link w:val="685"/>
    <w:uiPriority w:val="9"/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Заголовок 7 Знак"/>
    <w:basedOn w:val="689"/>
    <w:link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4" w:customStyle="1">
    <w:name w:val="Заголовок 8 Знак"/>
    <w:basedOn w:val="689"/>
    <w:link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735" w:customStyle="1">
    <w:name w:val="Заголовок 9 Знак"/>
    <w:basedOn w:val="689"/>
    <w:link w:val="688"/>
    <w:uiPriority w:val="9"/>
    <w:rPr>
      <w:rFonts w:ascii="Arial" w:hAnsi="Arial" w:eastAsia="Arial" w:cs="Arial"/>
      <w:i/>
      <w:iCs/>
      <w:sz w:val="21"/>
      <w:szCs w:val="21"/>
    </w:rPr>
  </w:style>
  <w:style w:type="character" w:styleId="736" w:customStyle="1">
    <w:name w:val="Заголовок Знак"/>
    <w:basedOn w:val="689"/>
    <w:link w:val="866"/>
    <w:rPr>
      <w:sz w:val="48"/>
      <w:szCs w:val="48"/>
    </w:rPr>
  </w:style>
  <w:style w:type="character" w:styleId="737" w:customStyle="1">
    <w:name w:val="Подзаголовок Знак"/>
    <w:basedOn w:val="689"/>
    <w:link w:val="867"/>
    <w:uiPriority w:val="11"/>
    <w:rPr>
      <w:sz w:val="24"/>
      <w:szCs w:val="24"/>
    </w:rPr>
  </w:style>
  <w:style w:type="character" w:styleId="738" w:customStyle="1">
    <w:name w:val="Цитата 2 Знак"/>
    <w:link w:val="868"/>
    <w:uiPriority w:val="29"/>
    <w:rPr>
      <w:i/>
    </w:rPr>
  </w:style>
  <w:style w:type="character" w:styleId="739" w:customStyle="1">
    <w:name w:val="Выделенная цитата Знак"/>
    <w:link w:val="869"/>
    <w:uiPriority w:val="30"/>
    <w:rPr>
      <w:i/>
    </w:rPr>
  </w:style>
  <w:style w:type="character" w:styleId="740" w:customStyle="1">
    <w:name w:val="Верхний колонтитул Знак"/>
    <w:basedOn w:val="689"/>
    <w:link w:val="870"/>
  </w:style>
  <w:style w:type="character" w:styleId="741" w:customStyle="1">
    <w:name w:val="Footer Char"/>
    <w:basedOn w:val="689"/>
    <w:uiPriority w:val="99"/>
  </w:style>
  <w:style w:type="paragraph" w:styleId="742">
    <w:name w:val="Caption"/>
    <w:basedOn w:val="679"/>
    <w:next w:val="67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3" w:customStyle="1">
    <w:name w:val="Нижний колонтитул Знак"/>
    <w:link w:val="871"/>
  </w:style>
  <w:style w:type="table" w:styleId="744" w:customStyle="1">
    <w:name w:val="Table Grid Light"/>
    <w:basedOn w:val="69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5" w:customStyle="1">
    <w:name w:val="Таблица простая 11"/>
    <w:basedOn w:val="69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 w:customStyle="1">
    <w:name w:val="Таблица простая 21"/>
    <w:basedOn w:val="69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 w:customStyle="1">
    <w:name w:val="Таблица простая 31"/>
    <w:basedOn w:val="6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 w:customStyle="1">
    <w:name w:val="Таблица простая 41"/>
    <w:basedOn w:val="6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Таблица простая 51"/>
    <w:basedOn w:val="6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 w:customStyle="1">
    <w:name w:val="Таблица-сетка 1 светлая1"/>
    <w:basedOn w:val="69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1"/>
    <w:basedOn w:val="69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2"/>
    <w:basedOn w:val="69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3"/>
    <w:basedOn w:val="69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4"/>
    <w:basedOn w:val="69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5"/>
    <w:basedOn w:val="69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6"/>
    <w:basedOn w:val="69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Таблица-сетка 21"/>
    <w:basedOn w:val="69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1"/>
    <w:basedOn w:val="69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2"/>
    <w:basedOn w:val="69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3"/>
    <w:basedOn w:val="69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4"/>
    <w:basedOn w:val="69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5"/>
    <w:basedOn w:val="69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6"/>
    <w:basedOn w:val="69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Таблица-сетка 31"/>
    <w:basedOn w:val="69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1"/>
    <w:basedOn w:val="69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2"/>
    <w:basedOn w:val="69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3"/>
    <w:basedOn w:val="69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4"/>
    <w:basedOn w:val="69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5"/>
    <w:basedOn w:val="69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6"/>
    <w:basedOn w:val="69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Таблица-сетка 41"/>
    <w:basedOn w:val="69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 w:customStyle="1">
    <w:name w:val="Grid Table 4 - Accent 1"/>
    <w:basedOn w:val="69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3" w:customStyle="1">
    <w:name w:val="Grid Table 4 - Accent 2"/>
    <w:basedOn w:val="69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4" w:customStyle="1">
    <w:name w:val="Grid Table 4 - Accent 3"/>
    <w:basedOn w:val="69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5" w:customStyle="1">
    <w:name w:val="Grid Table 4 - Accent 4"/>
    <w:basedOn w:val="69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6" w:customStyle="1">
    <w:name w:val="Grid Table 4 - Accent 5"/>
    <w:basedOn w:val="69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7" w:customStyle="1">
    <w:name w:val="Grid Table 4 - Accent 6"/>
    <w:basedOn w:val="69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8" w:customStyle="1">
    <w:name w:val="Таблица-сетка 5 темная1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1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2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3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4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5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6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5" w:customStyle="1">
    <w:name w:val="Таблица-сетка 6 цветная1"/>
    <w:basedOn w:val="69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6" w:customStyle="1">
    <w:name w:val="Grid Table 6 Colorful - Accent 1"/>
    <w:basedOn w:val="69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7" w:customStyle="1">
    <w:name w:val="Grid Table 6 Colorful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8" w:customStyle="1">
    <w:name w:val="Grid Table 6 Colorful - Accent 3"/>
    <w:basedOn w:val="69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9" w:customStyle="1">
    <w:name w:val="Grid Table 6 Colorful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0" w:customStyle="1">
    <w:name w:val="Grid Table 6 Colorful - Accent 5"/>
    <w:basedOn w:val="69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1" w:customStyle="1">
    <w:name w:val="Grid Table 6 Colorful - Accent 6"/>
    <w:basedOn w:val="69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Таблица-сетка 7 цветная1"/>
    <w:basedOn w:val="69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1"/>
    <w:basedOn w:val="69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2"/>
    <w:basedOn w:val="69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3"/>
    <w:basedOn w:val="69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4"/>
    <w:basedOn w:val="69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5"/>
    <w:basedOn w:val="69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6"/>
    <w:basedOn w:val="69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Список-таблица 1 светлая1"/>
    <w:basedOn w:val="69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1"/>
    <w:basedOn w:val="69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2"/>
    <w:basedOn w:val="69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3"/>
    <w:basedOn w:val="69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4"/>
    <w:basedOn w:val="69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5"/>
    <w:basedOn w:val="69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6"/>
    <w:basedOn w:val="69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Список-таблица 21"/>
    <w:basedOn w:val="69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1"/>
    <w:basedOn w:val="69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2"/>
    <w:basedOn w:val="69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3"/>
    <w:basedOn w:val="69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4"/>
    <w:basedOn w:val="69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5"/>
    <w:basedOn w:val="69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6"/>
    <w:basedOn w:val="69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3" w:customStyle="1">
    <w:name w:val="Список-таблица 31"/>
    <w:basedOn w:val="69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1"/>
    <w:basedOn w:val="69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3"/>
    <w:basedOn w:val="69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5"/>
    <w:basedOn w:val="69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6"/>
    <w:basedOn w:val="69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Список-таблица 41"/>
    <w:basedOn w:val="69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1"/>
    <w:basedOn w:val="69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2"/>
    <w:basedOn w:val="69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3"/>
    <w:basedOn w:val="69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4"/>
    <w:basedOn w:val="69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5"/>
    <w:basedOn w:val="69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6"/>
    <w:basedOn w:val="69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Список-таблица 5 темная1"/>
    <w:basedOn w:val="69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1"/>
    <w:basedOn w:val="69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3"/>
    <w:basedOn w:val="69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5"/>
    <w:basedOn w:val="69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6"/>
    <w:basedOn w:val="69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Список-таблица 6 цветная1"/>
    <w:basedOn w:val="69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5" w:customStyle="1">
    <w:name w:val="List Table 6 Colorful - Accent 1"/>
    <w:basedOn w:val="69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6" w:customStyle="1">
    <w:name w:val="List Table 6 Colorful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7" w:customStyle="1">
    <w:name w:val="List Table 6 Colorful - Accent 3"/>
    <w:basedOn w:val="69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8" w:customStyle="1">
    <w:name w:val="List Table 6 Colorful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9" w:customStyle="1">
    <w:name w:val="List Table 6 Colorful - Accent 5"/>
    <w:basedOn w:val="69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0" w:customStyle="1">
    <w:name w:val="List Table 6 Colorful - Accent 6"/>
    <w:basedOn w:val="69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1" w:customStyle="1">
    <w:name w:val="Список-таблица 7 цветная1"/>
    <w:basedOn w:val="69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1"/>
    <w:basedOn w:val="69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2"/>
    <w:basedOn w:val="69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3"/>
    <w:basedOn w:val="69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4"/>
    <w:basedOn w:val="69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5"/>
    <w:basedOn w:val="69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6"/>
    <w:basedOn w:val="69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ned - Accent"/>
    <w:basedOn w:val="690"/>
    <w:uiPriority w:val="99"/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9" w:customStyle="1">
    <w:name w:val="Bordered &amp; Lined - Accent"/>
    <w:basedOn w:val="690"/>
    <w:uiPriority w:val="99"/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paragraph" w:styleId="850">
    <w:name w:val="endnote text"/>
    <w:basedOn w:val="679"/>
    <w:link w:val="851"/>
    <w:uiPriority w:val="99"/>
    <w:semiHidden/>
    <w:unhideWhenUsed/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89"/>
    <w:uiPriority w:val="99"/>
    <w:semiHidden/>
    <w:unhideWhenUsed/>
    <w:rPr>
      <w:vertAlign w:val="superscript"/>
    </w:rPr>
  </w:style>
  <w:style w:type="paragraph" w:styleId="853">
    <w:name w:val="toc 1"/>
    <w:basedOn w:val="679"/>
    <w:next w:val="679"/>
    <w:uiPriority w:val="39"/>
    <w:unhideWhenUsed/>
    <w:pPr>
      <w:spacing w:after="57"/>
    </w:pPr>
  </w:style>
  <w:style w:type="paragraph" w:styleId="854">
    <w:name w:val="toc 2"/>
    <w:basedOn w:val="679"/>
    <w:next w:val="679"/>
    <w:uiPriority w:val="39"/>
    <w:unhideWhenUsed/>
    <w:pPr>
      <w:ind w:left="283"/>
      <w:spacing w:after="57"/>
    </w:pPr>
  </w:style>
  <w:style w:type="paragraph" w:styleId="855">
    <w:name w:val="toc 3"/>
    <w:basedOn w:val="679"/>
    <w:next w:val="679"/>
    <w:uiPriority w:val="39"/>
    <w:unhideWhenUsed/>
    <w:pPr>
      <w:ind w:left="567"/>
      <w:spacing w:after="57"/>
    </w:pPr>
  </w:style>
  <w:style w:type="paragraph" w:styleId="856">
    <w:name w:val="toc 4"/>
    <w:basedOn w:val="679"/>
    <w:next w:val="679"/>
    <w:uiPriority w:val="39"/>
    <w:unhideWhenUsed/>
    <w:pPr>
      <w:ind w:left="850"/>
      <w:spacing w:after="57"/>
    </w:pPr>
  </w:style>
  <w:style w:type="paragraph" w:styleId="857">
    <w:name w:val="toc 5"/>
    <w:basedOn w:val="679"/>
    <w:next w:val="679"/>
    <w:uiPriority w:val="39"/>
    <w:unhideWhenUsed/>
    <w:pPr>
      <w:ind w:left="1134"/>
      <w:spacing w:after="57"/>
    </w:pPr>
  </w:style>
  <w:style w:type="paragraph" w:styleId="858">
    <w:name w:val="toc 6"/>
    <w:basedOn w:val="679"/>
    <w:next w:val="679"/>
    <w:uiPriority w:val="39"/>
    <w:unhideWhenUsed/>
    <w:pPr>
      <w:ind w:left="1417"/>
      <w:spacing w:after="57"/>
    </w:pPr>
  </w:style>
  <w:style w:type="paragraph" w:styleId="859">
    <w:name w:val="toc 7"/>
    <w:basedOn w:val="679"/>
    <w:next w:val="679"/>
    <w:uiPriority w:val="39"/>
    <w:unhideWhenUsed/>
    <w:pPr>
      <w:ind w:left="1701"/>
      <w:spacing w:after="57"/>
    </w:pPr>
  </w:style>
  <w:style w:type="paragraph" w:styleId="860">
    <w:name w:val="toc 8"/>
    <w:basedOn w:val="679"/>
    <w:next w:val="679"/>
    <w:uiPriority w:val="39"/>
    <w:unhideWhenUsed/>
    <w:pPr>
      <w:ind w:left="1984"/>
      <w:spacing w:after="57"/>
    </w:pPr>
  </w:style>
  <w:style w:type="paragraph" w:styleId="861">
    <w:name w:val="toc 9"/>
    <w:basedOn w:val="679"/>
    <w:next w:val="679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79"/>
    <w:next w:val="679"/>
    <w:uiPriority w:val="99"/>
    <w:unhideWhenUsed/>
  </w:style>
  <w:style w:type="paragraph" w:styleId="864">
    <w:name w:val="List Paragraph"/>
    <w:basedOn w:val="679"/>
    <w:uiPriority w:val="34"/>
    <w:qFormat/>
    <w:pPr>
      <w:ind w:left="720"/>
    </w:pPr>
  </w:style>
  <w:style w:type="paragraph" w:styleId="865">
    <w:name w:val="No Spacing"/>
    <w:basedOn w:val="679"/>
    <w:uiPriority w:val="1"/>
    <w:qFormat/>
    <w:rPr>
      <w:color w:val="000000"/>
    </w:rPr>
  </w:style>
  <w:style w:type="paragraph" w:styleId="866">
    <w:name w:val="Title"/>
    <w:basedOn w:val="679"/>
    <w:next w:val="679"/>
    <w:link w:val="736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67">
    <w:name w:val="Subtitle"/>
    <w:basedOn w:val="679"/>
    <w:next w:val="679"/>
    <w:link w:val="737"/>
    <w:uiPriority w:val="11"/>
    <w:qFormat/>
    <w:rPr>
      <w:i/>
      <w:color w:val="444444"/>
      <w:sz w:val="52"/>
    </w:rPr>
  </w:style>
  <w:style w:type="paragraph" w:styleId="868">
    <w:name w:val="Quote"/>
    <w:basedOn w:val="679"/>
    <w:next w:val="679"/>
    <w:link w:val="738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69">
    <w:name w:val="Intense Quote"/>
    <w:basedOn w:val="679"/>
    <w:next w:val="679"/>
    <w:link w:val="739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70">
    <w:name w:val="Header"/>
    <w:basedOn w:val="679"/>
    <w:link w:val="740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71">
    <w:name w:val="Footer"/>
    <w:basedOn w:val="679"/>
    <w:link w:val="743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72">
    <w:name w:val="Table Grid"/>
    <w:basedOn w:val="690"/>
    <w:rPr>
      <w:rFonts w:ascii="Times New Roman" w:hAnsi="Times New Roman" w:eastAsia="Times New Roman"/>
      <w:szCs w:val="20"/>
    </w:rPr>
    <w:tblPr/>
  </w:style>
  <w:style w:type="table" w:styleId="873" w:customStyle="1">
    <w:name w:val="Lined"/>
    <w:basedOn w:val="69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74" w:customStyle="1">
    <w:name w:val="Lined - Accent 1"/>
    <w:basedOn w:val="69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75" w:customStyle="1">
    <w:name w:val="Lined - Accent 2"/>
    <w:basedOn w:val="69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76" w:customStyle="1">
    <w:name w:val="Lined - Accent 3"/>
    <w:basedOn w:val="69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77" w:customStyle="1">
    <w:name w:val="Lined - Accent 4"/>
    <w:basedOn w:val="69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78" w:customStyle="1">
    <w:name w:val="Lined - Accent 5"/>
    <w:basedOn w:val="69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79" w:customStyle="1">
    <w:name w:val="Lined - Accent 6"/>
    <w:basedOn w:val="69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80" w:customStyle="1">
    <w:name w:val="Bordered"/>
    <w:basedOn w:val="690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81" w:customStyle="1">
    <w:name w:val="Bordered - Accent 1"/>
    <w:basedOn w:val="690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82" w:customStyle="1">
    <w:name w:val="Bordered - Accent 2"/>
    <w:basedOn w:val="690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83" w:customStyle="1">
    <w:name w:val="Bordered - Accent 3"/>
    <w:basedOn w:val="690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84" w:customStyle="1">
    <w:name w:val="Bordered - Accent 4"/>
    <w:basedOn w:val="690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85" w:customStyle="1">
    <w:name w:val="Bordered - Accent 5"/>
    <w:basedOn w:val="690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86" w:customStyle="1">
    <w:name w:val="Bordered - Accent 6"/>
    <w:basedOn w:val="690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87" w:customStyle="1">
    <w:name w:val="Bordered &amp; Lined"/>
    <w:basedOn w:val="690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88" w:customStyle="1">
    <w:name w:val="Bordered &amp; Lined - Accent 1"/>
    <w:basedOn w:val="690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89" w:customStyle="1">
    <w:name w:val="Bordered &amp; Lined - Accent 2"/>
    <w:basedOn w:val="690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90" w:customStyle="1">
    <w:name w:val="Bordered &amp; Lined - Accent 3"/>
    <w:basedOn w:val="690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891" w:customStyle="1">
    <w:name w:val="Bordered &amp; Lined - Accent 4"/>
    <w:basedOn w:val="690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92" w:customStyle="1">
    <w:name w:val="Bordered &amp; Lined - Accent 5"/>
    <w:basedOn w:val="690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93" w:customStyle="1">
    <w:name w:val="Bordered &amp; Lined - Accent 6"/>
    <w:basedOn w:val="690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894">
    <w:name w:val="Hyperlink"/>
    <w:uiPriority w:val="99"/>
    <w:rPr>
      <w:color w:val="0000ff"/>
      <w:u w:val="single"/>
    </w:rPr>
  </w:style>
  <w:style w:type="paragraph" w:styleId="895">
    <w:name w:val="footnote text"/>
    <w:basedOn w:val="679"/>
    <w:link w:val="935"/>
    <w:semiHidden/>
    <w:unhideWhenUsed/>
    <w:rPr>
      <w:sz w:val="20"/>
    </w:rPr>
  </w:style>
  <w:style w:type="character" w:styleId="896" w:customStyle="1">
    <w:name w:val="Footnote Text Char"/>
    <w:basedOn w:val="689"/>
    <w:uiPriority w:val="99"/>
    <w:rPr>
      <w:sz w:val="20"/>
    </w:rPr>
  </w:style>
  <w:style w:type="character" w:styleId="897">
    <w:name w:val="footnote reference"/>
    <w:basedOn w:val="689"/>
    <w:semiHidden/>
    <w:unhideWhenUsed/>
    <w:rPr>
      <w:vertAlign w:val="superscript"/>
    </w:rPr>
  </w:style>
  <w:style w:type="paragraph" w:styleId="898">
    <w:name w:val="Balloon Text"/>
    <w:basedOn w:val="679"/>
    <w:semiHidden/>
    <w:rPr>
      <w:rFonts w:ascii="Tahoma" w:hAnsi="Tahoma"/>
      <w:sz w:val="16"/>
      <w:szCs w:val="16"/>
    </w:rPr>
  </w:style>
  <w:style w:type="character" w:styleId="899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900">
    <w:name w:val="Normal (Web)"/>
    <w:basedOn w:val="67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901" w:customStyle="1">
    <w:name w:val="МОН Знак"/>
    <w:rPr>
      <w:sz w:val="24"/>
      <w:szCs w:val="24"/>
    </w:rPr>
  </w:style>
  <w:style w:type="paragraph" w:styleId="902" w:customStyle="1">
    <w:name w:val="МОН"/>
    <w:basedOn w:val="679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903">
    <w:name w:val="Strong"/>
    <w:qFormat/>
    <w:rPr>
      <w:b/>
      <w:bCs/>
    </w:rPr>
  </w:style>
  <w:style w:type="paragraph" w:styleId="904" w:customStyle="1">
    <w:name w:val="ConsPlusNormal"/>
    <w:link w:val="921"/>
    <w:pPr>
      <w:ind w:firstLine="720"/>
    </w:pPr>
    <w:rPr>
      <w:rFonts w:ascii="Arial" w:hAnsi="Arial" w:eastAsia="Times New Roman"/>
      <w:lang w:eastAsia="ru-RU" w:bidi="ar-SA"/>
    </w:rPr>
  </w:style>
  <w:style w:type="paragraph" w:styleId="905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906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907">
    <w:name w:val="Body Text 2"/>
    <w:basedOn w:val="679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908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909" w:customStyle="1">
    <w:name w:val="GenStyleDefNum"/>
  </w:style>
  <w:style w:type="paragraph" w:styleId="910" w:customStyle="1">
    <w:name w:val="GenStyleDefPar"/>
  </w:style>
  <w:style w:type="table" w:styleId="911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12" w:customStyle="1">
    <w:name w:val="docdata"/>
    <w:basedOn w:val="67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13" w:customStyle="1">
    <w:name w:val="Основной шрифт абзаца17"/>
  </w:style>
  <w:style w:type="paragraph" w:styleId="914" w:customStyle="1">
    <w:name w:val="Абзац списка1"/>
    <w:basedOn w:val="679"/>
    <w:link w:val="932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table" w:styleId="915" w:customStyle="1">
    <w:name w:val="Сетка таблицы1"/>
    <w:basedOn w:val="690"/>
    <w:next w:val="872"/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6" w:customStyle="1">
    <w:name w:val="Сетка таблицы2"/>
    <w:basedOn w:val="690"/>
    <w:next w:val="872"/>
    <w:uiPriority w:val="99"/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7">
    <w:name w:val="Body Text"/>
    <w:basedOn w:val="679"/>
    <w:link w:val="918"/>
    <w:pPr>
      <w:spacing w:after="120"/>
      <w:widowControl w:val="off"/>
    </w:pPr>
    <w:rPr>
      <w:sz w:val="20"/>
      <w:szCs w:val="20"/>
    </w:rPr>
  </w:style>
  <w:style w:type="character" w:styleId="918" w:customStyle="1">
    <w:name w:val="Основной текст Знак"/>
    <w:basedOn w:val="689"/>
    <w:link w:val="917"/>
    <w:rPr>
      <w:rFonts w:ascii="Times New Roman" w:hAnsi="Times New Roman" w:eastAsia="Times New Roman"/>
      <w:szCs w:val="20"/>
      <w:lang w:eastAsia="ru-RU" w:bidi="ar-SA"/>
    </w:rPr>
  </w:style>
  <w:style w:type="paragraph" w:styleId="919" w:customStyle="1">
    <w:name w:val="ConsPlusTitle"/>
    <w:pPr>
      <w:widowControl w:val="off"/>
    </w:pPr>
    <w:rPr>
      <w:rFonts w:ascii="Arial" w:hAnsi="Arial" w:cs="Arial" w:eastAsiaTheme="minorEastAsia"/>
      <w:b/>
      <w:sz w:val="24"/>
      <w:lang w:eastAsia="ru-RU" w:bidi="ar-SA"/>
    </w:rPr>
  </w:style>
  <w:style w:type="character" w:styleId="920">
    <w:name w:val="Placeholder Text"/>
    <w:basedOn w:val="689"/>
    <w:uiPriority w:val="99"/>
    <w:semiHidden/>
    <w:rPr>
      <w:color w:val="808080"/>
    </w:rPr>
  </w:style>
  <w:style w:type="character" w:styleId="921" w:customStyle="1">
    <w:name w:val="ConsPlusNormal Знак"/>
    <w:link w:val="904"/>
    <w:rPr>
      <w:rFonts w:ascii="Arial" w:hAnsi="Arial" w:eastAsia="Times New Roman"/>
      <w:lang w:eastAsia="ru-RU" w:bidi="ar-SA"/>
    </w:rPr>
  </w:style>
  <w:style w:type="paragraph" w:styleId="922" w:customStyle="1">
    <w:name w:val="Standard"/>
    <w:pPr>
      <w:spacing w:after="200" w:line="276" w:lineRule="auto"/>
    </w:pPr>
    <w:rPr>
      <w:rFonts w:eastAsia="SimSun" w:cs="Calibri"/>
      <w:sz w:val="22"/>
      <w:lang w:bidi="ar-SA"/>
    </w:rPr>
  </w:style>
  <w:style w:type="character" w:styleId="923" w:customStyle="1">
    <w:name w:val="Основной текст_"/>
    <w:link w:val="924"/>
    <w:rPr>
      <w:spacing w:val="-2"/>
      <w:shd w:val="clear" w:color="auto" w:fill="ffffff"/>
    </w:rPr>
  </w:style>
  <w:style w:type="paragraph" w:styleId="924" w:customStyle="1">
    <w:name w:val="Основной текст1"/>
    <w:basedOn w:val="679"/>
    <w:link w:val="923"/>
    <w:pPr>
      <w:ind w:hanging="760"/>
      <w:spacing w:after="360" w:line="317" w:lineRule="exact"/>
      <w:shd w:val="clear" w:color="auto" w:fill="ffffff"/>
      <w:widowControl w:val="off"/>
    </w:pPr>
    <w:rPr>
      <w:rFonts w:ascii="Calibri" w:hAnsi="Calibri" w:eastAsia="Calibri"/>
      <w:spacing w:val="-2"/>
      <w:sz w:val="20"/>
      <w:szCs w:val="22"/>
      <w:lang w:eastAsia="en-US" w:bidi="en-US"/>
    </w:rPr>
  </w:style>
  <w:style w:type="character" w:styleId="925" w:customStyle="1">
    <w:name w:val="Колонтитул_"/>
    <w:link w:val="926"/>
    <w:rPr>
      <w:spacing w:val="2"/>
      <w:sz w:val="13"/>
      <w:szCs w:val="13"/>
      <w:shd w:val="clear" w:color="auto" w:fill="ffffff"/>
      <w:lang w:val="en-US"/>
    </w:rPr>
  </w:style>
  <w:style w:type="paragraph" w:styleId="926" w:customStyle="1">
    <w:name w:val="Колонтитул"/>
    <w:basedOn w:val="679"/>
    <w:link w:val="925"/>
    <w:pPr>
      <w:spacing w:line="240" w:lineRule="atLeast"/>
      <w:shd w:val="clear" w:color="auto" w:fill="ffffff"/>
      <w:widowControl w:val="off"/>
    </w:pPr>
    <w:rPr>
      <w:rFonts w:ascii="Calibri" w:hAnsi="Calibri" w:eastAsia="Calibri"/>
      <w:spacing w:val="2"/>
      <w:sz w:val="13"/>
      <w:szCs w:val="13"/>
      <w:lang w:val="en-US" w:eastAsia="en-US" w:bidi="en-US"/>
    </w:rPr>
  </w:style>
  <w:style w:type="character" w:styleId="927">
    <w:name w:val="annotation reference"/>
    <w:semiHidden/>
    <w:rPr>
      <w:sz w:val="16"/>
      <w:szCs w:val="16"/>
    </w:rPr>
  </w:style>
  <w:style w:type="paragraph" w:styleId="928">
    <w:name w:val="annotation text"/>
    <w:basedOn w:val="679"/>
    <w:link w:val="929"/>
    <w:semiHidden/>
    <w:pPr>
      <w:spacing w:after="200" w:line="276" w:lineRule="auto"/>
    </w:pPr>
    <w:rPr>
      <w:rFonts w:ascii="Calibri" w:hAnsi="Calibri" w:eastAsia="Calibri" w:cs="Calibri"/>
      <w:sz w:val="20"/>
      <w:szCs w:val="20"/>
      <w:lang w:eastAsia="en-US"/>
    </w:rPr>
  </w:style>
  <w:style w:type="character" w:styleId="929" w:customStyle="1">
    <w:name w:val="Текст примечания Знак"/>
    <w:basedOn w:val="689"/>
    <w:link w:val="928"/>
    <w:semiHidden/>
    <w:rPr>
      <w:rFonts w:cs="Calibri"/>
      <w:szCs w:val="20"/>
      <w:lang w:bidi="ar-SA"/>
    </w:rPr>
  </w:style>
  <w:style w:type="character" w:styleId="930" w:customStyle="1">
    <w:name w:val="butback1"/>
    <w:rPr>
      <w:color w:val="auto"/>
    </w:rPr>
  </w:style>
  <w:style w:type="character" w:styleId="931" w:customStyle="1">
    <w:name w:val="submenu-table"/>
    <w:basedOn w:val="689"/>
  </w:style>
  <w:style w:type="character" w:styleId="932" w:customStyle="1">
    <w:name w:val="List Paragraph Char"/>
    <w:link w:val="914"/>
    <w:rPr>
      <w:rFonts w:cs="Calibri"/>
      <w:sz w:val="22"/>
      <w:lang w:bidi="ar-SA"/>
    </w:rPr>
  </w:style>
  <w:style w:type="paragraph" w:styleId="933">
    <w:name w:val="Body Text Indent"/>
    <w:basedOn w:val="679"/>
    <w:link w:val="934"/>
    <w:pPr>
      <w:ind w:left="283"/>
      <w:spacing w:after="120"/>
    </w:pPr>
  </w:style>
  <w:style w:type="character" w:styleId="934" w:customStyle="1">
    <w:name w:val="Основной текст с отступом Знак"/>
    <w:basedOn w:val="689"/>
    <w:link w:val="933"/>
    <w:rPr>
      <w:rFonts w:ascii="Times New Roman" w:hAnsi="Times New Roman" w:eastAsia="Times New Roman"/>
      <w:sz w:val="24"/>
      <w:szCs w:val="24"/>
      <w:lang w:eastAsia="ru-RU" w:bidi="ar-SA"/>
    </w:rPr>
  </w:style>
  <w:style w:type="character" w:styleId="935" w:customStyle="1">
    <w:name w:val="Текст сноски Знак"/>
    <w:basedOn w:val="689"/>
    <w:link w:val="895"/>
    <w:semiHidden/>
    <w:rPr>
      <w:rFonts w:ascii="Times New Roman" w:hAnsi="Times New Roman" w:eastAsia="Times New Roman"/>
      <w:szCs w:val="24"/>
      <w:lang w:eastAsia="ru-RU" w:bidi="ar-SA"/>
    </w:rPr>
  </w:style>
  <w:style w:type="paragraph" w:styleId="936">
    <w:name w:val="annotation subject"/>
    <w:basedOn w:val="928"/>
    <w:next w:val="928"/>
    <w:link w:val="937"/>
    <w:semiHidden/>
    <w:rPr>
      <w:b/>
      <w:bCs/>
    </w:rPr>
  </w:style>
  <w:style w:type="character" w:styleId="937" w:customStyle="1">
    <w:name w:val="Тема примечания Знак"/>
    <w:basedOn w:val="929"/>
    <w:link w:val="936"/>
    <w:semiHidden/>
    <w:rPr>
      <w:rFonts w:cs="Calibri"/>
      <w:b/>
      <w:bCs/>
      <w:szCs w:val="20"/>
      <w:lang w:bidi="ar-SA"/>
    </w:rPr>
  </w:style>
  <w:style w:type="paragraph" w:styleId="938" w:customStyle="1">
    <w:name w:val="Обычный.Текст с отступ."/>
    <w:pPr>
      <w:ind w:firstLine="709"/>
      <w:jc w:val="both"/>
    </w:pPr>
    <w:rPr>
      <w:rFonts w:ascii="Times New Roman" w:hAnsi="Times New Roman" w:eastAsia="Times New Roman"/>
      <w:sz w:val="24"/>
      <w:szCs w:val="24"/>
      <w:lang w:eastAsia="ru-RU" w:bidi="ar-SA"/>
    </w:rPr>
  </w:style>
  <w:style w:type="character" w:styleId="939" w:customStyle="1">
    <w:name w:val="Дата1"/>
    <w:basedOn w:val="689"/>
  </w:style>
  <w:style w:type="character" w:styleId="940" w:customStyle="1">
    <w:name w:val="Font Style13"/>
    <w:rPr>
      <w:rFonts w:ascii="Candara" w:hAnsi="Candara" w:cs="Candara"/>
      <w:sz w:val="24"/>
      <w:szCs w:val="24"/>
    </w:rPr>
  </w:style>
  <w:style w:type="paragraph" w:styleId="941" w:customStyle="1">
    <w:name w:val="western"/>
    <w:basedOn w:val="679"/>
    <w:pPr>
      <w:spacing w:before="100" w:beforeAutospacing="1" w:after="115" w:line="276" w:lineRule="auto"/>
    </w:pPr>
    <w:rPr>
      <w:rFonts w:ascii="Calibri" w:hAnsi="Calibri" w:cs="Calibri"/>
      <w:color w:val="000000"/>
      <w:sz w:val="22"/>
      <w:szCs w:val="22"/>
    </w:rPr>
  </w:style>
  <w:style w:type="paragraph" w:styleId="942" w:customStyle="1">
    <w:name w:val="Без интервала1"/>
    <w:link w:val="943"/>
    <w:rPr>
      <w:rFonts w:eastAsia="Times New Roman" w:cs="Calibri"/>
      <w:sz w:val="22"/>
      <w:lang w:bidi="ar-SA"/>
    </w:rPr>
  </w:style>
  <w:style w:type="character" w:styleId="943" w:customStyle="1">
    <w:name w:val="No Spacing Char"/>
    <w:link w:val="942"/>
    <w:rPr>
      <w:rFonts w:eastAsia="Times New Roman" w:cs="Calibri"/>
      <w:sz w:val="22"/>
      <w:lang w:bidi="ar-SA"/>
    </w:rPr>
  </w:style>
  <w:style w:type="character" w:styleId="944" w:customStyle="1">
    <w:name w:val="Основной текст с отступом Знак3"/>
    <w:rPr>
      <w:sz w:val="24"/>
      <w:lang w:eastAsia="ar-SA" w:bidi="ar-SA"/>
    </w:rPr>
  </w:style>
  <w:style w:type="paragraph" w:styleId="945">
    <w:name w:val="Body Text Indent 2"/>
    <w:basedOn w:val="679"/>
    <w:link w:val="946"/>
    <w:pPr>
      <w:ind w:left="283"/>
      <w:spacing w:after="120" w:line="480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6" w:customStyle="1">
    <w:name w:val="Основной текст с отступом 2 Знак"/>
    <w:basedOn w:val="689"/>
    <w:link w:val="945"/>
    <w:rPr>
      <w:rFonts w:cs="Calibri"/>
      <w:sz w:val="22"/>
      <w:lang w:bidi="ar-SA"/>
    </w:rPr>
  </w:style>
  <w:style w:type="paragraph" w:styleId="947" w:customStyle="1">
    <w:name w:val="Знак Знак Знак Знак Знак Знак Знак Знак Знак Знак Знак Знак Знак Знак"/>
    <w:basedOn w:val="679"/>
    <w:pPr>
      <w:jc w:val="both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948">
    <w:name w:val="FollowedHyperlink"/>
    <w:basedOn w:val="689"/>
    <w:uiPriority w:val="99"/>
    <w:unhideWhenUsed/>
    <w:rPr>
      <w:color w:val="800080"/>
      <w:u w:val="single"/>
    </w:rPr>
  </w:style>
  <w:style w:type="paragraph" w:styleId="949" w:customStyle="1">
    <w:name w:val="xl63"/>
    <w:basedOn w:val="67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950" w:customStyle="1">
    <w:name w:val="xl64"/>
    <w:basedOn w:val="67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951" w:customStyle="1">
    <w:name w:val="xl65"/>
    <w:basedOn w:val="67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952" w:customStyle="1">
    <w:name w:val="xl66"/>
    <w:basedOn w:val="67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953" w:customStyle="1">
    <w:name w:val="xl67"/>
    <w:basedOn w:val="67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54" w:customStyle="1">
    <w:name w:val="xl68"/>
    <w:basedOn w:val="67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55" w:customStyle="1">
    <w:name w:val="xl69"/>
    <w:basedOn w:val="679"/>
    <w:pPr>
      <w:jc w:val="center"/>
      <w:spacing w:before="100" w:beforeAutospacing="1" w:after="100" w:afterAutospacing="1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956" w:customStyle="1">
    <w:name w:val="xl70"/>
    <w:basedOn w:val="67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957" w:customStyle="1">
    <w:name w:val="xl71"/>
    <w:basedOn w:val="67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958" w:customStyle="1">
    <w:name w:val="xl72"/>
    <w:basedOn w:val="67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0"/>
      <w:szCs w:val="20"/>
    </w:rPr>
  </w:style>
  <w:style w:type="paragraph" w:styleId="959" w:customStyle="1">
    <w:name w:val="xl73"/>
    <w:basedOn w:val="679"/>
    <w:pPr>
      <w:jc w:val="center"/>
      <w:spacing w:before="100" w:beforeAutospacing="1" w:after="100" w:afterAutospacing="1"/>
      <w:pBdr>
        <w:top w:val="single" w:color="000000" w:sz="4" w:space="0"/>
        <w:bottom w:val="single" w:color="000000" w:sz="4" w:space="0"/>
      </w:pBdr>
    </w:pPr>
    <w:rPr>
      <w:sz w:val="20"/>
      <w:szCs w:val="20"/>
    </w:rPr>
  </w:style>
  <w:style w:type="paragraph" w:styleId="960" w:customStyle="1">
    <w:name w:val="xl74"/>
    <w:basedOn w:val="679"/>
    <w:pPr>
      <w:jc w:val="center"/>
      <w:spacing w:before="100" w:beforeAutospacing="1" w:after="100" w:afterAutospacing="1"/>
      <w:pBdr>
        <w:top w:val="single" w:color="000000" w:sz="4" w:space="0"/>
      </w:pBdr>
    </w:pPr>
    <w:rPr>
      <w:sz w:val="20"/>
      <w:szCs w:val="20"/>
    </w:rPr>
  </w:style>
  <w:style w:type="numbering" w:styleId="961" w:customStyle="1">
    <w:name w:val="Нет списка1"/>
    <w:next w:val="691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648A4-A37A-498F-8748-3F171E66F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37</cp:revision>
  <dcterms:created xsi:type="dcterms:W3CDTF">2024-11-20T06:55:00Z</dcterms:created>
  <dcterms:modified xsi:type="dcterms:W3CDTF">2025-12-19T09:27:09Z</dcterms:modified>
</cp:coreProperties>
</file>