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0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 02.12.2025 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№ 2012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  <w:r>
        <w:rPr>
          <w:rFonts w:eastAsia="Times New Roman"/>
          <w:b/>
          <w:bCs/>
          <w:color w:val="000000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8055" w:leader="none"/>
        </w:tabs>
        <w:rPr>
          <w:b/>
        </w:rPr>
      </w:pPr>
      <w:r>
        <w:rPr>
          <w:rFonts w:eastAsia="Times New Roman"/>
          <w:b/>
        </w:rPr>
        <w:t xml:space="preserve"> «</w:t>
      </w:r>
      <w:r>
        <w:rPr>
          <w:b/>
          <w:lang w:eastAsia="en-US"/>
        </w:rPr>
        <w:t xml:space="preserve">Муниципальное имущество и земельные ресурсы» на 2025 - 2027 годы, </w:t>
      </w:r>
      <w:r>
        <w:rPr>
          <w:b/>
        </w:rPr>
        <w:t xml:space="preserve">утвержденную постановлением администрации Печенгского муниципального округа от 01.11.2024 № 1716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</w:t>
      </w:r>
      <w:r>
        <w:rPr>
          <w:rFonts w:eastAsia="Times New Roman"/>
          <w:color w:val="000000"/>
          <w:sz w:val="24"/>
          <w:szCs w:val="24"/>
        </w:rPr>
        <w:t xml:space="preserve">,</w:t>
      </w:r>
      <w:r>
        <w:rPr>
          <w:rFonts w:eastAsia="Times New Roman"/>
          <w:color w:val="000000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12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«Муниципальное имущество и земельные ресурсы» на 2025-2027 годы, утвержденную постановлением администрации Печенгского муниципального округа от 01.11.2024 </w:t>
      </w:r>
      <w:r>
        <w:rPr>
          <w:sz w:val="24"/>
          <w:szCs w:val="24"/>
        </w:rPr>
        <w:br/>
        <w:t xml:space="preserve">№ 1716 (в редакции постановлени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администрации Печенгского муниципального округа от </w:t>
      </w:r>
      <w:r>
        <w:rPr>
          <w:sz w:val="24"/>
          <w:szCs w:val="24"/>
        </w:rPr>
        <w:t xml:space="preserve">29.08.2025 № 1408</w:t>
      </w:r>
      <w:r>
        <w:rPr>
          <w:sz w:val="24"/>
          <w:szCs w:val="24"/>
        </w:rPr>
        <w:t xml:space="preserve">)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 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24"/>
        <w:gridCol w:w="7143"/>
      </w:tblGrid>
      <w:tr>
        <w:tblPrEx/>
        <w:trPr>
          <w:jc w:val="center"/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2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3" w:type="dxa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708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031,6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19967,0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13629,3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6337,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207371,1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163547,1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38698,0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268726,3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105910,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88198,4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74617,2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211967,2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211967,2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2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2027 год: 0,0 тыс. рублей.»;</w:t>
            </w:r>
            <w:r>
              <w:rPr>
                <w:i/>
                <w:color w:val="0000cc"/>
                <w:sz w:val="18"/>
                <w:szCs w:val="18"/>
              </w:rPr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pStyle w:val="912"/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 строку «Справочно: объем налоговых расходов муниципального образования в рамках реализации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5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8"/>
        <w:gridCol w:w="7189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tabs>
                <w:tab w:val="left" w:pos="317" w:leader="none"/>
              </w:tabs>
              <w:rPr>
                <w:spacing w:val="1"/>
                <w:sz w:val="24"/>
                <w:szCs w:val="24"/>
                <w:lang w:eastAsia="en-US"/>
              </w:rPr>
            </w:pPr>
            <w:r>
              <w:rPr>
                <w:spacing w:val="1"/>
                <w:sz w:val="24"/>
                <w:szCs w:val="24"/>
                <w:lang w:eastAsia="en-US"/>
              </w:rPr>
              <w:t xml:space="preserve">Справочно: объем налоговых расходов муниципального образования в рамках реализации программы</w:t>
            </w:r>
            <w:r>
              <w:rPr>
                <w:spacing w:val="1"/>
                <w:sz w:val="24"/>
                <w:szCs w:val="24"/>
                <w:lang w:eastAsia="en-US"/>
              </w:rPr>
            </w:r>
            <w:r>
              <w:rPr>
                <w:spacing w:val="1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9" w:type="dxa"/>
            <w:textDirection w:val="lrTb"/>
            <w:noWrap w:val="false"/>
          </w:tcPr>
          <w:p>
            <w:pPr>
              <w:tabs>
                <w:tab w:val="left" w:pos="317" w:leader="none"/>
              </w:tabs>
              <w:rPr>
                <w:spacing w:val="1"/>
                <w:sz w:val="24"/>
                <w:szCs w:val="24"/>
                <w:lang w:eastAsia="en-US"/>
              </w:rPr>
            </w:pPr>
            <w:r>
              <w:rPr>
                <w:spacing w:val="1"/>
                <w:sz w:val="24"/>
                <w:szCs w:val="24"/>
                <w:lang w:eastAsia="en-US"/>
              </w:rPr>
              <w:t xml:space="preserve">Всего: 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132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,0 тыс. рублей,</w:t>
            </w:r>
            <w:r>
              <w:rPr>
                <w:spacing w:val="1"/>
                <w:sz w:val="24"/>
                <w:szCs w:val="24"/>
                <w:lang w:eastAsia="en-US"/>
              </w:rPr>
            </w:r>
            <w:r>
              <w:rPr>
                <w:spacing w:val="1"/>
                <w:sz w:val="24"/>
                <w:szCs w:val="24"/>
                <w:lang w:eastAsia="en-US"/>
              </w:rPr>
            </w:r>
          </w:p>
          <w:p>
            <w:pPr>
              <w:tabs>
                <w:tab w:val="left" w:pos="317" w:leader="none"/>
              </w:tabs>
              <w:rPr>
                <w:i/>
                <w:spacing w:val="1"/>
                <w:sz w:val="24"/>
                <w:szCs w:val="24"/>
                <w:lang w:eastAsia="en-US"/>
              </w:rPr>
            </w:pPr>
            <w:r>
              <w:rPr>
                <w:i/>
                <w:spacing w:val="1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i/>
                <w:spacing w:val="1"/>
                <w:sz w:val="24"/>
                <w:szCs w:val="24"/>
                <w:lang w:eastAsia="en-US"/>
              </w:rPr>
            </w:r>
            <w:r>
              <w:rPr>
                <w:i/>
                <w:spacing w:val="1"/>
                <w:sz w:val="24"/>
                <w:szCs w:val="24"/>
                <w:lang w:eastAsia="en-US"/>
              </w:rPr>
            </w:r>
          </w:p>
          <w:p>
            <w:pPr>
              <w:tabs>
                <w:tab w:val="left" w:pos="317" w:leader="none"/>
              </w:tabs>
              <w:rPr>
                <w:spacing w:val="1"/>
                <w:sz w:val="24"/>
                <w:szCs w:val="24"/>
                <w:lang w:eastAsia="en-US"/>
              </w:rPr>
            </w:pPr>
            <w:r>
              <w:rPr>
                <w:spacing w:val="1"/>
                <w:sz w:val="24"/>
                <w:szCs w:val="24"/>
                <w:lang w:eastAsia="en-US"/>
              </w:rPr>
              <w:t xml:space="preserve">2025 год: 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44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,0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тыс. рублей;</w:t>
            </w:r>
            <w:r>
              <w:rPr>
                <w:spacing w:val="1"/>
                <w:sz w:val="24"/>
                <w:szCs w:val="24"/>
                <w:lang w:eastAsia="en-US"/>
              </w:rPr>
            </w:r>
            <w:r>
              <w:rPr>
                <w:spacing w:val="1"/>
                <w:sz w:val="24"/>
                <w:szCs w:val="24"/>
                <w:lang w:eastAsia="en-US"/>
              </w:rPr>
            </w:r>
          </w:p>
          <w:p>
            <w:pPr>
              <w:tabs>
                <w:tab w:val="left" w:pos="317" w:leader="none"/>
              </w:tabs>
              <w:rPr>
                <w:spacing w:val="1"/>
                <w:sz w:val="24"/>
                <w:szCs w:val="24"/>
                <w:lang w:eastAsia="en-US"/>
              </w:rPr>
            </w:pPr>
            <w:r>
              <w:rPr>
                <w:spacing w:val="1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44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,0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тыс. рублей;</w:t>
            </w:r>
            <w:r>
              <w:rPr>
                <w:spacing w:val="1"/>
                <w:sz w:val="24"/>
                <w:szCs w:val="24"/>
                <w:lang w:eastAsia="en-US"/>
              </w:rPr>
            </w:r>
            <w:r>
              <w:rPr>
                <w:spacing w:val="1"/>
                <w:sz w:val="24"/>
                <w:szCs w:val="24"/>
                <w:lang w:eastAsia="en-US"/>
              </w:rPr>
            </w:r>
          </w:p>
          <w:p>
            <w:pPr>
              <w:tabs>
                <w:tab w:val="left" w:pos="317" w:leader="none"/>
              </w:tabs>
              <w:rPr>
                <w:spacing w:val="1"/>
                <w:sz w:val="24"/>
                <w:szCs w:val="24"/>
                <w:lang w:eastAsia="en-US"/>
              </w:rPr>
            </w:pPr>
            <w:r>
              <w:rPr>
                <w:spacing w:val="1"/>
                <w:sz w:val="24"/>
                <w:szCs w:val="24"/>
                <w:lang w:eastAsia="en-US"/>
              </w:rPr>
              <w:t xml:space="preserve">2027 год: 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44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,0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тыс. рублей.</w:t>
            </w:r>
            <w:r>
              <w:rPr>
                <w:spacing w:val="1"/>
                <w:sz w:val="24"/>
                <w:szCs w:val="24"/>
                <w:lang w:eastAsia="en-US"/>
              </w:rPr>
              <w:t xml:space="preserve">»;</w:t>
            </w:r>
            <w:r>
              <w:rPr>
                <w:spacing w:val="1"/>
                <w:sz w:val="24"/>
                <w:szCs w:val="24"/>
                <w:lang w:eastAsia="en-US"/>
              </w:rPr>
            </w:r>
            <w:r>
              <w:rPr>
                <w:spacing w:val="1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2.1.4, 2.1.5, 2.1.6, 2.1.7, 2.1.10, 2.2.1, 2.3.1, 2.3.2, 2.3.3, 2.3.4 и 2.3.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410"/>
        <w:gridCol w:w="709"/>
        <w:gridCol w:w="850"/>
        <w:gridCol w:w="851"/>
        <w:gridCol w:w="850"/>
        <w:gridCol w:w="851"/>
        <w:gridCol w:w="850"/>
        <w:gridCol w:w="1134"/>
      </w:tblGrid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«2.1.4.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полученной технической документации на объекты муниципального имущества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76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КУИ</w:t>
            </w:r>
            <w:r/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2.1.5.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объектов, в отношении которых проведена оценка рыночной стоимости муниципального имущества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61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54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КУИ</w:t>
            </w:r>
            <w:r/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2.1.6.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КУИ</w:t>
            </w:r>
            <w:r/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2.1.7.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отдельно стоящих нежилых зданий, находящихся в муниципальной казне, в которых проведены метрологические услуги по поверке приборов учета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-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КУИ</w:t>
            </w:r>
            <w:r/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2.1.10.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полученных свидетельств о праве на наследство по закону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55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17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исполнителей программы</w:t>
            </w:r>
            <w:r/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2.2.1.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</w:t>
            </w:r>
            <w:r>
              <w:t xml:space="preserve">кадастровый учет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60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КУИ</w:t>
            </w:r>
            <w:r/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2.3.1.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Число граждан, переселенных из аварийных многоквартирных домов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Чел.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4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              ОС и ЖКХ</w:t>
            </w:r>
            <w:r/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2.3.2.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отремонтированных пустующих жилых помещений муниципального жилищного фонда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17</w:t>
            </w:r>
            <w:r>
              <w:t xml:space="preserve">     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14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              ОС и ЖКХ</w:t>
            </w:r>
            <w:r/>
          </w:p>
        </w:tc>
      </w:tr>
      <w:tr>
        <w:tblPrEx/>
        <w:trPr>
          <w:trHeight w:val="3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2.3.3.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семей, улучшивших жилищные условия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14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              ОС и ЖКХ</w:t>
            </w:r>
            <w:r/>
          </w:p>
        </w:tc>
      </w:tr>
      <w:tr>
        <w:tblPrEx/>
        <w:trPr>
          <w:trHeight w:val="3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2.3.4.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обследованных жилых помещений и многоквартирных жилых домов на предмет непригодности для проживания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highlight w:val="yellow"/>
                <w:lang w:val="en-US"/>
              </w:rPr>
            </w:pPr>
            <w:r>
              <w:rPr>
                <w:lang w:val="en-US"/>
              </w:rPr>
              <w:t xml:space="preserve">16</w:t>
            </w:r>
            <w:r>
              <w:rPr>
                <w:highlight w:val="yellow"/>
                <w:lang w:val="en-US"/>
              </w:rPr>
            </w:r>
            <w:r>
              <w:rPr>
                <w:highlight w:val="yellow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Отчеты                 ОС и ЖКХ</w:t>
            </w:r>
            <w:r/>
          </w:p>
        </w:tc>
      </w:tr>
      <w:tr>
        <w:tblPrEx/>
        <w:trPr>
          <w:trHeight w:val="6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2.3.5.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объектов, законченных строительством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-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КУИ</w:t>
            </w:r>
            <w:r>
              <w:t xml:space="preserve">»;</w:t>
            </w:r>
            <w:r/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1 «Управление муниципальным имуществом» </w:t>
      </w:r>
      <w:r>
        <w:rPr>
          <w:sz w:val="24"/>
          <w:szCs w:val="24"/>
        </w:rPr>
        <w:t xml:space="preserve">(далее – Подпрограмма 1)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7087"/>
      </w:tblGrid>
      <w:tr>
        <w:tblPrEx/>
        <w:trPr>
          <w:trHeight w:val="1691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87" w:type="dxa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259 698,5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15378,0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5126,0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5126,0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244320,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91339,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78794,8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185,8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таблицу 1 «Перечень мероприятий подпрограммы с объёмом финансирования» к Подпрограмме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изложить в редакции согласно приложению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таблицу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изложить в редакции согласно приложению № 2 к настоящему постановлению;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 строку «Финансовое обеспечение подпрограммы» в паспорте подпрограммы 2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Управление земельными ресурсами</w:t>
      </w:r>
      <w:r>
        <w:rPr>
          <w:rFonts w:eastAsia="Times New Roman"/>
          <w:sz w:val="24"/>
          <w:szCs w:val="24"/>
        </w:rPr>
        <w:t xml:space="preserve">» </w:t>
      </w:r>
      <w:r>
        <w:rPr>
          <w:sz w:val="24"/>
          <w:szCs w:val="24"/>
        </w:rPr>
        <w:t xml:space="preserve">(далее – Подпрограмма 2)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78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6804"/>
      </w:tblGrid>
      <w:tr>
        <w:tblPrEx/>
        <w:trPr>
          <w:trHeight w:val="1562"/>
        </w:trPr>
        <w:tc>
          <w:tcPr>
            <w:tcW w:w="297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915,8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1915,8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1053,0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431,4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431,4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i/>
                <w:color w:val="0000f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i/>
                <w:color w:val="0000ff"/>
                <w:sz w:val="24"/>
                <w:szCs w:val="24"/>
              </w:rPr>
            </w:r>
            <w:r>
              <w:rPr>
                <w:rFonts w:ascii="Times New Roman" w:hAnsi="Times New Roman"/>
                <w:i/>
                <w:color w:val="0000ff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строки 2.1.1, </w:t>
      </w:r>
      <w:r>
        <w:rPr>
          <w:rFonts w:eastAsia="Times New Roman"/>
          <w:sz w:val="24"/>
          <w:szCs w:val="24"/>
        </w:rPr>
        <w:t xml:space="preserve">«Итого по основному мероприятию 1» и «Всего по подпрограмме 2» таблицы 1 «Перечень мероприятий подпрограммы с объемом финансирования» к Подпрограмме 2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4890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2127"/>
        <w:gridCol w:w="708"/>
        <w:gridCol w:w="9"/>
        <w:gridCol w:w="837"/>
        <w:gridCol w:w="7"/>
        <w:gridCol w:w="985"/>
        <w:gridCol w:w="9"/>
        <w:gridCol w:w="985"/>
        <w:gridCol w:w="7"/>
        <w:gridCol w:w="988"/>
        <w:gridCol w:w="6"/>
        <w:gridCol w:w="992"/>
        <w:gridCol w:w="848"/>
      </w:tblGrid>
      <w:tr>
        <w:tblPrEx/>
        <w:trPr>
          <w:trHeight w:val="273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«2.</w:t>
            </w:r>
            <w:r>
              <w:t xml:space="preserve">1.1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13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землеустроительных и кадастровых работ по формированию и постановке на государственный кадастровый учет земельных участков под объектами муниципальной собственности (казна)</w:t>
            </w:r>
            <w:r/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5</w:t>
            </w:r>
            <w:r>
              <w:rPr>
                <w:color w:val="000000"/>
                <w:spacing w:val="1"/>
              </w:rPr>
              <w:t xml:space="preserve">-202</w:t>
            </w:r>
            <w:r>
              <w:rPr>
                <w:color w:val="000000"/>
                <w:spacing w:val="1"/>
              </w:rPr>
              <w:t xml:space="preserve">7</w:t>
            </w:r>
            <w:r/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1915,8</w:t>
            </w:r>
            <w:r/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1053,0</w:t>
            </w:r>
            <w:r/>
          </w:p>
        </w:tc>
        <w:tc>
          <w:tcPr>
            <w:gridSpan w:val="2"/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431,4</w:t>
            </w:r>
            <w:r/>
          </w:p>
        </w:tc>
        <w:tc>
          <w:tcPr>
            <w:gridSpan w:val="2"/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431,4</w:t>
            </w:r>
            <w:r/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036"/>
        </w:trPr>
        <w:tc>
          <w:tcPr>
            <w:shd w:val="clear" w:color="auto" w:fill="auto"/>
            <w:tcBorders>
              <w:bottom w:val="single" w:color="auto" w:sz="4" w:space="0"/>
            </w:tcBorders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13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78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45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53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5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 </w:t>
            </w:r>
            <w:r>
              <w:rPr>
                <w:b/>
                <w:color w:val="000000"/>
                <w:spacing w:val="1"/>
              </w:rPr>
              <w:t xml:space="preserve">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4"/>
            <w:shd w:val="clear" w:color="auto" w:fill="auto"/>
            <w:tcW w:w="19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4"/>
            <w:shd w:val="clear" w:color="auto" w:fill="auto"/>
            <w:tcW w:w="19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19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45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2.1.1 таблицы 2 «Перечень м</w:t>
      </w:r>
      <w:r>
        <w:rPr>
          <w:sz w:val="24"/>
          <w:szCs w:val="24"/>
        </w:rPr>
        <w:t xml:space="preserve">ероприятий подпрограммы с показателями результативности выполнения мероприятий</w:t>
      </w:r>
      <w:r>
        <w:rPr>
          <w:rFonts w:eastAsia="Times New Roman"/>
          <w:sz w:val="24"/>
          <w:szCs w:val="24"/>
        </w:rPr>
        <w:t xml:space="preserve">» к Подпрограмме 2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701"/>
        <w:gridCol w:w="709"/>
        <w:gridCol w:w="850"/>
        <w:gridCol w:w="851"/>
        <w:gridCol w:w="850"/>
        <w:gridCol w:w="851"/>
      </w:tblGrid>
      <w:tr>
        <w:tblPrEx/>
        <w:trPr>
          <w:trHeight w:val="73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«2.</w:t>
            </w:r>
            <w:r>
              <w:t xml:space="preserve">1.1.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</w:pPr>
            <w:r>
              <w:t xml:space="preserve">Выполнение землеустроительных и кадастровых работ по формированию и постановке на государственный кадастровый учет земельных участков под объектами </w:t>
            </w:r>
            <w:r>
              <w:t xml:space="preserve">муниципальной собственности (казна)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5-2027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полученной технической документации в отношении земельных участков под объектами муниципальной собственности, с </w:t>
            </w:r>
            <w:r>
              <w:t xml:space="preserve">целью постановки на государственный кадастровый учет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Шт.</w:t>
            </w:r>
            <w:r/>
          </w:p>
          <w:p>
            <w:pPr>
              <w:ind w:right="-108"/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60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5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5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3 «Создание безопасных и комфортных условий проживания граждан» </w:t>
      </w:r>
      <w:r>
        <w:rPr>
          <w:sz w:val="24"/>
          <w:szCs w:val="24"/>
        </w:rPr>
        <w:t xml:space="preserve">(далее – Подпрограмма 3)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985"/>
        <w:gridCol w:w="7371"/>
      </w:tblGrid>
      <w:tr>
        <w:tblPrEx/>
        <w:trPr>
          <w:trHeight w:val="556"/>
        </w:trPr>
        <w:tc>
          <w:tcPr>
            <w:tcW w:w="198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371" w:type="dxa"/>
            <w:textDirection w:val="lrTb"/>
            <w:noWrap w:val="false"/>
          </w:tcPr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6 417,3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19967,0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13629,3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6337,7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191993,1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58421,1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3572,0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22490,0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13517,8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972,2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211967,2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211967,2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 строки 3.2.1, 3.2.3, «Итого по основному мероприятию 2» и «Всего по подпрограмме 3» таблицы 1 «Перечень мероприятий подпрограммы с объемом финансирования» к Подпрограмме 3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pPr w:horzAnchor="margin" w:tblpX="74" w:vertAnchor="text" w:tblpY="131" w:leftFromText="180" w:topFromText="0" w:rightFromText="180" w:bottomFromText="0"/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2010"/>
        <w:gridCol w:w="8"/>
        <w:gridCol w:w="708"/>
        <w:gridCol w:w="994"/>
        <w:gridCol w:w="1132"/>
        <w:gridCol w:w="992"/>
        <w:gridCol w:w="992"/>
        <w:gridCol w:w="1035"/>
        <w:gridCol w:w="808"/>
      </w:tblGrid>
      <w:tr>
        <w:tblPrEx/>
        <w:trPr>
          <w:trHeight w:val="95"/>
        </w:trPr>
        <w:tc>
          <w:tcPr>
            <w:shd w:val="clear" w:color="auto" w:fill="auto"/>
            <w:tcW w:w="415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«3.2.1.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066" w:type="pct"/>
            <w:vMerge w:val="restart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Ремонт пустующих жилых помещений муниципального жилищного фонда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</w:t>
            </w:r>
            <w:r>
              <w:rPr>
                <w:lang w:eastAsia="en-US"/>
              </w:rPr>
              <w:t xml:space="preserve">5</w:t>
            </w:r>
            <w:r>
              <w:rPr>
                <w:lang w:eastAsia="en-US"/>
              </w:rPr>
              <w:t xml:space="preserve">-202</w:t>
            </w:r>
            <w:r>
              <w:rPr>
                <w:lang w:eastAsia="en-US"/>
              </w:rPr>
              <w:t xml:space="preserve">6</w:t>
            </w:r>
            <w:bookmarkStart w:id="0" w:name="_GoBack"/>
            <w:r/>
            <w:bookmarkEnd w:id="0"/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ФБ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ОС и ЖКХ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22486,9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13515,8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8971,1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1066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ВБС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bottom w:val="single" w:color="auto" w:sz="4" w:space="0"/>
            </w:tcBorders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1066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22486,9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13515,8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8971,1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47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225"/>
        </w:trPr>
        <w:tc>
          <w:tcPr>
            <w:shd w:val="clear" w:color="auto" w:fill="auto"/>
            <w:tcW w:w="415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t xml:space="preserve">3.2.3.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2" w:type="pct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lang w:eastAsia="en-US"/>
              </w:rPr>
            </w:pPr>
            <w:r>
              <w:t xml:space="preserve">Завершение строительства МКД в г. Заполярный по ул. Ленинградская, в районе дома 4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2025-2026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t xml:space="preserve">КУИ</w:t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181468,7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152299,7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29169,0</w:t>
            </w:r>
            <w:r/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31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122767,2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122767,2</w:t>
            </w:r>
            <w:r/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90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304235,9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275066,9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29169,0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4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258"/>
        </w:trPr>
        <w:tc>
          <w:tcPr>
            <w:gridSpan w:val="4"/>
            <w:shd w:val="clear" w:color="auto" w:fill="auto"/>
            <w:tcW w:w="1855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 по основному 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мероприятию 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</w:t>
            </w:r>
            <w:r>
              <w:rPr>
                <w:b/>
                <w:lang w:eastAsia="en-US"/>
              </w:rPr>
              <w:t xml:space="preserve">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4"/>
            <w:shd w:val="clear" w:color="auto" w:fill="auto"/>
            <w:tcW w:w="1855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181468,7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152299,7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29169,0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59"/>
        </w:trPr>
        <w:tc>
          <w:tcPr>
            <w:gridSpan w:val="4"/>
            <w:shd w:val="clear" w:color="auto" w:fill="auto"/>
            <w:tcW w:w="1855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22486,9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13515,8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8971,1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4"/>
            <w:shd w:val="clear" w:color="auto" w:fill="auto"/>
            <w:tcW w:w="1855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ВБС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122767,2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122767,2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67"/>
        </w:trPr>
        <w:tc>
          <w:tcPr>
            <w:gridSpan w:val="4"/>
            <w:shd w:val="clear" w:color="auto" w:fill="auto"/>
            <w:tcW w:w="1855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326722,8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288582,7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38140,1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gridSpan w:val="4"/>
            <w:shd w:val="clear" w:color="auto" w:fill="auto"/>
            <w:tcW w:w="1855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Всего по подпрограмме 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19967,0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13629,3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6337,7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4"/>
            <w:shd w:val="clear" w:color="auto" w:fill="auto"/>
            <w:tcW w:w="1855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191993,1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158421,1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33572,0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59"/>
        </w:trPr>
        <w:tc>
          <w:tcPr>
            <w:gridSpan w:val="4"/>
            <w:shd w:val="clear" w:color="auto" w:fill="auto"/>
            <w:tcW w:w="1855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22490,0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13517,8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8972,2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4"/>
            <w:shd w:val="clear" w:color="auto" w:fill="auto"/>
            <w:tcW w:w="1855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ВБС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211967,2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211967,2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67"/>
        </w:trPr>
        <w:tc>
          <w:tcPr>
            <w:gridSpan w:val="4"/>
            <w:shd w:val="clear" w:color="auto" w:fill="auto"/>
            <w:tcW w:w="1855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98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446417,3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397535,4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48881,9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47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0,0»;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 таблицу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изложить в редакции согласно приложению №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12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с момента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12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>
        <w:t xml:space="preserve">Лаврущик С.С., 5-05-79</w:t>
      </w:r>
      <w:r/>
    </w:p>
    <w:p>
      <w:pPr>
        <w:jc w:val="center"/>
        <w:widowControl w:val="off"/>
        <w:rPr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425" w:right="850" w:bottom="1134" w:left="1701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Приложение</w:t>
      </w:r>
      <w:r>
        <w:rPr>
          <w:rFonts w:eastAsia="Times New Roman"/>
          <w:sz w:val="24"/>
          <w:szCs w:val="24"/>
          <w:lang w:eastAsia="en-US"/>
        </w:rPr>
        <w:t xml:space="preserve"> № 1</w:t>
      </w:r>
      <w:r>
        <w:rPr>
          <w:rFonts w:eastAsia="Times New Roman"/>
          <w:sz w:val="24"/>
          <w:szCs w:val="24"/>
          <w:lang w:eastAsia="en-US"/>
        </w:rPr>
        <w:t xml:space="preserve"> 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к постановлению администрации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Печенгского муниципального округа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от 02.12.2025 № 2012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«Таблица 1 к подпрограмме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мероприятий подпрограммы с объемом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5181" w:type="pct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78"/>
        <w:gridCol w:w="4969"/>
        <w:gridCol w:w="1324"/>
        <w:gridCol w:w="1317"/>
        <w:gridCol w:w="1317"/>
        <w:gridCol w:w="1314"/>
        <w:gridCol w:w="1172"/>
        <w:gridCol w:w="1178"/>
        <w:gridCol w:w="2030"/>
      </w:tblGrid>
      <w:tr>
        <w:tblPrEx/>
        <w:trPr>
          <w:trHeight w:val="630"/>
        </w:trPr>
        <w:tc>
          <w:tcPr>
            <w:shd w:val="clear" w:color="auto" w:fill="auto"/>
            <w:tcW w:w="28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№ п/п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0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Цели, мероприятия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Срок исполнения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Источники финансирования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4"/>
            <w:shd w:val="clear" w:color="auto" w:fill="auto"/>
            <w:tcW w:w="160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Объем финансирования,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тысяч рублей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5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Исполнители, соисполнители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Всего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28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0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5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1. «Управление муниципальным имуществом»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Цель: Развитие и повышение эффективности управления муниципальным имуществом в Печенгском муниципальном округе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b/>
              </w:rPr>
              <w:t xml:space="preserve">Основное мероприятие 1. Содержание и управление муниципальным имуществом, составляющим муниципальную казну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1.1.1.</w:t>
            </w:r>
            <w:r/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имущества, составляющего муниципальную казну, в том числе ремонт нежилых помещений при возникновении (устранении) аварийных ситуаций; вскрытии; ограничении доступа в помещения</w:t>
            </w:r>
            <w:r/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2994,0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994,0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1000,0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1000,0</w:t>
            </w:r>
            <w:r/>
          </w:p>
        </w:tc>
        <w:tc>
          <w:tcPr>
            <w:shd w:val="clear" w:color="auto" w:fill="auto"/>
            <w:tcW w:w="6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2994,0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994,0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1.1.2.</w:t>
            </w:r>
            <w:r/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коммунальных услуг, в том числе  содержание и текущий ремонт имущества, составляющего муниципальную казну (требование п. 2 ст. 539 ГК РФ, ст. 158 ЖК РФ)</w:t>
            </w:r>
            <w:r/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КУИ; Администрация</w:t>
            </w:r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166398,3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61891,3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51208,0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53299,0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166398,3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61891,3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51208,0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53299,0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1.1.3.</w:t>
            </w:r>
            <w:r/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ежемесячных взносов по капитальному ремонту муниципального жилого и нежилого фонда в части муниципальной собственности</w:t>
            </w:r>
            <w:r/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15378,0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5126,0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5126,0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5126,0</w:t>
            </w:r>
            <w:r/>
          </w:p>
        </w:tc>
        <w:tc>
          <w:tcPr>
            <w:shd w:val="clear" w:color="auto" w:fill="auto"/>
            <w:tcW w:w="6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9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46495,5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18366,1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14064,7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14064,7</w:t>
            </w:r>
            <w:r/>
          </w:p>
        </w:tc>
        <w:tc>
          <w:tcPr>
            <w:shd w:val="clear" w:color="auto" w:fill="auto"/>
            <w:tcW w:w="6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7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61873,5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23492,1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19190,7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19190,7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1.1.4.</w:t>
            </w:r>
            <w:r/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Изготовление технической документации (планов, паспортов и кадастровых паспортов) на объекты муниципального имущества</w:t>
            </w:r>
            <w:r/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3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3804,5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1039,9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1382,3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1382,3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3804,5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1039,9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1382,3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1382,3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1.1.5.</w:t>
            </w:r>
            <w:r/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Проведение оценки рыночной стоимости объектов муниципального имущества </w:t>
            </w:r>
            <w:r/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1066,0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336,0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365,0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365,0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1066,0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1.1.6.</w:t>
            </w:r>
            <w:r/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Проведение дератизации, дезинсекции, дезинфекции подвальных помещений в отдельно стоящих нежилых зданиях, находящихся в муниципальной казне</w:t>
            </w:r>
            <w:r/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28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1.1.7.</w:t>
            </w:r>
            <w:r/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Поверка счетчиков в отдельно стоящих нежилых зданиях, находящихся в муниципальной казне</w:t>
            </w:r>
            <w:r/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4,4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2,2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2,2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1.1.8.</w:t>
            </w:r>
            <w:r/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Обслуживание кровель нежилых отдельно стоящих зданий, находящихся в муниципальной казне</w:t>
            </w:r>
            <w:r/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1.1.9.</w:t>
            </w:r>
            <w:r/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животных, находящихся в муниципальной собственности</w:t>
            </w:r>
            <w:r/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23083,1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8563,7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10609,7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3909,7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23083,1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8563,7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10609,7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1.1.10.</w:t>
            </w:r>
            <w:r/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нотариальных услуг по оформлению выморочного имущества</w:t>
            </w:r>
            <w:r/>
          </w:p>
        </w:tc>
        <w:tc>
          <w:tcPr>
            <w:shd w:val="clear" w:color="auto" w:fill="auto"/>
            <w:tcW w:w="426" w:type="pct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Администрация, юридический отдел</w:t>
            </w:r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296,7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98,9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98,9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98,9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2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296,7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Итого по основному мероприятию 1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15378,0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3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24</w:t>
            </w:r>
            <w:r>
              <w:rPr>
                <w:b/>
                <w:bCs/>
                <w:lang w:val="en-US"/>
              </w:rPr>
              <w:t xml:space="preserve">432</w:t>
            </w:r>
            <w:r>
              <w:rPr>
                <w:b/>
                <w:bCs/>
              </w:rPr>
              <w:t xml:space="preserve">0,5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91339,9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78794,8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74185,8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25</w:t>
            </w:r>
            <w:r>
              <w:rPr>
                <w:b/>
                <w:bCs/>
              </w:rPr>
              <w:t xml:space="preserve">9698,5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96465,9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83920,8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79311,8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15378,0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5126,0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24</w:t>
            </w:r>
            <w:r>
              <w:rPr>
                <w:b/>
                <w:bCs/>
                <w:lang w:val="en-US"/>
              </w:rPr>
              <w:t xml:space="preserve">432</w:t>
            </w:r>
            <w:r>
              <w:rPr>
                <w:b/>
                <w:bCs/>
              </w:rPr>
              <w:t xml:space="preserve">0,5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91339,9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78794,8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74185,8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259698,5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96465,9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83920,8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79311,8</w:t>
            </w:r>
            <w:r>
              <w:rPr>
                <w:b/>
              </w:rPr>
              <w:t xml:space="preserve">».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5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Приложение</w:t>
      </w:r>
      <w:r>
        <w:rPr>
          <w:rFonts w:eastAsia="Times New Roman"/>
          <w:sz w:val="24"/>
          <w:szCs w:val="24"/>
          <w:lang w:eastAsia="en-US"/>
        </w:rPr>
        <w:t xml:space="preserve"> № 2</w:t>
      </w:r>
      <w:r>
        <w:rPr>
          <w:rFonts w:eastAsia="Times New Roman"/>
          <w:sz w:val="24"/>
          <w:szCs w:val="24"/>
          <w:lang w:eastAsia="en-US"/>
        </w:rPr>
        <w:t xml:space="preserve"> 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к постановлению администрации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Печенгского муниципального округа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от 02.12.2025 № 2012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«Таблица 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 к подпрограмме </w:t>
      </w:r>
      <w:r>
        <w:rPr>
          <w:rFonts w:eastAsia="Times New Roman"/>
          <w:sz w:val="24"/>
          <w:szCs w:val="24"/>
        </w:rPr>
        <w:t xml:space="preserve">1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15168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969"/>
        <w:gridCol w:w="1275"/>
        <w:gridCol w:w="3402"/>
        <w:gridCol w:w="851"/>
        <w:gridCol w:w="992"/>
        <w:gridCol w:w="851"/>
        <w:gridCol w:w="141"/>
        <w:gridCol w:w="709"/>
        <w:gridCol w:w="284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п/п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изм.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2693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2025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2027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</w:tr>
      <w:tr>
        <w:tblPrEx/>
        <w:trPr>
          <w:trHeight w:val="319"/>
        </w:trPr>
        <w:tc>
          <w:tcPr>
            <w:gridSpan w:val="11"/>
            <w:shd w:val="clear" w:color="auto" w:fill="auto"/>
            <w:tcW w:w="15168" w:type="dxa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1. «Управление муниципальным имуществом»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11"/>
            <w:shd w:val="clear" w:color="auto" w:fill="auto"/>
            <w:tcW w:w="15168" w:type="dxa"/>
            <w:textDirection w:val="lrTb"/>
            <w:noWrap w:val="false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Цель: Развитие и повышение эффективности управления муниципальным имуществом в Печенгском муниципальном округе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11"/>
            <w:shd w:val="clear" w:color="auto" w:fill="auto"/>
            <w:tcW w:w="15168" w:type="dxa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b/>
              </w:rPr>
              <w:t xml:space="preserve">Основное мероприятие 1. Содержание и управление муниципальным имуществом, составляющим муниципальную казну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9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1.1.1.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</w:pPr>
            <w:r>
              <w:t xml:space="preserve">Ремонт имущества, составляющего муниципальную казну, в том числе ремонт нежилых помещений при возникновении (устранении) аварийных ситуаций; вскрытии; ограничении доступа в помещения</w:t>
            </w:r>
            <w:r/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915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Содержание имущества в надлежащем состоянии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%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1.1.2.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</w:pPr>
            <w:r>
              <w:t xml:space="preserve">Оплата коммунальных услуг, в том числе  содержание и текущий ремонт имущества, составляющего муниципальную казну (требование п. 2 ст. 539 ГК РФ, ст. 158 ЖК РФ)</w:t>
            </w:r>
            <w:r/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</w:pPr>
            <w:r>
              <w:t xml:space="preserve">Своевременная оплата коммунальных услуг, в том числе содержание и текущий ремонт имущества, составляющего муниципальную казну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Да/ нет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КУИ; Администрация</w:t>
            </w:r>
            <w:r/>
          </w:p>
        </w:tc>
      </w:tr>
      <w:tr>
        <w:tblPrEx/>
        <w:trPr>
          <w:trHeight w:val="274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1.1.3.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</w:pPr>
            <w:r>
              <w:t xml:space="preserve">Оплата ежемесячных взносов по капитальному ремонту муниципального жилого и нежилого фонда в части муниципальной собственности</w:t>
            </w:r>
            <w:r/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</w:pPr>
            <w:r>
              <w:t xml:space="preserve">Своевременная оплата ежемесячных взносов по капитальному ремонту муниципального жилого и нежилого фонда в части муниципальной собственности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Да/ нет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739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1.1.4.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</w:pPr>
            <w:r>
              <w:t xml:space="preserve">Изготовление технической документации (планов, паспортов и кадастровых паспортов) на жилые и нежилые помещения</w:t>
            </w:r>
            <w:r/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полученной технической документации на объекты муниципального имущества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76</w:t>
            </w:r>
            <w:r/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1.1.5.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оценки рыночной стоимости движимого и недвижимого имущества (жилые и нежилые помещения)</w:t>
            </w:r>
            <w:r/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объектов, в отношении которых проведена оценка рыночной стоимости муниципального имущества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54</w:t>
            </w:r>
            <w:r/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60</w:t>
            </w:r>
            <w:r/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60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1.1.6.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дератизации, дезинсекции, дезинфекции подвальных помещений в отдельно стоящих нежилых зданиях, находящихся в муниципальной казне</w:t>
            </w:r>
            <w:r/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 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1.1.7.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</w:pPr>
            <w:r>
              <w:t xml:space="preserve">Поверка счетчиков в отдельно стоящих нежилых зданиях, находящихся в муниципальной казне</w:t>
            </w:r>
            <w:r/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отдельно стоящих нежилых зданий, находящихся в муниципальной казне, в которых проведены метрологические услуги по поверке приборов учета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 3</w:t>
            </w:r>
            <w:r/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1.1.8.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</w:pPr>
            <w:r>
              <w:t xml:space="preserve">Обслуживание кровель нежилых отдельно стоящих зданий муниципальной казны </w:t>
            </w:r>
            <w:r/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отдельно стоящих нежилых зданий, находящихся в муниципальной казне, в которых проведены работы по обслуживанию кровель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Ед.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 </w:t>
            </w:r>
            <w:r/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 4</w:t>
            </w:r>
            <w:r/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623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1.1.9.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</w:pPr>
            <w:r>
              <w:t xml:space="preserve">Содержание животных без владельцев, принятых в муниципальную собственность</w:t>
            </w:r>
            <w:r/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животных без владельцев, принятых в муниципальную собственность 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голов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56</w:t>
            </w:r>
            <w:r/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71</w:t>
            </w:r>
            <w:r/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25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623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1.1.10.</w:t>
            </w:r>
            <w:r/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</w:pPr>
            <w:r>
              <w:t xml:space="preserve">Оплата нотариальных услуг по оформлению выморочного имущества</w:t>
            </w:r>
            <w:r/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2025 - 2027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полученных свидетельств о праве на наследство по закону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17</w:t>
            </w:r>
            <w:r/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43</w:t>
            </w:r>
            <w:r/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43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Администрация, юридический отдел</w:t>
            </w:r>
            <w:r>
              <w:t xml:space="preserve">».</w:t>
            </w:r>
            <w:r/>
          </w:p>
        </w:tc>
      </w:tr>
    </w:tbl>
    <w:p>
      <w:pPr>
        <w:jc w:val="center"/>
        <w:tabs>
          <w:tab w:val="left" w:pos="284" w:leader="none"/>
          <w:tab w:val="left" w:pos="1005" w:leader="none"/>
        </w:tabs>
        <w:rPr>
          <w:i/>
          <w:color w:val="0000cc"/>
          <w:sz w:val="18"/>
          <w:szCs w:val="18"/>
        </w:rPr>
      </w:pPr>
      <w:r>
        <w:rPr>
          <w:i/>
          <w:color w:val="0000cc"/>
          <w:sz w:val="18"/>
          <w:szCs w:val="18"/>
        </w:rPr>
      </w:r>
      <w:r>
        <w:rPr>
          <w:i/>
          <w:color w:val="0000cc"/>
          <w:sz w:val="18"/>
          <w:szCs w:val="18"/>
        </w:rPr>
      </w:r>
      <w:r>
        <w:rPr>
          <w:i/>
          <w:color w:val="0000cc"/>
          <w:sz w:val="18"/>
          <w:szCs w:val="18"/>
        </w:rPr>
      </w:r>
    </w:p>
    <w:p>
      <w:pPr>
        <w:jc w:val="center"/>
        <w:tabs>
          <w:tab w:val="left" w:pos="284" w:leader="none"/>
          <w:tab w:val="left" w:pos="1005" w:leader="none"/>
        </w:tabs>
        <w:rPr>
          <w:i/>
          <w:color w:val="0000cc"/>
          <w:sz w:val="18"/>
          <w:szCs w:val="18"/>
        </w:rPr>
      </w:pPr>
      <w:r>
        <w:rPr>
          <w:i/>
          <w:color w:val="0000cc"/>
          <w:sz w:val="18"/>
          <w:szCs w:val="18"/>
        </w:rPr>
      </w:r>
      <w:r>
        <w:rPr>
          <w:i/>
          <w:color w:val="0000cc"/>
          <w:sz w:val="18"/>
          <w:szCs w:val="18"/>
        </w:rPr>
      </w:r>
      <w:r>
        <w:rPr>
          <w:i/>
          <w:color w:val="0000cc"/>
          <w:sz w:val="18"/>
          <w:szCs w:val="1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Приложение</w:t>
      </w:r>
      <w:r>
        <w:rPr>
          <w:rFonts w:eastAsia="Times New Roman"/>
          <w:sz w:val="24"/>
          <w:szCs w:val="24"/>
          <w:lang w:eastAsia="en-US"/>
        </w:rPr>
        <w:t xml:space="preserve"> № 3</w:t>
      </w:r>
      <w:r>
        <w:rPr>
          <w:rFonts w:eastAsia="Times New Roman"/>
          <w:sz w:val="24"/>
          <w:szCs w:val="24"/>
          <w:lang w:eastAsia="en-US"/>
        </w:rPr>
        <w:t xml:space="preserve"> 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к постановлению администрации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  <w:tab w:val="left" w:pos="11624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Печенгского муниципального округа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10773"/>
        <w:tabs>
          <w:tab w:val="left" w:pos="993" w:leader="none"/>
        </w:tabs>
        <w:rPr>
          <w:rFonts w:eastAsia="Times New Roman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eastAsia="Times New Roman"/>
          <w:sz w:val="24"/>
          <w:szCs w:val="24"/>
          <w:lang w:eastAsia="en-US"/>
        </w:rPr>
        <w:t xml:space="preserve">от 02.12.2025 № 2012</w:t>
      </w:r>
      <w:r>
        <w:rPr>
          <w:rFonts w:eastAsia="Times New Roman"/>
          <w:sz w:val="24"/>
          <w:szCs w:val="24"/>
          <w:lang w:eastAsia="en-US"/>
        </w:rPr>
      </w:r>
      <w:r>
        <w:rPr>
          <w:rFonts w:eastAsia="Times New Roman"/>
          <w:sz w:val="24"/>
          <w:szCs w:val="24"/>
          <w:lang w:eastAsia="en-US"/>
        </w:rPr>
      </w:r>
    </w:p>
    <w:p>
      <w:pPr>
        <w:ind w:left="9639"/>
        <w:jc w:val="right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9639"/>
        <w:jc w:val="center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«Таблица 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 к подпрограмме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15026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1276"/>
        <w:gridCol w:w="3260"/>
        <w:gridCol w:w="709"/>
        <w:gridCol w:w="1134"/>
        <w:gridCol w:w="1134"/>
        <w:gridCol w:w="1134"/>
        <w:gridCol w:w="2126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п/п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Ед.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изм.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2025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2026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2027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915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</w:tr>
      <w:tr>
        <w:tblPrEx/>
        <w:trPr>
          <w:trHeight w:val="216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Подпрограмма 3. «Создание безопасных и комфортных условий проживания граждан»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33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Обеспечение безопасным и благоустроенным жильем граждан, нуждающихся в улучшении жилищных условий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2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Переселение граждан из многоквартирных домов, признанных в установленном порядке аварийными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784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3.1.1.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переселения граждан из аварийных многоквартирных домов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2025 - 2027</w:t>
            </w:r>
            <w:r/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pStyle w:val="915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/>
                <w:b w:val="0"/>
              </w:rPr>
              <w:t xml:space="preserve">Количество граждан, переселенных из аварийных многоквартирных домов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чел.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/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2. Обеспечение благоустроенным жильем граждан, нуждающихся в улучшении жилищных условий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265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3.2.1.</w:t>
            </w:r>
            <w:r/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пустующих жилых помещений муниципального жилищного фонда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2025 - 2026</w:t>
            </w:r>
            <w:r/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отремонтированных пустующих жилых помещений муниципального жилищного фонда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14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                                 </w:t>
            </w:r>
            <w:r/>
          </w:p>
        </w:tc>
      </w:tr>
      <w:tr>
        <w:tblPrEx/>
        <w:trPr>
          <w:trHeight w:val="550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семей, улучшивших жилищные условия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ед.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14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                                   </w:t>
            </w:r>
            <w:r/>
          </w:p>
        </w:tc>
      </w:tr>
      <w:tr>
        <w:tblPrEx/>
        <w:trPr>
          <w:trHeight w:val="550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3.2.2.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</w:pPr>
            <w:r>
              <w:t xml:space="preserve">Обследование жилых помещений и многоквартирных жилых домов на предмет непригодности для проживания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2025 - 2027</w:t>
            </w:r>
            <w:r/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обследованных жилых помещений и многоквартирных жилых домов на предмет непригодности для проживания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16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550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3.2.3.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r>
              <w:t xml:space="preserve">Завершение строительства МКД в г. Заполярный по ул. Ленинградская, в районе дома 4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объектов, завершенных строительством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 </w:t>
            </w: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215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3. Снос жилых домов и объектов незавершенного строительства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781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3.3.1.</w:t>
            </w:r>
            <w:r/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Разработка проектов органи</w:t>
            </w:r>
            <w:r>
              <w:t xml:space="preserve">зации  демонтажа и демонтаж (снос) многоквартирных домов, выведенных из состава жилого фонда и непригодных для проживания, в рамках плана социального развития центров экономического роста субъектов Российской Федерации Арктической зоны Российской Федерации</w:t>
            </w:r>
            <w:r/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2025 - 2026</w:t>
            </w:r>
            <w:r/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разработанных проектов организации демонтажа многоквартирных домов, выведенных из состава жилого фонда и непригодных для проживания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</w:t>
            </w:r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76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демонтированных (снесенных) многоквартирных домов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894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3.3.2.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</w:pPr>
            <w:r>
              <w:t xml:space="preserve">Снос жилых домов и объектов незавершенного строительства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снесенных жилых домов и объектов незавершенного строительства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ЖКХ;                               АНО «Центр социальных проектов Печенгского района «Вторая школа»</w:t>
            </w:r>
            <w:r>
              <w:t xml:space="preserve">».</w:t>
            </w:r>
            <w:r/>
          </w:p>
        </w:tc>
      </w:tr>
    </w:tbl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962" w:bottom="851" w:left="1134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3">
    <w:name w:val="Plain Table 1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2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6">
    <w:name w:val="Plain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Plain Table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8">
    <w:name w:val="Grid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2">
    <w:name w:val="Grid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3">
    <w:name w:val="Grid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4">
    <w:name w:val="Grid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List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List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7">
    <w:name w:val="List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List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List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0">
    <w:name w:val="List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1">
    <w:name w:val="List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2" w:default="1">
    <w:name w:val="Normal"/>
    <w:qFormat/>
    <w:rPr>
      <w:rFonts w:eastAsia="Calibri"/>
    </w:rPr>
  </w:style>
  <w:style w:type="paragraph" w:styleId="693">
    <w:name w:val="Heading 1"/>
    <w:basedOn w:val="692"/>
    <w:next w:val="692"/>
    <w:link w:val="7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4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table" w:styleId="705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4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5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6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7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9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2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3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4" w:customStyle="1">
    <w:name w:val="Heading 1 Char"/>
    <w:basedOn w:val="702"/>
    <w:uiPriority w:val="9"/>
    <w:rPr>
      <w:rFonts w:ascii="Arial" w:hAnsi="Arial" w:eastAsia="Arial" w:cs="Arial"/>
      <w:sz w:val="40"/>
      <w:szCs w:val="40"/>
    </w:rPr>
  </w:style>
  <w:style w:type="character" w:styleId="725" w:customStyle="1">
    <w:name w:val="Heading 2 Char"/>
    <w:basedOn w:val="702"/>
    <w:uiPriority w:val="9"/>
    <w:rPr>
      <w:rFonts w:ascii="Arial" w:hAnsi="Arial" w:eastAsia="Arial" w:cs="Arial"/>
      <w:sz w:val="34"/>
    </w:rPr>
  </w:style>
  <w:style w:type="character" w:styleId="726" w:customStyle="1">
    <w:name w:val="Heading 3 Char"/>
    <w:basedOn w:val="702"/>
    <w:uiPriority w:val="9"/>
    <w:rPr>
      <w:rFonts w:ascii="Arial" w:hAnsi="Arial" w:eastAsia="Arial" w:cs="Arial"/>
      <w:sz w:val="30"/>
      <w:szCs w:val="30"/>
    </w:rPr>
  </w:style>
  <w:style w:type="character" w:styleId="727" w:customStyle="1">
    <w:name w:val="Heading 4 Char"/>
    <w:basedOn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Heading 5 Char"/>
    <w:basedOn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29" w:customStyle="1">
    <w:name w:val="Heading 6 Char"/>
    <w:basedOn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30" w:customStyle="1">
    <w:name w:val="Heading 7 Char"/>
    <w:basedOn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8 Char"/>
    <w:basedOn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732" w:customStyle="1">
    <w:name w:val="Heading 9 Char"/>
    <w:basedOn w:val="702"/>
    <w:uiPriority w:val="9"/>
    <w:rPr>
      <w:rFonts w:ascii="Arial" w:hAnsi="Arial" w:eastAsia="Arial" w:cs="Arial"/>
      <w:i/>
      <w:iCs/>
      <w:sz w:val="21"/>
      <w:szCs w:val="21"/>
    </w:rPr>
  </w:style>
  <w:style w:type="character" w:styleId="733" w:customStyle="1">
    <w:name w:val="Title Char"/>
    <w:basedOn w:val="702"/>
    <w:uiPriority w:val="10"/>
    <w:rPr>
      <w:sz w:val="48"/>
      <w:szCs w:val="48"/>
    </w:rPr>
  </w:style>
  <w:style w:type="character" w:styleId="734" w:customStyle="1">
    <w:name w:val="Subtitle Char"/>
    <w:basedOn w:val="702"/>
    <w:uiPriority w:val="11"/>
    <w:rPr>
      <w:sz w:val="24"/>
      <w:szCs w:val="24"/>
    </w:rPr>
  </w:style>
  <w:style w:type="character" w:styleId="735" w:customStyle="1">
    <w:name w:val="Quote Char"/>
    <w:uiPriority w:val="29"/>
    <w:rPr>
      <w:i/>
    </w:rPr>
  </w:style>
  <w:style w:type="character" w:styleId="736" w:customStyle="1">
    <w:name w:val="Intense Quote Char"/>
    <w:uiPriority w:val="30"/>
    <w:rPr>
      <w:i/>
    </w:rPr>
  </w:style>
  <w:style w:type="character" w:styleId="737" w:customStyle="1">
    <w:name w:val="Footnote Text Char"/>
    <w:uiPriority w:val="99"/>
    <w:rPr>
      <w:sz w:val="18"/>
    </w:rPr>
  </w:style>
  <w:style w:type="character" w:styleId="738" w:customStyle="1">
    <w:name w:val="Endnote Text Char"/>
    <w:uiPriority w:val="99"/>
    <w:rPr>
      <w:sz w:val="20"/>
    </w:rPr>
  </w:style>
  <w:style w:type="character" w:styleId="739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40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41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42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43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44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45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6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47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48">
    <w:name w:val="Title"/>
    <w:basedOn w:val="692"/>
    <w:next w:val="692"/>
    <w:link w:val="74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9" w:customStyle="1">
    <w:name w:val="Заголовок Знак"/>
    <w:basedOn w:val="702"/>
    <w:link w:val="748"/>
    <w:uiPriority w:val="10"/>
    <w:rPr>
      <w:sz w:val="48"/>
      <w:szCs w:val="48"/>
    </w:rPr>
  </w:style>
  <w:style w:type="paragraph" w:styleId="750">
    <w:name w:val="Subtitle"/>
    <w:basedOn w:val="692"/>
    <w:next w:val="692"/>
    <w:link w:val="751"/>
    <w:uiPriority w:val="11"/>
    <w:qFormat/>
    <w:pPr>
      <w:spacing w:before="200" w:after="200"/>
    </w:pPr>
    <w:rPr>
      <w:sz w:val="24"/>
      <w:szCs w:val="24"/>
    </w:rPr>
  </w:style>
  <w:style w:type="character" w:styleId="751" w:customStyle="1">
    <w:name w:val="Подзаголовок Знак"/>
    <w:basedOn w:val="702"/>
    <w:link w:val="750"/>
    <w:uiPriority w:val="11"/>
    <w:rPr>
      <w:sz w:val="24"/>
      <w:szCs w:val="24"/>
    </w:rPr>
  </w:style>
  <w:style w:type="paragraph" w:styleId="752">
    <w:name w:val="Quote"/>
    <w:basedOn w:val="692"/>
    <w:next w:val="692"/>
    <w:link w:val="753"/>
    <w:uiPriority w:val="29"/>
    <w:qFormat/>
    <w:pPr>
      <w:ind w:left="720" w:right="720"/>
    </w:pPr>
    <w:rPr>
      <w:i/>
    </w:rPr>
  </w:style>
  <w:style w:type="character" w:styleId="753" w:customStyle="1">
    <w:name w:val="Цитата 2 Знак"/>
    <w:link w:val="752"/>
    <w:uiPriority w:val="29"/>
    <w:rPr>
      <w:i/>
    </w:rPr>
  </w:style>
  <w:style w:type="paragraph" w:styleId="754">
    <w:name w:val="Intense Quote"/>
    <w:basedOn w:val="692"/>
    <w:next w:val="692"/>
    <w:link w:val="75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5" w:customStyle="1">
    <w:name w:val="Выделенная цитата Знак"/>
    <w:link w:val="754"/>
    <w:uiPriority w:val="30"/>
    <w:rPr>
      <w:i/>
    </w:rPr>
  </w:style>
  <w:style w:type="character" w:styleId="756" w:customStyle="1">
    <w:name w:val="Header Char"/>
    <w:basedOn w:val="702"/>
    <w:uiPriority w:val="99"/>
  </w:style>
  <w:style w:type="character" w:styleId="757" w:customStyle="1">
    <w:name w:val="Footer Char"/>
    <w:basedOn w:val="702"/>
    <w:uiPriority w:val="99"/>
  </w:style>
  <w:style w:type="paragraph" w:styleId="758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9" w:customStyle="1">
    <w:name w:val="Caption Char"/>
    <w:uiPriority w:val="99"/>
  </w:style>
  <w:style w:type="table" w:styleId="760" w:customStyle="1">
    <w:name w:val="Table Grid Light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1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4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6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8" w:customStyle="1">
    <w:name w:val="Grid Table 4 - Accent 1"/>
    <w:basedOn w:val="70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9" w:customStyle="1">
    <w:name w:val="Grid Table 4 - Accent 2"/>
    <w:basedOn w:val="70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0" w:customStyle="1">
    <w:name w:val="Grid Table 4 - Accent 3"/>
    <w:basedOn w:val="70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1" w:customStyle="1">
    <w:name w:val="Grid Table 4 - Accent 4"/>
    <w:basedOn w:val="70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2" w:customStyle="1">
    <w:name w:val="Grid Table 4 - Accent 5"/>
    <w:basedOn w:val="70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3" w:customStyle="1">
    <w:name w:val="Grid Table 4 - Accent 6"/>
    <w:basedOn w:val="70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4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- Accent 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2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3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- Accent 4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5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6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Grid Table 6 Colorful - Accent 1"/>
    <w:basedOn w:val="70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3" w:customStyle="1">
    <w:name w:val="Grid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4" w:customStyle="1">
    <w:name w:val="Grid Table 6 Colorful - Accent 3"/>
    <w:basedOn w:val="70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5" w:customStyle="1">
    <w:name w:val="Grid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6" w:customStyle="1">
    <w:name w:val="Grid Table 6 Colorful - Accent 5"/>
    <w:basedOn w:val="70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7" w:customStyle="1">
    <w:name w:val="Grid Table 6 Colorful - Accent 6"/>
    <w:basedOn w:val="70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8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1"/>
    <w:basedOn w:val="70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Grid Table 7 Colorful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Grid Table 7 Colorful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5"/>
    <w:basedOn w:val="70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6"/>
    <w:basedOn w:val="70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1"/>
    <w:basedOn w:val="70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2"/>
    <w:basedOn w:val="70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3"/>
    <w:basedOn w:val="70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4"/>
    <w:basedOn w:val="70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5"/>
    <w:basedOn w:val="70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6"/>
    <w:basedOn w:val="70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9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1"/>
    <w:basedOn w:val="70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1" w:customStyle="1">
    <w:name w:val="List Table 6 Colorful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2" w:customStyle="1">
    <w:name w:val="List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3" w:customStyle="1">
    <w:name w:val="List Table 6 Colorful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4" w:customStyle="1">
    <w:name w:val="List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5" w:customStyle="1">
    <w:name w:val="List Table 6 Colorful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6" w:customStyle="1">
    <w:name w:val="List Table 6 Colorful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7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1"/>
    <w:basedOn w:val="70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st Table 7 Colorful - Accent 2"/>
    <w:basedOn w:val="70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3"/>
    <w:basedOn w:val="70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st Table 7 Colorful - Accent 4"/>
    <w:basedOn w:val="70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5"/>
    <w:basedOn w:val="70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6"/>
    <w:basedOn w:val="70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ned - Accent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5" w:customStyle="1">
    <w:name w:val="Lined - Accent 1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6" w:customStyle="1">
    <w:name w:val="Lined - Accent 2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7" w:customStyle="1">
    <w:name w:val="Lined - Accent 3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8" w:customStyle="1">
    <w:name w:val="Lined - Accent 4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9" w:customStyle="1">
    <w:name w:val="Lined - Accent 5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0" w:customStyle="1">
    <w:name w:val="Lined - Accent 6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1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2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3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4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5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6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7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8" w:customStyle="1">
    <w:name w:val="Bordered"/>
    <w:basedOn w:val="70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9" w:customStyle="1">
    <w:name w:val="Bordered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0" w:customStyle="1">
    <w:name w:val="Bordered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1" w:customStyle="1">
    <w:name w:val="Bordered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2" w:customStyle="1">
    <w:name w:val="Bordered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3" w:customStyle="1">
    <w:name w:val="Bordered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4" w:customStyle="1">
    <w:name w:val="Bordered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5">
    <w:name w:val="Hyperlink"/>
    <w:uiPriority w:val="99"/>
    <w:unhideWhenUsed/>
    <w:rPr>
      <w:color w:val="0000ff" w:themeColor="hyperlink"/>
      <w:u w:val="single"/>
    </w:rPr>
  </w:style>
  <w:style w:type="paragraph" w:styleId="886">
    <w:name w:val="footnote text"/>
    <w:basedOn w:val="692"/>
    <w:link w:val="887"/>
    <w:uiPriority w:val="99"/>
    <w:semiHidden/>
    <w:unhideWhenUsed/>
    <w:pPr>
      <w:spacing w:after="40"/>
    </w:pPr>
    <w:rPr>
      <w:sz w:val="18"/>
    </w:rPr>
  </w:style>
  <w:style w:type="character" w:styleId="887" w:customStyle="1">
    <w:name w:val="Текст сноски Знак"/>
    <w:link w:val="886"/>
    <w:uiPriority w:val="99"/>
    <w:rPr>
      <w:sz w:val="18"/>
    </w:rPr>
  </w:style>
  <w:style w:type="character" w:styleId="888">
    <w:name w:val="footnote reference"/>
    <w:basedOn w:val="702"/>
    <w:uiPriority w:val="99"/>
    <w:unhideWhenUsed/>
    <w:rPr>
      <w:vertAlign w:val="superscript"/>
    </w:rPr>
  </w:style>
  <w:style w:type="paragraph" w:styleId="889">
    <w:name w:val="endnote text"/>
    <w:basedOn w:val="692"/>
    <w:link w:val="890"/>
    <w:uiPriority w:val="99"/>
    <w:semiHidden/>
    <w:unhideWhenUsed/>
  </w:style>
  <w:style w:type="character" w:styleId="890" w:customStyle="1">
    <w:name w:val="Текст концевой сноски Знак"/>
    <w:link w:val="889"/>
    <w:uiPriority w:val="99"/>
    <w:rPr>
      <w:sz w:val="20"/>
    </w:rPr>
  </w:style>
  <w:style w:type="character" w:styleId="891">
    <w:name w:val="endnote reference"/>
    <w:basedOn w:val="702"/>
    <w:uiPriority w:val="99"/>
    <w:semiHidden/>
    <w:unhideWhenUsed/>
    <w:rPr>
      <w:vertAlign w:val="superscript"/>
    </w:rPr>
  </w:style>
  <w:style w:type="paragraph" w:styleId="892">
    <w:name w:val="toc 1"/>
    <w:basedOn w:val="692"/>
    <w:next w:val="692"/>
    <w:uiPriority w:val="39"/>
    <w:unhideWhenUsed/>
    <w:pPr>
      <w:spacing w:after="57"/>
    </w:pPr>
  </w:style>
  <w:style w:type="paragraph" w:styleId="893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94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95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96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97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98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99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900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901">
    <w:name w:val="TOC Heading"/>
    <w:uiPriority w:val="39"/>
    <w:unhideWhenUsed/>
  </w:style>
  <w:style w:type="paragraph" w:styleId="902">
    <w:name w:val="table of figures"/>
    <w:basedOn w:val="692"/>
    <w:next w:val="692"/>
    <w:uiPriority w:val="99"/>
    <w:unhideWhenUsed/>
  </w:style>
  <w:style w:type="paragraph" w:styleId="903">
    <w:name w:val="Normal (Web)"/>
    <w:basedOn w:val="692"/>
    <w:semiHidden/>
    <w:pPr>
      <w:spacing w:before="100" w:beforeAutospacing="1" w:after="100" w:afterAutospacing="1"/>
    </w:pPr>
    <w:rPr>
      <w:sz w:val="24"/>
      <w:szCs w:val="24"/>
    </w:rPr>
  </w:style>
  <w:style w:type="paragraph" w:styleId="904" w:customStyle="1">
    <w:name w:val="Абзац списка1"/>
    <w:basedOn w:val="69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05">
    <w:name w:val="Balloon Text"/>
    <w:basedOn w:val="692"/>
    <w:link w:val="906"/>
    <w:rPr>
      <w:rFonts w:ascii="Calibri" w:hAnsi="Calibri"/>
      <w:sz w:val="16"/>
      <w:szCs w:val="16"/>
    </w:rPr>
  </w:style>
  <w:style w:type="character" w:styleId="906" w:customStyle="1">
    <w:name w:val="Текст выноски Знак"/>
    <w:link w:val="905"/>
    <w:rPr>
      <w:rFonts w:ascii="Calibri" w:hAnsi="Calibri" w:eastAsia="Calibri"/>
      <w:sz w:val="16"/>
      <w:szCs w:val="16"/>
    </w:rPr>
  </w:style>
  <w:style w:type="paragraph" w:styleId="907">
    <w:name w:val="Header"/>
    <w:basedOn w:val="692"/>
    <w:link w:val="908"/>
    <w:pPr>
      <w:tabs>
        <w:tab w:val="center" w:pos="4677" w:leader="none"/>
        <w:tab w:val="right" w:pos="9355" w:leader="none"/>
      </w:tabs>
    </w:pPr>
  </w:style>
  <w:style w:type="character" w:styleId="908" w:customStyle="1">
    <w:name w:val="Верхний колонтитул Знак"/>
    <w:link w:val="907"/>
    <w:rPr>
      <w:rFonts w:eastAsia="Calibri"/>
    </w:rPr>
  </w:style>
  <w:style w:type="paragraph" w:styleId="909">
    <w:name w:val="Footer"/>
    <w:basedOn w:val="692"/>
    <w:link w:val="910"/>
    <w:pPr>
      <w:tabs>
        <w:tab w:val="center" w:pos="4677" w:leader="none"/>
        <w:tab w:val="right" w:pos="9355" w:leader="none"/>
      </w:tabs>
    </w:pPr>
  </w:style>
  <w:style w:type="character" w:styleId="910" w:customStyle="1">
    <w:name w:val="Нижний колонтитул Знак"/>
    <w:link w:val="909"/>
    <w:rPr>
      <w:rFonts w:eastAsia="Calibri"/>
    </w:rPr>
  </w:style>
  <w:style w:type="table" w:styleId="911">
    <w:name w:val="Table Grid"/>
    <w:basedOn w:val="70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2">
    <w:name w:val="List Paragraph"/>
    <w:basedOn w:val="692"/>
    <w:link w:val="916"/>
    <w:uiPriority w:val="99"/>
    <w:qFormat/>
    <w:pPr>
      <w:contextualSpacing/>
      <w:ind w:left="720"/>
    </w:pPr>
  </w:style>
  <w:style w:type="paragraph" w:styleId="913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14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915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916" w:customStyle="1">
    <w:name w:val="Абзац списка Знак"/>
    <w:link w:val="912"/>
    <w:uiPriority w:val="99"/>
    <w:rPr>
      <w:rFonts w:eastAsia="Calibri"/>
    </w:rPr>
  </w:style>
  <w:style w:type="character" w:styleId="917" w:customStyle="1">
    <w:name w:val="Основной текст_"/>
    <w:link w:val="918"/>
    <w:rPr>
      <w:spacing w:val="-1"/>
      <w:sz w:val="26"/>
      <w:szCs w:val="26"/>
      <w:shd w:val="clear" w:color="auto" w:fill="ffffff"/>
    </w:rPr>
  </w:style>
  <w:style w:type="paragraph" w:styleId="918" w:customStyle="1">
    <w:name w:val="Основной текст2"/>
    <w:basedOn w:val="692"/>
    <w:link w:val="917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919">
    <w:name w:val="Body Text 2"/>
    <w:basedOn w:val="692"/>
    <w:link w:val="920"/>
    <w:pPr>
      <w:jc w:val="both"/>
    </w:pPr>
    <w:rPr>
      <w:rFonts w:eastAsia="Times New Roman"/>
      <w:b/>
      <w:bCs/>
      <w:sz w:val="24"/>
      <w:lang w:eastAsia="fi-FI"/>
    </w:rPr>
  </w:style>
  <w:style w:type="character" w:styleId="920" w:customStyle="1">
    <w:name w:val="Основной текст 2 Знак"/>
    <w:basedOn w:val="702"/>
    <w:link w:val="919"/>
    <w:rPr>
      <w:b/>
      <w:bCs/>
      <w:sz w:val="24"/>
      <w:lang w:eastAsia="fi-FI"/>
    </w:rPr>
  </w:style>
  <w:style w:type="table" w:styleId="921" w:customStyle="1">
    <w:name w:val="Сетка таблицы2"/>
    <w:basedOn w:val="703"/>
    <w:next w:val="911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DCC3E4-898A-47A3-8428-595CC352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revision>20</cp:revision>
  <dcterms:created xsi:type="dcterms:W3CDTF">2025-12-03T09:58:00Z</dcterms:created>
  <dcterms:modified xsi:type="dcterms:W3CDTF">2025-12-19T09:26:21Z</dcterms:modified>
</cp:coreProperties>
</file>