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</w:t>
      </w:r>
      <w:r>
        <w:rPr>
          <w:b/>
          <w:color w:val="000000"/>
          <w:sz w:val="24"/>
        </w:rPr>
        <w:t xml:space="preserve">т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 xml:space="preserve">02.12.2025</w:t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</w:t>
      </w:r>
      <w:r>
        <w:rPr>
          <w:b/>
          <w:color w:val="000000"/>
          <w:sz w:val="24"/>
        </w:rPr>
        <w:t xml:space="preserve">  </w:t>
      </w:r>
      <w:r>
        <w:rPr>
          <w:b/>
          <w:color w:val="000000"/>
          <w:sz w:val="24"/>
        </w:rPr>
        <w:t xml:space="preserve">                    </w:t>
      </w:r>
      <w:r>
        <w:rPr>
          <w:b/>
          <w:color w:val="000000"/>
          <w:sz w:val="24"/>
        </w:rPr>
        <w:t xml:space="preserve">№</w:t>
      </w:r>
      <w:r>
        <w:rPr>
          <w:b/>
          <w:color w:val="000000"/>
          <w:sz w:val="24"/>
        </w:rPr>
        <w:t xml:space="preserve"> 2011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О внесении изменений в муниципальную программу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Печенгского</w:t>
      </w:r>
      <w:r>
        <w:rPr>
          <w:b/>
          <w:szCs w:val="24"/>
        </w:rPr>
        <w:t xml:space="preserve"> муниципального округа 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center"/>
        <w:rPr>
          <w:b/>
          <w:szCs w:val="24"/>
        </w:rPr>
      </w:pPr>
      <w:r>
        <w:rPr>
          <w:b/>
          <w:szCs w:val="24"/>
        </w:rPr>
        <w:t xml:space="preserve">«Молодежная политика</w:t>
      </w:r>
      <w:r>
        <w:rPr>
          <w:b/>
          <w:szCs w:val="24"/>
        </w:rPr>
        <w:t xml:space="preserve"> и взаимодействие с общественными организациями в </w:t>
      </w:r>
      <w:r>
        <w:rPr>
          <w:b/>
          <w:szCs w:val="24"/>
        </w:rPr>
        <w:t xml:space="preserve">Печенгском</w:t>
      </w:r>
      <w:r>
        <w:rPr>
          <w:b/>
          <w:szCs w:val="24"/>
        </w:rPr>
        <w:t xml:space="preserve"> муниципальном округе</w:t>
      </w:r>
      <w:r>
        <w:rPr>
          <w:b/>
          <w:szCs w:val="24"/>
        </w:rPr>
        <w:t xml:space="preserve">»</w:t>
      </w:r>
      <w:r>
        <w:rPr>
          <w:b/>
          <w:szCs w:val="24"/>
        </w:rPr>
        <w:t xml:space="preserve"> на 2025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– 2027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годы</w:t>
      </w:r>
      <w:r>
        <w:rPr>
          <w:b/>
          <w:szCs w:val="24"/>
        </w:rPr>
        <w:t xml:space="preserve">, утвержденную постановлением </w:t>
      </w:r>
      <w:r>
        <w:rPr>
          <w:b/>
          <w:szCs w:val="24"/>
        </w:rPr>
        <w:br/>
      </w:r>
      <w:r>
        <w:rPr>
          <w:b/>
          <w:szCs w:val="24"/>
        </w:rPr>
        <w:t xml:space="preserve">администрации Печенгского мун</w:t>
      </w:r>
      <w:r>
        <w:rPr>
          <w:b/>
          <w:szCs w:val="24"/>
        </w:rPr>
        <w:t xml:space="preserve">иципального округа от 01.11.2024</w:t>
      </w:r>
      <w:r>
        <w:rPr>
          <w:b/>
          <w:szCs w:val="24"/>
        </w:rPr>
        <w:t xml:space="preserve"> №</w:t>
      </w:r>
      <w:r>
        <w:rPr>
          <w:b/>
          <w:szCs w:val="24"/>
        </w:rPr>
        <w:t xml:space="preserve"> </w:t>
      </w:r>
      <w:r>
        <w:rPr>
          <w:b/>
          <w:szCs w:val="24"/>
        </w:rPr>
        <w:t xml:space="preserve">1</w:t>
      </w:r>
      <w:r>
        <w:rPr>
          <w:b/>
          <w:szCs w:val="24"/>
        </w:rPr>
        <w:t xml:space="preserve">710</w:t>
      </w:r>
      <w:r>
        <w:rPr>
          <w:b/>
          <w:szCs w:val="24"/>
        </w:rPr>
      </w:r>
      <w:r>
        <w:rPr>
          <w:b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9"/>
        <w:jc w:val="both"/>
        <w:widowControl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Руководствуясь статьей 179 Бюджетного кодекса Российской Федерации, Порядком разработ</w:t>
      </w:r>
      <w:r>
        <w:rPr>
          <w:color w:val="000000"/>
          <w:sz w:val="24"/>
          <w:szCs w:val="24"/>
        </w:rPr>
        <w:t xml:space="preserve">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№ 838, в целях повышения эффективности использования бюджетных средств</w:t>
      </w:r>
      <w:r>
        <w:rPr>
          <w:color w:val="000000"/>
          <w:sz w:val="24"/>
          <w:szCs w:val="24"/>
        </w:rPr>
        <w:t xml:space="preserve">,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widowControl/>
        <w:rPr>
          <w:rFonts w:eastAsia="Calibri"/>
          <w:b/>
          <w:bCs/>
          <w:sz w:val="24"/>
          <w:szCs w:val="24"/>
        </w:rPr>
      </w:pPr>
      <w:r>
        <w:rPr>
          <w:rFonts w:eastAsia="Calibri"/>
          <w:b/>
          <w:bCs/>
          <w:sz w:val="24"/>
          <w:szCs w:val="24"/>
        </w:rPr>
        <w:t xml:space="preserve">ПОСТАНОВЛЯЮ:</w:t>
      </w:r>
      <w:r>
        <w:rPr>
          <w:rFonts w:eastAsia="Calibri"/>
          <w:b/>
          <w:bCs/>
          <w:sz w:val="24"/>
          <w:szCs w:val="24"/>
        </w:rPr>
      </w:r>
      <w:r>
        <w:rPr>
          <w:rFonts w:eastAsia="Calibri"/>
          <w:b/>
          <w:bCs/>
          <w:sz w:val="24"/>
          <w:szCs w:val="24"/>
        </w:rPr>
      </w:r>
    </w:p>
    <w:p>
      <w:pPr>
        <w:ind w:right="-5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1. </w:t>
      </w:r>
      <w:r>
        <w:rPr>
          <w:rFonts w:eastAsia="Calibri"/>
          <w:sz w:val="24"/>
          <w:szCs w:val="24"/>
        </w:rPr>
        <w:t xml:space="preserve">Внести в муниципальную программу </w:t>
      </w:r>
      <w:r>
        <w:rPr>
          <w:sz w:val="24"/>
          <w:szCs w:val="24"/>
        </w:rPr>
        <w:t xml:space="preserve">Печенгского муниципального окру</w:t>
      </w:r>
      <w:r>
        <w:rPr>
          <w:sz w:val="24"/>
          <w:szCs w:val="24"/>
        </w:rPr>
        <w:t xml:space="preserve">га «</w:t>
      </w:r>
      <w:r>
        <w:rPr>
          <w:sz w:val="24"/>
          <w:szCs w:val="24"/>
        </w:rPr>
        <w:t xml:space="preserve">Молодежная политика и взаимод</w:t>
      </w:r>
      <w:r>
        <w:rPr>
          <w:sz w:val="24"/>
          <w:szCs w:val="24"/>
        </w:rPr>
        <w:t xml:space="preserve">ействие с общественными организ</w:t>
      </w:r>
      <w:r>
        <w:rPr>
          <w:sz w:val="24"/>
          <w:szCs w:val="24"/>
        </w:rPr>
        <w:t xml:space="preserve">ациями в </w:t>
      </w:r>
      <w:r>
        <w:rPr>
          <w:sz w:val="24"/>
          <w:szCs w:val="24"/>
        </w:rPr>
        <w:t xml:space="preserve">Печенгском</w:t>
      </w:r>
      <w:r>
        <w:rPr>
          <w:sz w:val="24"/>
          <w:szCs w:val="24"/>
        </w:rPr>
        <w:t xml:space="preserve"> муниципальном округе</w:t>
      </w:r>
      <w:r>
        <w:rPr>
          <w:sz w:val="24"/>
          <w:szCs w:val="24"/>
        </w:rPr>
        <w:t xml:space="preserve">» на 2025 – 2027</w:t>
      </w:r>
      <w:r>
        <w:rPr>
          <w:sz w:val="24"/>
          <w:szCs w:val="24"/>
        </w:rPr>
        <w:t xml:space="preserve"> годы, утвержденную постановлением администрации Печенгского мун</w:t>
      </w:r>
      <w:r>
        <w:rPr>
          <w:sz w:val="24"/>
          <w:szCs w:val="24"/>
        </w:rPr>
        <w:t xml:space="preserve">иципального округа от 01.11.2024</w:t>
      </w:r>
      <w:r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710</w:t>
      </w:r>
      <w:r>
        <w:rPr>
          <w:sz w:val="24"/>
          <w:szCs w:val="24"/>
        </w:rPr>
        <w:t xml:space="preserve"> (в редакции постановления администрации Печенгс</w:t>
      </w:r>
      <w:r>
        <w:rPr>
          <w:sz w:val="24"/>
          <w:szCs w:val="24"/>
        </w:rPr>
        <w:t xml:space="preserve">кого муниципального округа от </w:t>
      </w:r>
      <w:r>
        <w:rPr>
          <w:sz w:val="24"/>
          <w:szCs w:val="24"/>
        </w:rPr>
        <w:t xml:space="preserve">03.04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5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542</w:t>
      </w:r>
      <w:r>
        <w:rPr>
          <w:sz w:val="24"/>
          <w:szCs w:val="24"/>
        </w:rPr>
        <w:t xml:space="preserve">)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(далее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Программа), следующие изменения: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- </w:t>
      </w:r>
      <w:r>
        <w:rPr>
          <w:color w:val="000000" w:themeColor="text1"/>
          <w:sz w:val="24"/>
          <w:szCs w:val="24"/>
        </w:rPr>
        <w:t xml:space="preserve">строку</w:t>
      </w:r>
      <w:r>
        <w:rPr>
          <w:color w:val="000000" w:themeColor="text1"/>
          <w:sz w:val="24"/>
          <w:szCs w:val="24"/>
        </w:rPr>
        <w:t xml:space="preserve"> «Показатели программы» в паспорте Программы </w:t>
      </w:r>
      <w:r>
        <w:rPr>
          <w:rFonts w:eastAsia="Calibri"/>
          <w:sz w:val="24"/>
          <w:szCs w:val="24"/>
        </w:rPr>
        <w:t xml:space="preserve">изложить в следующей редакции:</w:t>
      </w:r>
      <w:r>
        <w:rPr>
          <w:color w:val="000000" w:themeColor="text1"/>
          <w:sz w:val="24"/>
          <w:szCs w:val="24"/>
        </w:rPr>
      </w:r>
      <w:r>
        <w:rPr>
          <w:color w:val="000000" w:themeColor="text1"/>
          <w:sz w:val="24"/>
          <w:szCs w:val="24"/>
        </w:rPr>
      </w:r>
    </w:p>
    <w:tbl>
      <w:tblPr>
        <w:tblW w:w="4923" w:type="pct"/>
        <w:tblInd w:w="7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>
        <w:tblPrEx/>
        <w:trPr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  <w:vertAlign w:val="superscript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Показатели программы</w:t>
            </w:r>
            <w:r>
              <w:rPr>
                <w:sz w:val="24"/>
                <w:szCs w:val="24"/>
                <w:vertAlign w:val="superscript"/>
              </w:rPr>
            </w:r>
            <w:r>
              <w:rPr>
                <w:sz w:val="24"/>
                <w:szCs w:val="24"/>
                <w:vertAlign w:val="superscript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826" w:type="pct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Выполнение муниципального задания МБУ «</w:t>
            </w:r>
            <w:r>
              <w:rPr>
                <w:sz w:val="24"/>
                <w:szCs w:val="24"/>
              </w:rPr>
              <w:t xml:space="preserve">ЦПиРМИ</w:t>
            </w:r>
            <w:r>
              <w:rPr>
                <w:sz w:val="24"/>
                <w:szCs w:val="24"/>
              </w:rPr>
              <w:t xml:space="preserve">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 Доля посетителей молодежного учреждения от среднегодовой численности населения в возрасте от 14 до 35 лет.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  <w:t xml:space="preserve">. Количество конкурсов, фестивалей, конференций, семинаров для молодежи различной направленности.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  <w:t xml:space="preserve">. Численность молодых людей, участвующих в различных творческих мероприятиях и проектах.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  <w:t xml:space="preserve">. 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Численность молодых людей, награжденных </w:t>
            </w:r>
            <w:r>
              <w:rPr>
                <w:sz w:val="24"/>
                <w:szCs w:val="24"/>
              </w:rPr>
              <w:t xml:space="preserve">за достижения и успехи, в области спорта, общественно полезной деятельности, культуры и искусства, учебно-исследовательской деятельности, военно-патриотической деятельности.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  <w:t xml:space="preserve">. Количество проведенных творческих мероприятий для молодых </w:t>
            </w:r>
            <w:r>
              <w:rPr>
                <w:sz w:val="24"/>
                <w:szCs w:val="24"/>
              </w:rPr>
              <w:t xml:space="preserve">семей.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  <w:t xml:space="preserve">. Количество проведенных семинаров (тренингов, ролевых игр) для школьников и студентов по воспитанию толерантности и профилактике экстремизма.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  <w:t xml:space="preserve">. Количество проведенных патриотических слетов, фестивалей для молодежи Печенгского муниципального округа.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  <w:t xml:space="preserve">. Численность участников Всероссийских, областных и региональных слетов, фестивалей и походов по местам боевой Славы.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  <w:t xml:space="preserve">. Количество восстановленных (отремонтированных) памятников Великой Отечественной войны.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11</w:t>
            </w:r>
            <w:r>
              <w:rPr>
                <w:sz w:val="24"/>
                <w:szCs w:val="24"/>
              </w:rPr>
              <w:t xml:space="preserve">. Численность молодежи, охваченной кампаниями по профилактике потребления наркотических средств, </w:t>
            </w:r>
            <w:r>
              <w:rPr>
                <w:sz w:val="24"/>
                <w:szCs w:val="24"/>
              </w:rPr>
              <w:t xml:space="preserve">психоактивных</w:t>
            </w:r>
            <w:r>
              <w:rPr>
                <w:sz w:val="24"/>
                <w:szCs w:val="24"/>
              </w:rPr>
              <w:t xml:space="preserve"> веществ и алкоголя.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  <w:t xml:space="preserve">. Количество общественных объединений, вовлеченных в проведение профилактических мероприятий.</w:t>
            </w:r>
            <w:r>
              <w:rPr>
                <w:sz w:val="24"/>
                <w:szCs w:val="24"/>
              </w:rPr>
              <w:t xml:space="preserve">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- с</w:t>
      </w:r>
      <w:r>
        <w:rPr>
          <w:rFonts w:eastAsia="Calibri"/>
          <w:sz w:val="24"/>
          <w:szCs w:val="24"/>
        </w:rPr>
        <w:t xml:space="preserve">троку «Финансовое обеспечение программы» в паспорте Программы изложить в следующей редакции: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tbl>
      <w:tblPr>
        <w:tblW w:w="4923" w:type="pct"/>
        <w:tblInd w:w="7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197"/>
        <w:gridCol w:w="7162"/>
      </w:tblGrid>
      <w:tr>
        <w:tblPrEx/>
        <w:trPr>
          <w:trHeight w:val="542"/>
        </w:trPr>
        <w:tc>
          <w:tcPr>
            <w:tcW w:w="1174" w:type="pct"/>
            <w:textDirection w:val="lrTb"/>
            <w:noWrap w:val="false"/>
          </w:tcPr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</w:t>
            </w:r>
            <w:r>
              <w:rPr>
                <w:sz w:val="24"/>
                <w:szCs w:val="24"/>
              </w:rPr>
              <w:t xml:space="preserve">Финансовое обеспечение программы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3826" w:type="pct"/>
            <w:textDirection w:val="lrTb"/>
            <w:noWrap w:val="false"/>
          </w:tcPr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49 037,6</w:t>
            </w:r>
            <w:r>
              <w:rPr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тыс. рублей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том числе: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907,8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907,8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48129,8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16600,8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16738,3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14790,7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ВБС: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 из них: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pStyle w:val="929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;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</w:r>
          </w:p>
        </w:tc>
      </w:tr>
    </w:tbl>
    <w:p>
      <w:pPr>
        <w:jc w:val="both"/>
        <w:widowControl/>
        <w:tabs>
          <w:tab w:val="left" w:pos="0" w:leader="none"/>
        </w:tabs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ind w:firstLine="709"/>
        <w:jc w:val="both"/>
        <w:widowControl/>
        <w:tabs>
          <w:tab w:val="left" w:pos="993" w:leader="none"/>
        </w:tabs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- </w:t>
      </w:r>
      <w:r>
        <w:rPr>
          <w:sz w:val="24"/>
          <w:szCs w:val="24"/>
        </w:rPr>
        <w:t xml:space="preserve">таблицу «Основные показатели эффективности реализации программы» раздела 2 «Основные цели и задачи программы с указанием сроков и этапов ее реализации, а также перечень основных мероприятий и показателей» Программы </w:t>
      </w:r>
      <w:r>
        <w:rPr>
          <w:rFonts w:eastAsia="Calibri"/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9356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410"/>
        <w:gridCol w:w="709"/>
        <w:gridCol w:w="850"/>
        <w:gridCol w:w="851"/>
        <w:gridCol w:w="850"/>
        <w:gridCol w:w="851"/>
        <w:gridCol w:w="850"/>
        <w:gridCol w:w="1276"/>
      </w:tblGrid>
      <w:tr>
        <w:tblPrEx/>
        <w:trPr>
          <w:trHeight w:val="227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«</w:t>
            </w:r>
            <w:r>
              <w:rPr>
                <w:rFonts w:eastAsia="Calibri"/>
                <w:color w:val="000000"/>
                <w:lang w:eastAsia="en-US"/>
              </w:rPr>
              <w:t xml:space="preserve">№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п/п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Цели, мероприятия и показатели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Ед. изм.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25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Значение показателя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Источник данных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trHeight w:val="24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отчёт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оценка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Годы реализации программы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gridAfter w:val="1"/>
          <w:trHeight w:val="235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vMerge w:val="continue"/>
            <w:textDirection w:val="lrTb"/>
            <w:noWrap w:val="false"/>
          </w:tcPr>
          <w:p>
            <w:pPr>
              <w:ind w:firstLine="709"/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2023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2024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2025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2026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2027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1.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textDirection w:val="lrTb"/>
            <w:noWrap w:val="false"/>
          </w:tcPr>
          <w:p>
            <w:pPr>
              <w:ind w:left="-4"/>
              <w:jc w:val="both"/>
              <w:widowControl/>
              <w:rPr>
                <w:b/>
              </w:rPr>
            </w:pPr>
            <w:r>
              <w:rPr>
                <w:b/>
              </w:rPr>
              <w:t xml:space="preserve">Показатель цели муниципальной программы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widowControl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1.1.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textDirection w:val="lrTb"/>
            <w:noWrap w:val="false"/>
          </w:tcPr>
          <w:p>
            <w:pPr>
              <w:ind w:left="-4"/>
              <w:jc w:val="both"/>
              <w:widowControl/>
              <w:rPr>
                <w:rFonts w:eastAsia="Calibri"/>
                <w:lang w:eastAsia="en-US"/>
              </w:rPr>
            </w:pPr>
            <w:r>
              <w:t xml:space="preserve">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</w:tr>
      <w:tr>
        <w:tblPrEx/>
        <w:trPr>
          <w:trHeight w:val="23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ind w:left="-4"/>
              <w:jc w:val="center"/>
              <w:widowControl/>
              <w:rPr>
                <w:b/>
              </w:rPr>
            </w:pPr>
            <w:r>
              <w:rPr>
                <w:b/>
              </w:rPr>
              <w:t xml:space="preserve">2.</w:t>
            </w:r>
            <w:r>
              <w:rPr>
                <w:b/>
              </w:rPr>
            </w:r>
            <w:r>
              <w:rPr>
                <w:b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47" w:type="dxa"/>
            <w:textDirection w:val="lrTb"/>
            <w:noWrap w:val="false"/>
          </w:tcPr>
          <w:p>
            <w:pPr>
              <w:ind w:left="-4"/>
              <w:jc w:val="both"/>
              <w:widowControl/>
              <w:rPr>
                <w:b/>
              </w:rPr>
            </w:pPr>
            <w:r>
              <w:rPr>
                <w:b/>
              </w:rPr>
              <w:t xml:space="preserve">Показатели задач муниципальной программы</w:t>
            </w:r>
            <w:r>
              <w:rPr>
                <w:b/>
              </w:rPr>
            </w:r>
            <w:r>
              <w:rPr>
                <w:b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tabs>
                <w:tab w:val="left" w:pos="-8913" w:leader="none"/>
              </w:tabs>
            </w:pPr>
            <w:r>
              <w:t xml:space="preserve">Выполнение муниципального задания МБУ «</w:t>
            </w:r>
            <w:r>
              <w:t xml:space="preserve">ЦПиРМИ</w:t>
            </w:r>
            <w:r>
              <w:t xml:space="preserve">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%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  <w:spacing w:after="200" w:line="276" w:lineRule="auto"/>
              <w:widowControl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ind w:left="-57" w:right="-57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100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2.2.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tabs>
                <w:tab w:val="left" w:pos="-8913" w:leader="none"/>
              </w:tabs>
            </w:pPr>
            <w:r>
              <w:t xml:space="preserve">Доля посетителей молодежного учреждения от среднегодовой численности населения в возрасте от 14 до 35 лет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%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</w:pPr>
            <w:r>
              <w:t xml:space="preserve">Отчет 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2.3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tabs>
                <w:tab w:val="left" w:pos="-8913" w:leader="none"/>
              </w:tabs>
            </w:pPr>
            <w:r>
              <w:t xml:space="preserve">Количество конкурсов, фестивалей, семинаров для молодежи различной направленности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2.4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</w:pPr>
            <w:r>
              <w:t xml:space="preserve">Численность молодых людей, участвующих в различных творческих мероприятиях и проектах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Чел.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Отчеты исполнителей программы</w:t>
            </w:r>
            <w:r>
              <w:rPr>
                <w:color w:val="000000"/>
                <w:sz w:val="18"/>
                <w:szCs w:val="18"/>
              </w:rPr>
            </w:r>
            <w:r>
              <w:rPr>
                <w:color w:val="000000"/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</w:t>
            </w:r>
            <w:r>
              <w:rPr>
                <w:rFonts w:eastAsia="Calibri"/>
                <w:color w:val="000000"/>
                <w:lang w:eastAsia="en-US"/>
              </w:rPr>
              <w:t xml:space="preserve">5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</w:pPr>
            <w:r>
              <w:rPr>
                <w:color w:val="000000"/>
                <w:spacing w:val="1"/>
              </w:rPr>
              <w:t xml:space="preserve">Численность молодых людей, награжденных </w:t>
            </w:r>
            <w:r>
              <w:t xml:space="preserve">за достижения и успехи, в области спорта, общественно полезной деятельности, культуры и искусства, учебно-исследовательской деятельности, военно-патриотической деятельности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Чел.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</w:t>
            </w:r>
            <w:r>
              <w:rPr>
                <w:rFonts w:eastAsia="Calibri"/>
                <w:color w:val="000000"/>
                <w:lang w:eastAsia="en-US"/>
              </w:rPr>
              <w:t xml:space="preserve">6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проведенных творческих мероприятий для молодых семей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8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</w:t>
            </w:r>
            <w:r>
              <w:rPr>
                <w:rFonts w:eastAsia="Calibri"/>
                <w:color w:val="000000"/>
                <w:lang w:eastAsia="en-US"/>
              </w:rPr>
              <w:t xml:space="preserve">7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проведенных семинаров (тренингов, ролевых игр) для школьников и студентов по воспитанию толерантности и профилактике экстремизма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6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2.8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</w:pPr>
            <w:r>
              <w:t xml:space="preserve">Количество проведенных патриотических слетов, фестивалей для молодежи Печенгского муниципального округа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456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2.9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Численность участников</w:t>
            </w:r>
            <w:r>
              <w:rPr>
                <w:rFonts w:eastAsia="Calibri"/>
                <w:lang w:eastAsia="en-US"/>
              </w:rPr>
            </w:r>
            <w:r>
              <w:rPr>
                <w:rFonts w:eastAsia="Calibri"/>
                <w:lang w:eastAsia="en-US"/>
              </w:rPr>
            </w:r>
          </w:p>
          <w:p>
            <w:pPr>
              <w:ind w:right="29"/>
              <w:jc w:val="both"/>
            </w:pPr>
            <w:r>
              <w:rPr>
                <w:rFonts w:eastAsia="Calibri"/>
                <w:lang w:eastAsia="en-US"/>
              </w:rPr>
              <w:t xml:space="preserve">Всероссийских, областных и региональных слетов, фестивалей и походов по местам боевой Славы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Чел.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45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60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</w:t>
            </w:r>
            <w:r>
              <w:rPr>
                <w:rFonts w:eastAsia="Calibri"/>
                <w:color w:val="000000"/>
                <w:lang w:eastAsia="en-US"/>
              </w:rPr>
              <w:t xml:space="preserve">0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Количество восстановленных (отремонтированных) памятников Великой Отечественной войны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7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6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</w:t>
            </w:r>
            <w:r>
              <w:rPr>
                <w:rFonts w:eastAsia="Calibri"/>
                <w:color w:val="000000"/>
                <w:lang w:eastAsia="en-US"/>
              </w:rPr>
              <w:t xml:space="preserve">1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both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Численность молодежи, охваченной кампаниями по профилактике потребления наркотических средств, </w:t>
            </w:r>
            <w:r>
              <w:rPr>
                <w:color w:val="000000"/>
                <w:szCs w:val="22"/>
              </w:rPr>
              <w:t xml:space="preserve">психоактивных</w:t>
            </w:r>
            <w:r>
              <w:rPr>
                <w:color w:val="000000"/>
                <w:szCs w:val="22"/>
              </w:rPr>
              <w:t xml:space="preserve"> веществ </w:t>
            </w:r>
            <w:r>
              <w:rPr>
                <w:color w:val="000000"/>
                <w:szCs w:val="22"/>
              </w:rPr>
              <w:t xml:space="preserve">и алкоголя</w:t>
            </w:r>
            <w:r>
              <w:rPr>
                <w:color w:val="000000"/>
                <w:szCs w:val="22"/>
              </w:rPr>
            </w:r>
            <w:r>
              <w:rPr>
                <w:color w:val="000000"/>
                <w:szCs w:val="22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Чел.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1720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1700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1730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</w:t>
            </w:r>
            <w:r>
              <w:rPr>
                <w:rFonts w:eastAsia="Calibri"/>
                <w:color w:val="000000"/>
                <w:lang w:eastAsia="en-US"/>
              </w:rPr>
              <w:t xml:space="preserve">2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общественных объединений, вовлеченных в проведение профилактических мероприятий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4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Не менее 5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Отчеты исполнителей программы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>
          <w:trHeight w:val="31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2.1</w:t>
            </w:r>
            <w:r>
              <w:rPr>
                <w:rFonts w:eastAsia="Calibri"/>
                <w:color w:val="000000"/>
                <w:lang w:eastAsia="en-US"/>
              </w:rPr>
              <w:t xml:space="preserve">3</w:t>
            </w:r>
            <w:r>
              <w:rPr>
                <w:rFonts w:eastAsia="Calibri"/>
                <w:color w:val="000000"/>
                <w:lang w:eastAsia="en-US"/>
              </w:rPr>
              <w:t xml:space="preserve">.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ind w:right="29"/>
              <w:jc w:val="both"/>
            </w:pPr>
            <w:r>
              <w:t xml:space="preserve">Количество материально оснащенных Комнат/Домов Всероссийского военно-патриотического движения «ЮНАРМИЯ»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0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color w:val="000000"/>
                <w:lang w:eastAsia="en-US"/>
              </w:rPr>
            </w:pPr>
            <w:r>
              <w:rPr>
                <w:rFonts w:eastAsia="Calibri"/>
                <w:color w:val="000000"/>
                <w:lang w:eastAsia="en-US"/>
              </w:rPr>
              <w:t xml:space="preserve">Шт. </w:t>
            </w:r>
            <w:r>
              <w:rPr>
                <w:rFonts w:eastAsia="Calibri"/>
                <w:color w:val="000000"/>
                <w:lang w:eastAsia="en-US"/>
              </w:rPr>
            </w:r>
            <w:r>
              <w:rPr>
                <w:rFonts w:eastAsia="Calibri"/>
                <w:color w:val="000000"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0" w:type="dxa"/>
            <w:textDirection w:val="lrTb"/>
            <w:noWrap w:val="false"/>
          </w:tcPr>
          <w:p>
            <w:pPr>
              <w:jc w:val="center"/>
            </w:pPr>
            <w:r>
              <w:t xml:space="preserve">-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Отчет исполнителей программы</w:t>
            </w:r>
            <w:r>
              <w:rPr>
                <w:sz w:val="18"/>
                <w:szCs w:val="18"/>
              </w:rPr>
              <w:t xml:space="preserve">»;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</w:tbl>
    <w:p>
      <w:pPr>
        <w:contextualSpacing/>
        <w:ind w:left="786"/>
        <w:spacing w:after="200" w:line="276" w:lineRule="auto"/>
        <w:widowControl/>
        <w:tabs>
          <w:tab w:val="left" w:pos="567" w:leader="none"/>
        </w:tabs>
        <w:rPr>
          <w:rFonts w:eastAsia="Calibri"/>
          <w:b/>
          <w:sz w:val="24"/>
          <w:szCs w:val="24"/>
          <w:lang w:eastAsia="en-US"/>
        </w:rPr>
        <w:outlineLvl w:val="1"/>
      </w:pP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  <w:r>
        <w:rPr>
          <w:rFonts w:eastAsia="Calibri"/>
          <w:b/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993" w:leader="none"/>
        </w:tabs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1 «Перечень мероприятий программы с объемом финансирования» к Программе изложить в редакции согласно приложению </w:t>
      </w:r>
      <w:r>
        <w:rPr>
          <w:sz w:val="24"/>
          <w:szCs w:val="24"/>
        </w:rPr>
        <w:t xml:space="preserve">№ 1 к настоящему постановлению;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ind w:firstLine="709"/>
        <w:jc w:val="both"/>
        <w:tabs>
          <w:tab w:val="left" w:pos="993" w:leader="none"/>
        </w:tabs>
        <w:rPr>
          <w:color w:val="ff0000"/>
          <w:sz w:val="24"/>
          <w:szCs w:val="24"/>
        </w:rPr>
      </w:pPr>
      <w:r>
        <w:rPr>
          <w:sz w:val="24"/>
          <w:szCs w:val="24"/>
        </w:rPr>
        <w:t xml:space="preserve">- </w:t>
      </w:r>
      <w:r>
        <w:rPr>
          <w:sz w:val="24"/>
          <w:szCs w:val="24"/>
        </w:rPr>
        <w:t xml:space="preserve">приложение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 «Перечень мероприятий программы с </w:t>
      </w:r>
      <w:r>
        <w:rPr>
          <w:sz w:val="24"/>
          <w:szCs w:val="24"/>
        </w:rPr>
        <w:t xml:space="preserve">показателями результативности выполнения мероприятий</w:t>
      </w:r>
      <w:r>
        <w:rPr>
          <w:sz w:val="24"/>
          <w:szCs w:val="24"/>
        </w:rPr>
        <w:t xml:space="preserve">» к Программе изложить в редакции согласно приложению </w:t>
      </w:r>
      <w:r>
        <w:rPr>
          <w:sz w:val="24"/>
          <w:szCs w:val="24"/>
        </w:rPr>
        <w:t xml:space="preserve">№ 2 к настоящему постановлению.</w:t>
      </w:r>
      <w:r>
        <w:rPr>
          <w:color w:val="ff0000"/>
          <w:sz w:val="24"/>
          <w:szCs w:val="24"/>
        </w:rPr>
      </w:r>
      <w:r>
        <w:rPr>
          <w:color w:val="ff0000"/>
          <w:sz w:val="24"/>
          <w:szCs w:val="24"/>
        </w:rPr>
      </w:r>
    </w:p>
    <w:p>
      <w:pPr>
        <w:jc w:val="both"/>
        <w:widowControl/>
        <w:tabs>
          <w:tab w:val="left" w:pos="0" w:leader="none"/>
        </w:tabs>
        <w:rPr>
          <w:sz w:val="24"/>
          <w:szCs w:val="24"/>
          <w:lang w:eastAsia="en-US"/>
        </w:rPr>
      </w:pPr>
      <w:r>
        <w:rPr>
          <w:rFonts w:eastAsia="Calibri"/>
          <w:sz w:val="24"/>
          <w:szCs w:val="24"/>
        </w:rPr>
        <w:tab/>
      </w:r>
      <w:r>
        <w:rPr>
          <w:rFonts w:eastAsia="Calibri"/>
          <w:sz w:val="24"/>
          <w:szCs w:val="24"/>
          <w:lang w:eastAsia="en-US"/>
        </w:rPr>
        <w:t xml:space="preserve">2</w:t>
      </w:r>
      <w:r>
        <w:rPr>
          <w:rFonts w:eastAsia="Calibri"/>
          <w:sz w:val="24"/>
          <w:szCs w:val="24"/>
          <w:lang w:eastAsia="en-US"/>
        </w:rPr>
        <w:t xml:space="preserve">.</w:t>
      </w:r>
      <w:r>
        <w:rPr>
          <w:rFonts w:eastAsia="Calibri"/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Настоящее постановление </w:t>
      </w:r>
      <w:r>
        <w:rPr>
          <w:sz w:val="24"/>
          <w:szCs w:val="24"/>
          <w:lang w:eastAsia="en-US"/>
        </w:rPr>
        <w:t xml:space="preserve">вступает в силу </w:t>
      </w:r>
      <w:r>
        <w:rPr>
          <w:sz w:val="24"/>
          <w:szCs w:val="24"/>
          <w:lang w:eastAsia="en-US"/>
        </w:rPr>
        <w:t xml:space="preserve">после его подписания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</w:r>
      <w:r>
        <w:rPr>
          <w:sz w:val="24"/>
          <w:szCs w:val="24"/>
          <w:lang w:eastAsia="en-US"/>
        </w:rPr>
      </w:r>
    </w:p>
    <w:p>
      <w:pPr>
        <w:ind w:firstLine="709"/>
        <w:jc w:val="both"/>
        <w:tabs>
          <w:tab w:val="left" w:pos="0" w:leader="none"/>
          <w:tab w:val="left" w:pos="993" w:leader="none"/>
          <w:tab w:val="left" w:pos="1276" w:leader="none"/>
        </w:tabs>
        <w:rPr>
          <w:rFonts w:eastAsia="Lucida Sans Unicode"/>
          <w:sz w:val="24"/>
          <w:szCs w:val="24"/>
          <w:lang w:eastAsia="en-US"/>
        </w:rPr>
      </w:pPr>
      <w:r>
        <w:rPr>
          <w:sz w:val="24"/>
          <w:szCs w:val="24"/>
          <w:lang w:eastAsia="en-US"/>
        </w:rPr>
        <w:t xml:space="preserve">3</w:t>
      </w:r>
      <w:r>
        <w:rPr>
          <w:sz w:val="24"/>
          <w:szCs w:val="24"/>
          <w:lang w:eastAsia="en-US"/>
        </w:rPr>
        <w:t xml:space="preserve">.</w:t>
      </w:r>
      <w:r>
        <w:rPr>
          <w:sz w:val="24"/>
          <w:szCs w:val="24"/>
          <w:lang w:eastAsia="en-US"/>
        </w:rPr>
        <w:t xml:space="preserve"> Настоящее постановление </w:t>
      </w:r>
      <w:r>
        <w:rPr>
          <w:sz w:val="24"/>
          <w:szCs w:val="24"/>
          <w:lang w:eastAsia="en-US"/>
        </w:rPr>
        <w:t xml:space="preserve">опубликова</w:t>
      </w:r>
      <w:r>
        <w:rPr>
          <w:sz w:val="24"/>
          <w:szCs w:val="24"/>
          <w:lang w:eastAsia="en-US"/>
        </w:rPr>
        <w:t xml:space="preserve">ть</w:t>
      </w:r>
      <w:r>
        <w:rPr>
          <w:sz w:val="24"/>
          <w:szCs w:val="24"/>
          <w:lang w:eastAsia="en-US"/>
        </w:rPr>
        <w:t xml:space="preserve"> в </w:t>
      </w:r>
      <w:r>
        <w:rPr>
          <w:sz w:val="24"/>
          <w:szCs w:val="24"/>
          <w:lang w:eastAsia="en-US"/>
        </w:rPr>
        <w:t xml:space="preserve">официальном издании </w:t>
      </w:r>
      <w:r>
        <w:rPr>
          <w:sz w:val="24"/>
          <w:szCs w:val="24"/>
          <w:lang w:eastAsia="en-US"/>
        </w:rPr>
        <w:t xml:space="preserve">газет</w:t>
      </w:r>
      <w:r>
        <w:rPr>
          <w:sz w:val="24"/>
          <w:szCs w:val="24"/>
          <w:lang w:eastAsia="en-US"/>
        </w:rPr>
        <w:t xml:space="preserve">а</w:t>
      </w:r>
      <w:r>
        <w:rPr>
          <w:sz w:val="24"/>
          <w:szCs w:val="24"/>
          <w:lang w:eastAsia="en-US"/>
        </w:rPr>
        <w:t xml:space="preserve"> «Печенга» и разме</w:t>
      </w:r>
      <w:r>
        <w:rPr>
          <w:sz w:val="24"/>
          <w:szCs w:val="24"/>
          <w:lang w:eastAsia="en-US"/>
        </w:rPr>
        <w:t xml:space="preserve">стить на</w:t>
      </w:r>
      <w:r>
        <w:rPr>
          <w:sz w:val="24"/>
          <w:szCs w:val="24"/>
          <w:lang w:eastAsia="en-US"/>
        </w:rPr>
        <w:t xml:space="preserve"> </w:t>
      </w:r>
      <w:r>
        <w:rPr>
          <w:sz w:val="24"/>
          <w:szCs w:val="24"/>
          <w:lang w:eastAsia="en-US"/>
        </w:rPr>
        <w:t xml:space="preserve">сайте Печенгского муниципального округа в сети Интернет.</w:t>
      </w:r>
      <w:r>
        <w:rPr>
          <w:rFonts w:eastAsia="Lucida Sans Unicode"/>
          <w:sz w:val="24"/>
          <w:szCs w:val="24"/>
          <w:lang w:eastAsia="en-US"/>
        </w:rPr>
      </w:r>
      <w:r>
        <w:rPr>
          <w:rFonts w:eastAsia="Lucida Sans Unicode"/>
          <w:sz w:val="24"/>
          <w:szCs w:val="24"/>
          <w:lang w:eastAsia="en-US"/>
        </w:rPr>
      </w:r>
    </w:p>
    <w:p>
      <w:pPr>
        <w:ind w:right="-5"/>
        <w:jc w:val="both"/>
        <w:rPr>
          <w:rFonts w:eastAsia="Calibri"/>
          <w:sz w:val="24"/>
          <w:szCs w:val="24"/>
          <w:highlight w:val="yellow"/>
        </w:rPr>
      </w:pP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  <w:r>
        <w:rPr>
          <w:rFonts w:eastAsia="Calibri"/>
          <w:sz w:val="24"/>
          <w:szCs w:val="24"/>
          <w:highlight w:val="yellow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</w:t>
      </w:r>
      <w:r>
        <w:rPr>
          <w:sz w:val="24"/>
          <w:szCs w:val="24"/>
        </w:rPr>
        <w:t xml:space="preserve">         </w:t>
      </w:r>
      <w:r>
        <w:rPr>
          <w:sz w:val="24"/>
          <w:szCs w:val="24"/>
        </w:rPr>
        <w:t xml:space="preserve">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bookmarkStart w:id="0" w:name="Par557"/>
      <w:r/>
      <w:bookmarkEnd w:id="0"/>
      <w:r>
        <w:t xml:space="preserve">Зубкова Н.А., 5-04-33</w:t>
      </w:r>
      <w:r/>
    </w:p>
    <w:p>
      <w:pPr>
        <w:jc w:val="both"/>
        <w:sectPr>
          <w:footnotePr/>
          <w:endnotePr/>
          <w:type w:val="nextPage"/>
          <w:pgSz w:w="11906" w:h="16838" w:orient="portrait"/>
          <w:pgMar w:top="1135" w:right="850" w:bottom="993" w:left="1701" w:header="708" w:footer="708" w:gutter="0"/>
          <w:cols w:num="1" w:sep="0" w:space="708" w:equalWidth="1"/>
          <w:docGrid w:linePitch="360"/>
        </w:sectPr>
      </w:pPr>
      <w:r/>
      <w:r/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02.12.2025</w:t>
      </w:r>
      <w:r>
        <w:rPr>
          <w:sz w:val="24"/>
          <w:szCs w:val="24"/>
        </w:rPr>
        <w:t xml:space="preserve"> № 2011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к п</w:t>
      </w:r>
      <w:r>
        <w:rPr>
          <w:sz w:val="24"/>
          <w:szCs w:val="24"/>
        </w:rPr>
        <w:t xml:space="preserve">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мероприятий программы с объёмом финансирования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center"/>
        <w:widowControl/>
        <w:tabs>
          <w:tab w:val="left" w:pos="993" w:leader="none"/>
        </w:tabs>
        <w:rPr>
          <w:color w:val="0070c0"/>
        </w:rPr>
      </w:pPr>
      <w:r>
        <w:rPr>
          <w:color w:val="0070c0"/>
        </w:rPr>
      </w:r>
      <w:r>
        <w:rPr>
          <w:color w:val="0070c0"/>
        </w:rPr>
      </w:r>
      <w:r>
        <w:rPr>
          <w:color w:val="0070c0"/>
        </w:rPr>
      </w:r>
    </w:p>
    <w:tbl>
      <w:tblPr>
        <w:tblW w:w="4986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35"/>
        <w:gridCol w:w="12"/>
        <w:gridCol w:w="5120"/>
        <w:gridCol w:w="9"/>
        <w:gridCol w:w="1256"/>
        <w:gridCol w:w="1143"/>
        <w:gridCol w:w="1200"/>
        <w:gridCol w:w="1203"/>
        <w:gridCol w:w="1200"/>
        <w:gridCol w:w="1331"/>
        <w:gridCol w:w="18"/>
        <w:gridCol w:w="1682"/>
      </w:tblGrid>
      <w:tr>
        <w:tblPrEx/>
        <w:trPr>
          <w:trHeight w:val="780"/>
        </w:trPr>
        <w:tc>
          <w:tcPr>
            <w:gridSpan w:val="3"/>
            <w:shd w:val="clear" w:color="auto" w:fill="auto"/>
            <w:tcW w:w="24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№ п/п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Источники финансирования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5"/>
            <w:shd w:val="clear" w:color="auto" w:fill="auto"/>
            <w:tcW w:w="166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Объем финансирования,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тысяч рублей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tabs>
                <w:tab w:val="left" w:pos="885" w:leader="none"/>
              </w:tabs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Исполнители, соисполнители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67"/>
        </w:trPr>
        <w:tc>
          <w:tcPr>
            <w:gridSpan w:val="3"/>
            <w:shd w:val="clear" w:color="auto" w:fill="auto"/>
            <w:tcW w:w="24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Всего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2027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24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172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2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566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9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widowControl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  <w:p>
            <w:pPr>
              <w:jc w:val="both"/>
              <w:widowControl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40046,8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13119,8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13437,3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13489,7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40046,8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13119,8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13437,3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13489,7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1.2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3073,7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1419,7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327,0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3073,7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1419,7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1327,0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327,0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1.3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Награждение премией Главы Печенгского муниципального округа одаренных детей Печенгского муниципального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  <w:highlight w:val="yellow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  <w:highlight w:val="yellow"/>
              </w:rPr>
            </w:r>
            <w:r>
              <w:rPr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1125,6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373,6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376,0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1125,6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373,6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376,0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8"/>
        </w:trPr>
        <w:tc>
          <w:tcPr>
            <w:gridSpan w:val="2"/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1.4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.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Merge w:val="restart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Пропаганда семейных ценностей в молодежной среде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2025-2027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300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12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350,0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150,0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5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57"/>
        </w:trPr>
        <w:tc>
          <w:tcPr>
            <w:gridSpan w:val="2"/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27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350,0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150,0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1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44596,1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15063,1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15240,3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14292,7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65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44596,1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15063,1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15240,3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14292,7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Сохранение и развитие системы гражданско-патриотического воспитания детей и молодежи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restart"/>
            <w:textDirection w:val="lrTb"/>
            <w:noWrap w:val="false"/>
          </w:tcPr>
          <w:p>
            <w:pPr>
              <w:ind w:firstLine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гражданского становления молодежи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197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1386,7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553,7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566,5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266,5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1386,7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553,7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566,5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266,5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2.2.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restart"/>
            <w:textDirection w:val="lrTb"/>
            <w:noWrap w:val="false"/>
          </w:tcPr>
          <w:p>
            <w:pPr>
              <w:ind w:left="33" w:right="-26" w:hanging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молодежи в мероприятиях, направленных на сохранность и восстановление воинских памятников и захоронений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176,6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26,6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50,0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shd w:val="clear" w:color="auto" w:fill="auto"/>
            <w:tcW w:w="22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176,6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26,6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50,0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0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2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.3.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Осуществление работ по сохранению памятников Великой Отечественной войны 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7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50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1565,7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715,7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750,0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1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1565,7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715,7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  <w:lang w:val="en-US"/>
              </w:rPr>
              <w:t xml:space="preserve">7</w:t>
            </w:r>
            <w:r>
              <w:rPr>
                <w:b/>
                <w:bCs/>
                <w:sz w:val="22"/>
                <w:szCs w:val="22"/>
              </w:rPr>
              <w:t xml:space="preserve">50,0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100,0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  <w:t xml:space="preserve">2</w:t>
            </w:r>
            <w:r>
              <w:rPr>
                <w:color w:val="000000"/>
                <w:spacing w:val="1"/>
                <w:sz w:val="24"/>
                <w:szCs w:val="24"/>
              </w:rPr>
              <w:t xml:space="preserve">.4.</w:t>
            </w:r>
            <w:r>
              <w:rPr>
                <w:color w:val="000000"/>
                <w:spacing w:val="1"/>
                <w:sz w:val="24"/>
                <w:szCs w:val="24"/>
              </w:rPr>
            </w:r>
            <w:r>
              <w:rPr>
                <w:color w:val="000000"/>
                <w:spacing w:val="1"/>
                <w:sz w:val="24"/>
                <w:szCs w:val="24"/>
              </w:rPr>
            </w:r>
          </w:p>
        </w:tc>
        <w:tc>
          <w:tcPr>
            <w:gridSpan w:val="3"/>
            <w:shd w:val="clear" w:color="auto" w:fill="auto"/>
            <w:tcW w:w="1736" w:type="pct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Создание условий для функционирования в муниципальных образованиях Комнат/Домов Всероссийского военно-патриотического движения «ЮНАРМИЯ»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2025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образования, СОШ №№ 7, 9</w:t>
            </w:r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907,8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907,8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160,2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25"/>
        </w:trPr>
        <w:tc>
          <w:tcPr>
            <w:shd w:val="clear" w:color="auto" w:fill="auto"/>
            <w:tcW w:w="22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4"/>
                <w:szCs w:val="24"/>
                <w:lang w:val="en-US"/>
              </w:rPr>
            </w:pP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  <w:r>
              <w:rPr>
                <w:color w:val="000000"/>
                <w:spacing w:val="1"/>
                <w:sz w:val="24"/>
                <w:szCs w:val="24"/>
                <w:lang w:val="en-US"/>
              </w:rPr>
            </w:r>
          </w:p>
        </w:tc>
        <w:tc>
          <w:tcPr>
            <w:gridSpan w:val="3"/>
            <w:shd w:val="clear" w:color="auto" w:fill="auto"/>
            <w:tcW w:w="1736" w:type="pct"/>
            <w:vAlign w:val="center"/>
            <w:vMerge w:val="continue"/>
            <w:textDirection w:val="lrTb"/>
            <w:noWrap w:val="false"/>
          </w:tcPr>
          <w:p>
            <w:pPr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25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1068,0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1068,0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3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907,8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907,8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212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  <w:highlight w:val="yellow"/>
              </w:rPr>
            </w:r>
            <w:r>
              <w:rPr>
                <w:b/>
                <w:sz w:val="22"/>
                <w:szCs w:val="22"/>
                <w:highlight w:val="yellow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3289,2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1456,2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50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4197,0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2364,0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47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416,5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571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>
              <w:rPr>
                <w:bCs/>
              </w:rPr>
            </w:r>
          </w:p>
        </w:tc>
      </w:tr>
      <w:tr>
        <w:tblPrEx/>
        <w:trPr>
          <w:trHeight w:val="365"/>
        </w:trPr>
        <w:tc>
          <w:tcPr>
            <w:gridSpan w:val="13"/>
            <w:shd w:val="clear" w:color="auto" w:fill="auto"/>
            <w:tcW w:w="5000" w:type="pct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55"/>
        </w:trPr>
        <w:tc>
          <w:tcPr>
            <w:gridSpan w:val="3"/>
            <w:shd w:val="clear" w:color="auto" w:fill="auto"/>
            <w:tcW w:w="243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3.1.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restart"/>
            <w:textDirection w:val="lrTb"/>
            <w:noWrap w:val="false"/>
          </w:tcPr>
          <w:p>
            <w:pPr>
              <w:ind w:left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33" w:right="-108" w:hanging="3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2025-2027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03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244,5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52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ВБС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89"/>
        </w:trPr>
        <w:tc>
          <w:tcPr>
            <w:gridSpan w:val="3"/>
            <w:shd w:val="clear" w:color="auto" w:fill="auto"/>
            <w:tcW w:w="243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1723" w:type="pct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22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244,5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Итого по основному мероприятию 3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229"/>
        </w:trPr>
        <w:tc>
          <w:tcPr>
            <w:gridSpan w:val="6"/>
            <w:shd w:val="clear" w:color="auto" w:fill="auto"/>
            <w:tcW w:w="23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244,5</w:t>
            </w:r>
            <w:r>
              <w:rPr>
                <w:bCs/>
                <w:sz w:val="22"/>
                <w:szCs w:val="22"/>
              </w:rPr>
            </w:r>
            <w:r>
              <w:rPr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81,5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0,0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7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244,5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81,5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7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/>
                <w:color w:val="000000"/>
                <w:spacing w:val="1"/>
                <w:sz w:val="22"/>
                <w:szCs w:val="22"/>
              </w:rPr>
            </w:pPr>
            <w:r>
              <w:rPr>
                <w:b/>
                <w:color w:val="000000"/>
                <w:spacing w:val="1"/>
                <w:sz w:val="22"/>
                <w:szCs w:val="22"/>
              </w:rPr>
              <w:t xml:space="preserve">Всего по программе</w:t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  <w:r>
              <w:rPr>
                <w:b/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ОБ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907,8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907,8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0,0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191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МБ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48129,8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16600,8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16738,3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14790,7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ВБС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vAlign w:val="center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0,0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  <w:tr>
        <w:tblPrEx/>
        <w:trPr>
          <w:trHeight w:val="45"/>
        </w:trPr>
        <w:tc>
          <w:tcPr>
            <w:gridSpan w:val="6"/>
            <w:shd w:val="clear" w:color="auto" w:fill="auto"/>
            <w:tcW w:w="2387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384" w:type="pct"/>
            <w:textDirection w:val="lrTb"/>
            <w:noWrap w:val="false"/>
          </w:tcPr>
          <w:p>
            <w:pPr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Итого: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49037,6</w:t>
            </w:r>
            <w:r>
              <w:rPr>
                <w:b/>
                <w:bCs/>
                <w:sz w:val="22"/>
                <w:szCs w:val="22"/>
              </w:rPr>
            </w:r>
            <w:r>
              <w:rPr>
                <w:b/>
                <w:bCs/>
                <w:sz w:val="22"/>
                <w:szCs w:val="22"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17508,6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16738,3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gridSpan w:val="2"/>
            <w:shd w:val="clear" w:color="auto" w:fill="auto"/>
            <w:tcW w:w="452" w:type="pct"/>
            <w:textDirection w:val="lrTb"/>
            <w:noWrap w:val="false"/>
          </w:tcPr>
          <w:p>
            <w:pPr>
              <w:jc w:val="center"/>
              <w:widowControl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14790,7</w:t>
            </w:r>
            <w:r>
              <w:rPr>
                <w:b/>
                <w:sz w:val="22"/>
                <w:szCs w:val="22"/>
              </w:rPr>
            </w:r>
            <w:r>
              <w:rPr>
                <w:b/>
                <w:sz w:val="22"/>
                <w:szCs w:val="22"/>
              </w:rPr>
            </w:r>
          </w:p>
        </w:tc>
        <w:tc>
          <w:tcPr>
            <w:shd w:val="clear" w:color="auto" w:fill="auto"/>
            <w:tcW w:w="566" w:type="pct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</w:tr>
    </w:tbl>
    <w:p>
      <w:pPr>
        <w:jc w:val="right"/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right"/>
        <w:widowControl/>
        <w:tabs>
          <w:tab w:val="left" w:pos="993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sz w:val="18"/>
          <w:szCs w:val="18"/>
        </w:rPr>
        <w:t xml:space="preserve">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widowControl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Приложение </w:t>
      </w:r>
      <w:r>
        <w:rPr>
          <w:sz w:val="24"/>
          <w:szCs w:val="24"/>
        </w:rPr>
        <w:t xml:space="preserve">№ 2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к постановлению администрации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02.12.2025 № 2011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0772"/>
        <w:tabs>
          <w:tab w:val="left" w:pos="993" w:leader="none"/>
        </w:tabs>
        <w:rPr>
          <w:sz w:val="24"/>
          <w:szCs w:val="24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sz w:val="24"/>
          <w:szCs w:val="24"/>
        </w:rPr>
        <w:t xml:space="preserve">«Приложение 2 </w:t>
      </w:r>
      <w:r>
        <w:rPr>
          <w:sz w:val="24"/>
          <w:szCs w:val="24"/>
        </w:rPr>
        <w:t xml:space="preserve">к п</w:t>
      </w:r>
      <w:r>
        <w:rPr>
          <w:sz w:val="24"/>
          <w:szCs w:val="24"/>
        </w:rPr>
        <w:t xml:space="preserve">рограмме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widowControl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widowControl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ПЕРЕЧЕНЬ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left="142" w:right="-371"/>
        <w:jc w:val="center"/>
        <w:widowControl/>
        <w:rPr>
          <w:sz w:val="24"/>
          <w:szCs w:val="24"/>
        </w:rPr>
      </w:pPr>
      <w:r>
        <w:rPr>
          <w:sz w:val="24"/>
          <w:szCs w:val="24"/>
        </w:rPr>
        <w:t xml:space="preserve">мероприятий программы с показателями результативности выполнения мероприятий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142" w:right="-371"/>
        <w:jc w:val="center"/>
        <w:widowControl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15451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685"/>
        <w:gridCol w:w="1418"/>
        <w:gridCol w:w="3827"/>
        <w:gridCol w:w="850"/>
        <w:gridCol w:w="993"/>
        <w:gridCol w:w="992"/>
        <w:gridCol w:w="992"/>
        <w:gridCol w:w="1843"/>
      </w:tblGrid>
      <w:tr>
        <w:tblPrEx/>
        <w:trPr>
          <w:trHeight w:val="760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№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п/п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Цели, мероприятия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Срок исполнения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Наименование показателя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Ед. изм.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gridSpan w:val="3"/>
            <w:shd w:val="clear" w:color="auto" w:fill="auto"/>
            <w:tcW w:w="2977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Показатели результативности выполнения мероприятий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Исполнитель, соисполнитель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  <w:lang w:val="en-US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  <w:lang w:val="en-US"/>
              </w:rPr>
              <w:t xml:space="preserve">5</w:t>
            </w:r>
            <w:r>
              <w:rPr>
                <w:bCs/>
                <w:sz w:val="23"/>
                <w:szCs w:val="23"/>
                <w:lang w:val="en-US"/>
              </w:rPr>
            </w:r>
            <w:r>
              <w:rPr>
                <w:bCs/>
                <w:sz w:val="23"/>
                <w:szCs w:val="23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  <w:lang w:val="en-US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  <w:lang w:val="en-US"/>
              </w:rPr>
              <w:t xml:space="preserve">6</w:t>
            </w:r>
            <w:r>
              <w:rPr>
                <w:bCs/>
                <w:sz w:val="23"/>
                <w:szCs w:val="23"/>
                <w:lang w:val="en-US"/>
              </w:rPr>
            </w:r>
            <w:r>
              <w:rPr>
                <w:bCs/>
                <w:sz w:val="23"/>
                <w:szCs w:val="23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  <w:lang w:val="en-US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202</w:t>
            </w:r>
            <w:r>
              <w:rPr>
                <w:bCs/>
                <w:sz w:val="23"/>
                <w:szCs w:val="23"/>
                <w:lang w:val="en-US"/>
              </w:rPr>
              <w:t xml:space="preserve">7</w:t>
            </w:r>
            <w:r>
              <w:rPr>
                <w:bCs/>
                <w:sz w:val="23"/>
                <w:szCs w:val="23"/>
                <w:lang w:val="en-US"/>
              </w:rPr>
            </w:r>
            <w:r>
              <w:rPr>
                <w:bCs/>
                <w:sz w:val="23"/>
                <w:szCs w:val="23"/>
                <w:lang w:val="en-US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1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2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3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4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5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6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7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8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  <w:rPr>
                <w:bCs/>
                <w:sz w:val="23"/>
                <w:szCs w:val="23"/>
              </w:rPr>
              <w:outlineLvl w:val="2"/>
            </w:pPr>
            <w:r>
              <w:rPr>
                <w:bCs/>
                <w:sz w:val="23"/>
                <w:szCs w:val="23"/>
              </w:rPr>
              <w:t xml:space="preserve">9</w:t>
            </w:r>
            <w:r>
              <w:rPr>
                <w:bCs/>
                <w:sz w:val="23"/>
                <w:szCs w:val="23"/>
              </w:rPr>
            </w:r>
            <w:r>
              <w:rPr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Цель: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jc w:val="both"/>
              <w:widowControl/>
              <w:rPr>
                <w:b/>
                <w:sz w:val="23"/>
                <w:szCs w:val="23"/>
              </w:rPr>
            </w:pPr>
            <w:r>
              <w:rPr>
                <w:b/>
                <w:sz w:val="23"/>
                <w:szCs w:val="23"/>
              </w:rPr>
              <w:t xml:space="preserve">Основное мероприятие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b/>
                <w:sz w:val="23"/>
                <w:szCs w:val="23"/>
              </w:rPr>
            </w:r>
            <w:r>
              <w:rPr>
                <w:b/>
                <w:sz w:val="23"/>
                <w:szCs w:val="23"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  <w:lang w:val="en-US"/>
              </w:rPr>
            </w:pPr>
            <w:r>
              <w:rPr>
                <w:sz w:val="23"/>
                <w:szCs w:val="23"/>
              </w:rPr>
              <w:t xml:space="preserve">202</w:t>
            </w:r>
            <w:r>
              <w:rPr>
                <w:sz w:val="23"/>
                <w:szCs w:val="23"/>
                <w:lang w:val="en-US"/>
              </w:rPr>
              <w:t xml:space="preserve">5</w:t>
            </w:r>
            <w:r>
              <w:rPr>
                <w:sz w:val="23"/>
                <w:szCs w:val="23"/>
              </w:rPr>
              <w:t xml:space="preserve">-202</w:t>
            </w:r>
            <w:r>
              <w:rPr>
                <w:sz w:val="23"/>
                <w:szCs w:val="23"/>
                <w:lang w:val="en-US"/>
              </w:rPr>
              <w:t xml:space="preserve">7</w:t>
            </w:r>
            <w:r>
              <w:rPr>
                <w:sz w:val="23"/>
                <w:szCs w:val="23"/>
                <w:lang w:val="en-US"/>
              </w:rPr>
            </w:r>
            <w:r>
              <w:rPr>
                <w:sz w:val="23"/>
                <w:szCs w:val="23"/>
                <w:lang w:val="en-US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Выполнение муниципального задания МБУ «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ЦПиРМИ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»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%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848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Доля посетителей молодежного учреждения от среднегодовой численности населения в возрасте от 14 до 35 лет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%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488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1.2.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конкурсов, фестивалей, конференций, семинаров для молодежи различной направленности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476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молодых людей, участвующих в различных творческих мероприятиях и проектах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5</w:t>
            </w:r>
            <w:r>
              <w:rPr>
                <w:sz w:val="22"/>
                <w:szCs w:val="22"/>
              </w:rPr>
              <w:t xml:space="preserve">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</w:t>
            </w:r>
            <w:r>
              <w:rPr>
                <w:sz w:val="22"/>
                <w:szCs w:val="22"/>
              </w:rPr>
              <w:t xml:space="preserve">менее 5</w:t>
            </w:r>
            <w:r>
              <w:rPr>
                <w:sz w:val="22"/>
                <w:szCs w:val="22"/>
              </w:rPr>
              <w:t xml:space="preserve">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  <w:lang w:val="en-US"/>
              </w:rPr>
              <w:t xml:space="preserve">5</w:t>
            </w:r>
            <w:r>
              <w:rPr>
                <w:sz w:val="22"/>
                <w:szCs w:val="22"/>
              </w:rPr>
              <w:t xml:space="preserve">000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560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1.3.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Награждение премией Главы Печенгского муниципального округа одаренных детей Печенгского муниципального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молодых людей, награжденных за достижения и успехи в области спорта, общественно-полезной деятельности, культуры и искусства, учебно-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исследовательской деятельности, военно-патриотической деятельности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>
          <w:trHeight w:val="61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1.4.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jc w:val="both"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Пропаганда семейных ценностей в молодежной среде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spacing w:line="274" w:lineRule="exact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проведенных творческих мероприятий для молодых семей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8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2. Сохранение и развитие системы гражданско-патриотического воспитания детей и молодежи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996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ind w:firstLine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гражданского становления молодежи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проведенных семинаров (тренингов, ролевых игр) для школьников и студентов по воспитанию толерантности и профилактике экстремизма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/>
          </w:p>
        </w:tc>
      </w:tr>
      <w:tr>
        <w:tblPrEx/>
        <w:trPr>
          <w:trHeight w:val="637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проведенных патриотических слетов, фестивалей для молодежи Печенгского муниципального округа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  <w:tr>
        <w:tblPrEx/>
        <w:trPr>
          <w:trHeight w:val="103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2.2.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ind w:left="33" w:hanging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молодежи в мероприятиях, направленных сохранность и восстановление воинских памятников и захоронений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участников Всероссийских, областных и региональных слетов, фестивалей и походов по местам боевой Славы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>
          <w:trHeight w:val="82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2.3.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ind w:left="33" w:hanging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2025-2027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восстановленных (отремонтированных) памятников Великой Отечественной войны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3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/>
          </w:p>
        </w:tc>
      </w:tr>
      <w:tr>
        <w:tblPrEx/>
        <w:trPr>
          <w:trHeight w:val="82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2.4.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textDirection w:val="lrTb"/>
            <w:noWrap w:val="false"/>
          </w:tcPr>
          <w:p>
            <w:pPr>
              <w:ind w:left="33" w:hanging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Создание условий для функционирования в муниципальных образованиях Комнат/Домов Всероссийского военно-патриотического движения «ЮНАРМИЯ»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2025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материально оснащенных Комнат/Домов Всероссийского военно-патриотического движения «ЮНАРМИЯ»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образования, СОШ №№ 7, 9</w:t>
            </w:r>
            <w:r/>
          </w:p>
        </w:tc>
      </w:tr>
      <w:tr>
        <w:tblPrEx/>
        <w:trPr/>
        <w:tc>
          <w:tcPr>
            <w:gridSpan w:val="9"/>
            <w:shd w:val="clear" w:color="auto" w:fill="auto"/>
            <w:tcW w:w="15451" w:type="dxa"/>
            <w:textDirection w:val="lrTb"/>
            <w:noWrap w:val="false"/>
          </w:tcPr>
          <w:p>
            <w:pPr>
              <w:widowControl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 xml:space="preserve">Основное мероприятие 3. </w:t>
            </w:r>
            <w:r>
              <w:rPr>
                <w:b/>
                <w:sz w:val="23"/>
                <w:szCs w:val="23"/>
              </w:rPr>
              <w:t xml:space="preserve"> 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b/>
                <w:bCs/>
                <w:sz w:val="23"/>
                <w:szCs w:val="23"/>
              </w:rPr>
            </w:r>
            <w:r>
              <w:rPr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641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3.1.</w:t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restart"/>
            <w:textDirection w:val="lrTb"/>
            <w:noWrap w:val="false"/>
          </w:tcPr>
          <w:p>
            <w:pPr>
              <w:ind w:left="33"/>
              <w:jc w:val="both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ind w:left="33" w:right="-108" w:hanging="33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                                                       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restart"/>
            <w:textDirection w:val="lrTb"/>
            <w:noWrap w:val="false"/>
          </w:tcPr>
          <w:p>
            <w:pPr>
              <w:jc w:val="center"/>
              <w:widowControl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2025-2027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Численность молодежи, охваченной кампаниями по профилактике потребления наркотических средств,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психоактивных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 веществ и алкоголя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Чел.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1700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1730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restart"/>
            <w:textDirection w:val="lrTb"/>
            <w:noWrap w:val="false"/>
          </w:tcPr>
          <w:p>
            <w:pPr>
              <w:jc w:val="center"/>
              <w:widowControl/>
            </w:pPr>
            <w:r>
              <w:t xml:space="preserve">Отдел </w:t>
            </w:r>
            <w:r>
              <w:t xml:space="preserve">КСиМП</w:t>
            </w:r>
            <w:r>
              <w:t xml:space="preserve">;</w:t>
            </w:r>
            <w:r/>
          </w:p>
          <w:p>
            <w:pPr>
              <w:jc w:val="center"/>
              <w:widowControl/>
            </w:pPr>
            <w:r>
              <w:t xml:space="preserve">МБУ «</w:t>
            </w:r>
            <w:r>
              <w:t xml:space="preserve">ЦПиРМИ</w:t>
            </w:r>
            <w:r>
              <w:t xml:space="preserve">»</w:t>
            </w:r>
            <w:r>
              <w:t xml:space="preserve">.</w:t>
            </w:r>
            <w:bookmarkStart w:id="1" w:name="_GoBack"/>
            <w:r/>
            <w:bookmarkEnd w:id="1"/>
            <w:r/>
            <w:r/>
          </w:p>
        </w:tc>
      </w:tr>
      <w:tr>
        <w:tblPrEx/>
        <w:trPr/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685" w:type="dxa"/>
            <w:vMerge w:val="continue"/>
            <w:textDirection w:val="lrTb"/>
            <w:noWrap w:val="false"/>
          </w:tcPr>
          <w:p>
            <w:pPr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418" w:type="dxa"/>
            <w:vMerge w:val="continue"/>
            <w:textDirection w:val="lrTb"/>
            <w:noWrap w:val="false"/>
          </w:tcPr>
          <w:p>
            <w:pPr>
              <w:jc w:val="center"/>
              <w:widowControl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  <w:r>
              <w:rPr>
                <w:sz w:val="23"/>
                <w:szCs w:val="23"/>
              </w:rPr>
            </w:r>
          </w:p>
        </w:tc>
        <w:tc>
          <w:tcPr>
            <w:shd w:val="clear" w:color="auto" w:fill="auto"/>
            <w:tcW w:w="3827" w:type="dxa"/>
            <w:textDirection w:val="lrTb"/>
            <w:noWrap w:val="false"/>
          </w:tcPr>
          <w:p>
            <w:pPr>
              <w:jc w:val="both"/>
              <w:widowControl/>
              <w:rPr>
                <w:color w:val="000000"/>
                <w:spacing w:val="1"/>
                <w:sz w:val="22"/>
                <w:szCs w:val="22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Количество общественных объединений, вовлеченных в проведение профилактических мероприятий</w:t>
            </w:r>
            <w:r>
              <w:rPr>
                <w:color w:val="000000"/>
                <w:spacing w:val="1"/>
                <w:sz w:val="22"/>
                <w:szCs w:val="22"/>
              </w:rPr>
            </w:r>
            <w:r>
              <w:rPr>
                <w:color w:val="000000"/>
                <w:spacing w:val="1"/>
                <w:sz w:val="22"/>
                <w:szCs w:val="22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Шт.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4</w:t>
            </w:r>
            <w:r>
              <w:rPr>
                <w:sz w:val="22"/>
                <w:szCs w:val="22"/>
                <w:lang w:val="en-US"/>
              </w:rPr>
            </w:r>
            <w:r>
              <w:rPr>
                <w:sz w:val="22"/>
                <w:szCs w:val="22"/>
                <w:lang w:val="en-US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менее 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  <w:p>
            <w:pPr>
              <w:jc w:val="center"/>
              <w:widowControl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</w: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shd w:val="clear" w:color="auto" w:fill="auto"/>
            <w:tcW w:w="1843" w:type="dxa"/>
            <w:vMerge w:val="continue"/>
            <w:textDirection w:val="lrTb"/>
            <w:noWrap w:val="false"/>
          </w:tcPr>
          <w:p>
            <w:pPr>
              <w:jc w:val="center"/>
              <w:widowControl/>
            </w:pPr>
            <w:r/>
            <w:r/>
          </w:p>
        </w:tc>
      </w:tr>
    </w:tbl>
    <w:p>
      <w:pPr>
        <w:jc w:val="both"/>
        <w:sectPr>
          <w:footnotePr/>
          <w:endnotePr/>
          <w:type w:val="nextPage"/>
          <w:pgSz w:w="16838" w:h="11906" w:orient="landscape"/>
          <w:pgMar w:top="851" w:right="1135" w:bottom="1135" w:left="993" w:header="708" w:footer="708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1135" w:right="850" w:bottom="993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2030504020204"/>
  </w:font>
  <w:font w:name="SimSun">
    <w:panose1 w:val="02010600030101010101"/>
  </w:font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onstantia">
    <w:panose1 w:val="02030602050306030303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7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0" w:firstLine="709"/>
        <w:tabs>
          <w:tab w:val="num" w:pos="1134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russianLower"/>
      <w:isLgl w:val="false"/>
      <w:suff w:val="tab"/>
      <w:lvlText w:val="%2)"/>
      <w:lvlJc w:val="left"/>
      <w:pPr>
        <w:ind w:left="371" w:firstLine="709"/>
        <w:tabs>
          <w:tab w:val="num" w:pos="1505" w:leader="none"/>
        </w:tabs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8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­"/>
      <w:lvlJc w:val="left"/>
      <w:pPr>
        <w:ind w:left="1440" w:hanging="360"/>
        <w:tabs>
          <w:tab w:val="num" w:pos="1440" w:leader="none"/>
        </w:tabs>
      </w:pPr>
      <w:rPr>
        <w:rFonts w:hint="default" w:ascii="Constantia" w:hAnsi="Constantia"/>
      </w:rPr>
    </w:lvl>
    <w:lvl w:ilvl="2">
      <w:start w:val="8"/>
      <w:numFmt w:val="bullet"/>
      <w:isLgl w:val="false"/>
      <w:suff w:val="tab"/>
      <w:lvlText w:val=""/>
      <w:lvlJc w:val="left"/>
      <w:pPr>
        <w:ind w:left="2340" w:hanging="360"/>
      </w:pPr>
      <w:rPr>
        <w:rFonts w:hint="default" w:ascii="Symbol" w:hAnsi="Symbol" w:eastAsia="Times New Roman"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3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decimal"/>
      <w:isLgl w:val="false"/>
      <w:suff w:val="tab"/>
      <w:lvlText w:val="3.%2."/>
      <w:lvlJc w:val="left"/>
      <w:pPr>
        <w:ind w:left="1080" w:firstLine="0"/>
        <w:tabs>
          <w:tab w:val="num" w:pos="1080" w:leader="none"/>
        </w:tabs>
      </w:pPr>
      <w:rPr>
        <w:rFonts w:hint="default" w:ascii="Times New Roman" w:hAnsi="Times New Roman" w:cs="Times New Roman"/>
      </w:rPr>
    </w:lvl>
    <w:lvl w:ilvl="2">
      <w:start w:val="1"/>
      <w:numFmt w:val="russianLower"/>
      <w:isLgl w:val="false"/>
      <w:suff w:val="tab"/>
      <w:lvlText w:val="%3)"/>
      <w:lvlJc w:val="left"/>
      <w:pPr>
        <w:ind w:left="0" w:firstLine="709"/>
        <w:tabs>
          <w:tab w:val="num" w:pos="1134" w:leader="none"/>
        </w:tabs>
      </w:pPr>
      <w:rPr>
        <w:rFonts w:hint="default"/>
      </w:rPr>
    </w:lvl>
    <w:lvl w:ilvl="3">
      <w:start w:val="1"/>
      <w:numFmt w:val="bullet"/>
      <w:isLgl w:val="false"/>
      <w:suff w:val="tab"/>
      <w:lvlText w:val="­"/>
      <w:lvlJc w:val="left"/>
      <w:pPr>
        <w:ind w:left="2880" w:hanging="360"/>
        <w:tabs>
          <w:tab w:val="num" w:pos="2880" w:leader="none"/>
        </w:tabs>
      </w:pPr>
      <w:rPr>
        <w:rFonts w:hint="default" w:ascii="Constantia" w:hAnsi="Constantia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260" w:hanging="360"/>
        <w:tabs>
          <w:tab w:val="num" w:pos="126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-141" w:firstLine="709"/>
        <w:tabs>
          <w:tab w:val="num" w:pos="568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299" w:hanging="360"/>
        <w:tabs>
          <w:tab w:val="num" w:pos="129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019" w:hanging="180"/>
        <w:tabs>
          <w:tab w:val="num" w:pos="201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739" w:hanging="360"/>
        <w:tabs>
          <w:tab w:val="num" w:pos="273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459" w:hanging="360"/>
        <w:tabs>
          <w:tab w:val="num" w:pos="345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179" w:hanging="180"/>
        <w:tabs>
          <w:tab w:val="num" w:pos="417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899" w:hanging="360"/>
        <w:tabs>
          <w:tab w:val="num" w:pos="489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619" w:hanging="360"/>
        <w:tabs>
          <w:tab w:val="num" w:pos="561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339" w:hanging="180"/>
        <w:tabs>
          <w:tab w:val="num" w:pos="6339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  <w:rPr>
        <w:rFonts w:hint="default"/>
      </w:rPr>
    </w:lvl>
    <w:lvl w:ilvl="1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2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3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4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5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6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7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  <w:lvl w:ilvl="8">
      <w:start w:val="1"/>
      <w:numFmt w:val="none"/>
      <w:isLgl w:val="false"/>
      <w:suff w:val="tab"/>
      <w:lvlText w:val=""/>
      <w:lvlJc w:val="left"/>
      <w:pPr>
        <w:tabs>
          <w:tab w:val="num" w:pos="360" w:leader="none"/>
        </w:tabs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5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14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  <w:i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709" w:firstLine="709"/>
        <w:tabs>
          <w:tab w:val="num" w:pos="1843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2062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5" w:hanging="975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2">
    <w:multiLevelType w:val="hybridMultilevel"/>
    <w:lvl w:ilvl="0">
      <w:start w:val="4"/>
      <w:numFmt w:val="decimal"/>
      <w:isLgl w:val="false"/>
      <w:suff w:val="tab"/>
      <w:lvlText w:val="10.%1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9.%1."/>
      <w:lvlJc w:val="left"/>
      <w:pPr>
        <w:ind w:left="915" w:firstLine="709"/>
        <w:tabs>
          <w:tab w:val="num" w:pos="1624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355" w:hanging="360"/>
        <w:tabs>
          <w:tab w:val="num" w:pos="2355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3075" w:hanging="180"/>
        <w:tabs>
          <w:tab w:val="num" w:pos="3075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795" w:hanging="360"/>
        <w:tabs>
          <w:tab w:val="num" w:pos="3795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515" w:hanging="360"/>
        <w:tabs>
          <w:tab w:val="num" w:pos="4515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235" w:hanging="180"/>
        <w:tabs>
          <w:tab w:val="num" w:pos="5235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955" w:hanging="360"/>
        <w:tabs>
          <w:tab w:val="num" w:pos="5955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675" w:hanging="360"/>
        <w:tabs>
          <w:tab w:val="num" w:pos="6675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395" w:hanging="180"/>
        <w:tabs>
          <w:tab w:val="num" w:pos="7395" w:leader="none"/>
        </w:tabs>
      </w:pPr>
    </w:lvl>
  </w:abstractNum>
  <w:abstractNum w:abstractNumId="27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­"/>
      <w:lvlJc w:val="left"/>
      <w:pPr>
        <w:ind w:left="1069" w:hanging="360"/>
      </w:pPr>
      <w:rPr>
        <w:rFonts w:hint="default" w:ascii="Constantia" w:hAnsi="Constantia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6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2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0" w:firstLine="0"/>
        <w:tabs>
          <w:tab w:val="num" w:pos="0" w:leader="none"/>
        </w:tabs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709" w:firstLine="0"/>
        <w:tabs>
          <w:tab w:val="num" w:pos="709" w:leader="none"/>
        </w:tabs>
      </w:pPr>
      <w:rPr>
        <w:rFonts w:hint="default" w:ascii="Times New Roman" w:hAnsi="Times New Roman" w:cs="Times New Roman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  <w:tabs>
          <w:tab w:val="num" w:pos="2149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  <w:tabs>
          <w:tab w:val="num" w:pos="2869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  <w:tabs>
          <w:tab w:val="num" w:pos="3589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  <w:tabs>
          <w:tab w:val="num" w:pos="4309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  <w:tabs>
          <w:tab w:val="num" w:pos="5029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  <w:tabs>
          <w:tab w:val="num" w:pos="5749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  <w:tabs>
          <w:tab w:val="num" w:pos="6469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  <w:tabs>
          <w:tab w:val="num" w:pos="7189" w:leader="none"/>
        </w:tabs>
      </w:pPr>
    </w:lvl>
  </w:abstractNum>
  <w:abstractNum w:abstractNumId="35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36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429" w:hanging="360"/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7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8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720" w:hanging="360"/>
        <w:tabs>
          <w:tab w:val="num" w:pos="720" w:leader="none"/>
        </w:tabs>
      </w:pPr>
      <w:rPr>
        <w:rFonts w:hint="default" w:ascii="Constantia" w:hAnsi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39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429" w:hanging="360"/>
      </w:pPr>
      <w:rPr>
        <w:rFonts w:hint="default" w:ascii="Times New Roman" w:hAnsi="Times New Roman" w:eastAsia="SimSun" w:cs="Times New Roman"/>
        <w:b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33"/>
  </w:num>
  <w:num w:numId="2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0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3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62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4">
    <w:abstractNumId w:val="29"/>
  </w:num>
  <w:num w:numId="5">
    <w:abstractNumId w:val="1"/>
  </w:num>
  <w:num w:numId="6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17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7">
    <w:abstractNumId w:val="0"/>
    <w:lvlOverride w:ilvl="0">
      <w:lvl w:ilvl="0">
        <w:start w:val="65535"/>
        <w:numFmt w:val="bullet"/>
        <w:isLgl w:val="false"/>
        <w:suff w:val="tab"/>
        <w:lvlText w:val="-"/>
        <w:legacy w:legacy="1" w:legacyIndent="364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8">
    <w:abstractNumId w:val="22"/>
  </w:num>
  <w:num w:numId="9">
    <w:abstractNumId w:val="12"/>
  </w:num>
  <w:num w:numId="10">
    <w:abstractNumId w:val="34"/>
  </w:num>
  <w:num w:numId="11">
    <w:abstractNumId w:val="11"/>
  </w:num>
  <w:num w:numId="12">
    <w:abstractNumId w:val="8"/>
  </w:num>
  <w:num w:numId="13">
    <w:abstractNumId w:val="5"/>
  </w:num>
  <w:num w:numId="14">
    <w:abstractNumId w:val="13"/>
  </w:num>
  <w:num w:numId="15">
    <w:abstractNumId w:val="2"/>
  </w:num>
  <w:num w:numId="16">
    <w:abstractNumId w:val="9"/>
  </w:num>
  <w:num w:numId="17">
    <w:abstractNumId w:val="0"/>
    <w:lvlOverride w:ilvl="0">
      <w:lvl w:ilvl="0">
        <w:start w:val="1"/>
        <w:numFmt w:val="decimal"/>
        <w:isLgl w:val="false"/>
        <w:suff w:val="tab"/>
        <w:lvlText w:val="7.%1."/>
        <w:lvlJc w:val="left"/>
        <w:pPr>
          <w:ind w:left="0" w:firstLine="0"/>
          <w:tabs>
            <w:tab w:val="num" w:pos="0" w:leader="none"/>
          </w:tabs>
        </w:pPr>
        <w:rPr>
          <w:rFonts w:hint="default" w:ascii="Times New Roman" w:hAnsi="Times New Roman" w:cs="Times New Roman"/>
        </w:rPr>
      </w:lvl>
    </w:lvlOverride>
  </w:num>
  <w:num w:numId="18">
    <w:abstractNumId w:val="15"/>
  </w:num>
  <w:num w:numId="19">
    <w:abstractNumId w:val="7"/>
  </w:num>
  <w:num w:numId="20">
    <w:abstractNumId w:val="10"/>
  </w:num>
  <w:num w:numId="21">
    <w:abstractNumId w:val="26"/>
  </w:num>
  <w:num w:numId="22">
    <w:abstractNumId w:val="38"/>
  </w:num>
  <w:num w:numId="23">
    <w:abstractNumId w:val="19"/>
  </w:num>
  <w:num w:numId="24">
    <w:abstractNumId w:val="25"/>
  </w:num>
  <w:num w:numId="25">
    <w:abstractNumId w:val="16"/>
  </w:num>
  <w:num w:numId="26">
    <w:abstractNumId w:val="4"/>
  </w:num>
  <w:num w:numId="27">
    <w:abstractNumId w:val="14"/>
  </w:num>
  <w:num w:numId="28">
    <w:abstractNumId w:val="27"/>
  </w:num>
  <w:num w:numId="29">
    <w:abstractNumId w:val="36"/>
  </w:num>
  <w:num w:numId="30">
    <w:abstractNumId w:val="20"/>
  </w:num>
  <w:num w:numId="31">
    <w:abstractNumId w:val="21"/>
  </w:num>
  <w:num w:numId="32">
    <w:abstractNumId w:val="31"/>
  </w:num>
  <w:num w:numId="33">
    <w:abstractNumId w:val="17"/>
  </w:num>
  <w:num w:numId="34">
    <w:abstractNumId w:val="23"/>
  </w:num>
  <w:num w:numId="35">
    <w:abstractNumId w:val="39"/>
  </w:num>
  <w:num w:numId="36">
    <w:abstractNumId w:val="6"/>
  </w:num>
  <w:num w:numId="37">
    <w:abstractNumId w:val="24"/>
  </w:num>
  <w:num w:numId="38">
    <w:abstractNumId w:val="30"/>
  </w:num>
  <w:num w:numId="39">
    <w:abstractNumId w:val="32"/>
  </w:num>
  <w:num w:numId="40">
    <w:abstractNumId w:val="37"/>
  </w:num>
  <w:num w:numId="41">
    <w:abstractNumId w:val="18"/>
  </w:num>
  <w:num w:numId="42">
    <w:abstractNumId w:val="35"/>
  </w:num>
  <w:num w:numId="43">
    <w:abstractNumId w:val="28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38">
    <w:name w:val="Heading 1"/>
    <w:basedOn w:val="908"/>
    <w:next w:val="908"/>
    <w:link w:val="73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9">
    <w:name w:val="Heading 1 Char"/>
    <w:basedOn w:val="910"/>
    <w:link w:val="738"/>
    <w:uiPriority w:val="9"/>
    <w:rPr>
      <w:rFonts w:ascii="Arial" w:hAnsi="Arial" w:eastAsia="Arial" w:cs="Arial"/>
      <w:sz w:val="40"/>
      <w:szCs w:val="40"/>
    </w:rPr>
  </w:style>
  <w:style w:type="character" w:styleId="740">
    <w:name w:val="Heading 2 Char"/>
    <w:basedOn w:val="910"/>
    <w:link w:val="909"/>
    <w:uiPriority w:val="9"/>
    <w:rPr>
      <w:rFonts w:ascii="Arial" w:hAnsi="Arial" w:eastAsia="Arial" w:cs="Arial"/>
      <w:sz w:val="34"/>
    </w:rPr>
  </w:style>
  <w:style w:type="paragraph" w:styleId="741">
    <w:name w:val="Heading 3"/>
    <w:basedOn w:val="908"/>
    <w:next w:val="908"/>
    <w:link w:val="74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42">
    <w:name w:val="Heading 3 Char"/>
    <w:basedOn w:val="910"/>
    <w:link w:val="741"/>
    <w:uiPriority w:val="9"/>
    <w:rPr>
      <w:rFonts w:ascii="Arial" w:hAnsi="Arial" w:eastAsia="Arial" w:cs="Arial"/>
      <w:sz w:val="30"/>
      <w:szCs w:val="30"/>
    </w:rPr>
  </w:style>
  <w:style w:type="paragraph" w:styleId="743">
    <w:name w:val="Heading 4"/>
    <w:basedOn w:val="908"/>
    <w:next w:val="908"/>
    <w:link w:val="74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44">
    <w:name w:val="Heading 4 Char"/>
    <w:basedOn w:val="910"/>
    <w:link w:val="743"/>
    <w:uiPriority w:val="9"/>
    <w:rPr>
      <w:rFonts w:ascii="Arial" w:hAnsi="Arial" w:eastAsia="Arial" w:cs="Arial"/>
      <w:b/>
      <w:bCs/>
      <w:sz w:val="26"/>
      <w:szCs w:val="26"/>
    </w:rPr>
  </w:style>
  <w:style w:type="paragraph" w:styleId="745">
    <w:name w:val="Heading 5"/>
    <w:basedOn w:val="908"/>
    <w:next w:val="908"/>
    <w:link w:val="74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46">
    <w:name w:val="Heading 5 Char"/>
    <w:basedOn w:val="910"/>
    <w:link w:val="745"/>
    <w:uiPriority w:val="9"/>
    <w:rPr>
      <w:rFonts w:ascii="Arial" w:hAnsi="Arial" w:eastAsia="Arial" w:cs="Arial"/>
      <w:b/>
      <w:bCs/>
      <w:sz w:val="24"/>
      <w:szCs w:val="24"/>
    </w:rPr>
  </w:style>
  <w:style w:type="paragraph" w:styleId="747">
    <w:name w:val="Heading 6"/>
    <w:basedOn w:val="908"/>
    <w:next w:val="908"/>
    <w:link w:val="74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8">
    <w:name w:val="Heading 6 Char"/>
    <w:basedOn w:val="910"/>
    <w:link w:val="747"/>
    <w:uiPriority w:val="9"/>
    <w:rPr>
      <w:rFonts w:ascii="Arial" w:hAnsi="Arial" w:eastAsia="Arial" w:cs="Arial"/>
      <w:b/>
      <w:bCs/>
      <w:sz w:val="22"/>
      <w:szCs w:val="22"/>
    </w:rPr>
  </w:style>
  <w:style w:type="paragraph" w:styleId="749">
    <w:name w:val="Heading 7"/>
    <w:basedOn w:val="908"/>
    <w:next w:val="908"/>
    <w:link w:val="75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7 Char"/>
    <w:basedOn w:val="910"/>
    <w:link w:val="74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51">
    <w:name w:val="Heading 8"/>
    <w:basedOn w:val="908"/>
    <w:next w:val="908"/>
    <w:link w:val="75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52">
    <w:name w:val="Heading 8 Char"/>
    <w:basedOn w:val="910"/>
    <w:link w:val="751"/>
    <w:uiPriority w:val="9"/>
    <w:rPr>
      <w:rFonts w:ascii="Arial" w:hAnsi="Arial" w:eastAsia="Arial" w:cs="Arial"/>
      <w:i/>
      <w:iCs/>
      <w:sz w:val="22"/>
      <w:szCs w:val="22"/>
    </w:rPr>
  </w:style>
  <w:style w:type="paragraph" w:styleId="753">
    <w:name w:val="Heading 9"/>
    <w:basedOn w:val="908"/>
    <w:next w:val="908"/>
    <w:link w:val="75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54">
    <w:name w:val="Heading 9 Char"/>
    <w:basedOn w:val="910"/>
    <w:link w:val="753"/>
    <w:uiPriority w:val="9"/>
    <w:rPr>
      <w:rFonts w:ascii="Arial" w:hAnsi="Arial" w:eastAsia="Arial" w:cs="Arial"/>
      <w:i/>
      <w:iCs/>
      <w:sz w:val="21"/>
      <w:szCs w:val="21"/>
    </w:rPr>
  </w:style>
  <w:style w:type="paragraph" w:styleId="755">
    <w:name w:val="Title"/>
    <w:basedOn w:val="908"/>
    <w:next w:val="908"/>
    <w:link w:val="75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6">
    <w:name w:val="Title Char"/>
    <w:basedOn w:val="910"/>
    <w:link w:val="755"/>
    <w:uiPriority w:val="10"/>
    <w:rPr>
      <w:sz w:val="48"/>
      <w:szCs w:val="48"/>
    </w:rPr>
  </w:style>
  <w:style w:type="paragraph" w:styleId="757">
    <w:name w:val="Subtitle"/>
    <w:basedOn w:val="908"/>
    <w:next w:val="908"/>
    <w:link w:val="758"/>
    <w:uiPriority w:val="11"/>
    <w:qFormat/>
    <w:pPr>
      <w:spacing w:before="200" w:after="200"/>
    </w:pPr>
    <w:rPr>
      <w:sz w:val="24"/>
      <w:szCs w:val="24"/>
    </w:rPr>
  </w:style>
  <w:style w:type="character" w:styleId="758">
    <w:name w:val="Subtitle Char"/>
    <w:basedOn w:val="910"/>
    <w:link w:val="757"/>
    <w:uiPriority w:val="11"/>
    <w:rPr>
      <w:sz w:val="24"/>
      <w:szCs w:val="24"/>
    </w:rPr>
  </w:style>
  <w:style w:type="paragraph" w:styleId="759">
    <w:name w:val="Quote"/>
    <w:basedOn w:val="908"/>
    <w:next w:val="908"/>
    <w:link w:val="760"/>
    <w:uiPriority w:val="29"/>
    <w:qFormat/>
    <w:pPr>
      <w:ind w:left="720" w:right="720"/>
    </w:pPr>
    <w:rPr>
      <w:i/>
    </w:rPr>
  </w:style>
  <w:style w:type="character" w:styleId="760">
    <w:name w:val="Quote Char"/>
    <w:link w:val="759"/>
    <w:uiPriority w:val="29"/>
    <w:rPr>
      <w:i/>
    </w:rPr>
  </w:style>
  <w:style w:type="paragraph" w:styleId="761">
    <w:name w:val="Intense Quote"/>
    <w:basedOn w:val="908"/>
    <w:next w:val="908"/>
    <w:link w:val="76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2">
    <w:name w:val="Intense Quote Char"/>
    <w:link w:val="761"/>
    <w:uiPriority w:val="30"/>
    <w:rPr>
      <w:i/>
    </w:rPr>
  </w:style>
  <w:style w:type="character" w:styleId="763">
    <w:name w:val="Header Char"/>
    <w:basedOn w:val="910"/>
    <w:link w:val="918"/>
    <w:uiPriority w:val="99"/>
  </w:style>
  <w:style w:type="character" w:styleId="764">
    <w:name w:val="Footer Char"/>
    <w:basedOn w:val="910"/>
    <w:link w:val="932"/>
    <w:uiPriority w:val="99"/>
  </w:style>
  <w:style w:type="character" w:styleId="765">
    <w:name w:val="Caption Char"/>
    <w:basedOn w:val="925"/>
    <w:link w:val="932"/>
    <w:uiPriority w:val="99"/>
  </w:style>
  <w:style w:type="table" w:styleId="766">
    <w:name w:val="Table Grid Light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7">
    <w:name w:val="Plain Table 1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8">
    <w:name w:val="Plain Table 2"/>
    <w:basedOn w:val="91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9">
    <w:name w:val="Plain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0">
    <w:name w:val="Plain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Plain Table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2">
    <w:name w:val="Grid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Grid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Grid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4">
    <w:name w:val="Grid Table 4 - Accent 1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5">
    <w:name w:val="Grid Table 4 - Accent 2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Grid Table 4 - Accent 3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7">
    <w:name w:val="Grid Table 4 - Accent 4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Grid Table 4 - Accent 5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9">
    <w:name w:val="Grid Table 4 - Accent 6"/>
    <w:basedOn w:val="91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00">
    <w:name w:val="Grid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01">
    <w:name w:val="Grid Table 5 Dark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2">
    <w:name w:val="Grid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4">
    <w:name w:val="Grid Table 5 Dark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5">
    <w:name w:val="Grid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6">
    <w:name w:val="Grid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7">
    <w:name w:val="Grid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8">
    <w:name w:val="Grid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9">
    <w:name w:val="Grid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10">
    <w:name w:val="Grid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11">
    <w:name w:val="Grid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2">
    <w:name w:val="Grid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3">
    <w:name w:val="Grid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4">
    <w:name w:val="Grid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1 Light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List Table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9">
    <w:name w:val="List Table 2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30">
    <w:name w:val="List Table 2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31">
    <w:name w:val="List Table 2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2">
    <w:name w:val="List Table 2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3">
    <w:name w:val="List Table 2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4">
    <w:name w:val="List Table 2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5">
    <w:name w:val="List Table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3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3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4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5 Dark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5 Dark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5">
    <w:name w:val="List Table 5 Dark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6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8">
    <w:name w:val="List Table 6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9">
    <w:name w:val="List Table 6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60">
    <w:name w:val="List Table 6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61">
    <w:name w:val="List Table 6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2">
    <w:name w:val="List Table 6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3">
    <w:name w:val="List Table 7 Colorful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4">
    <w:name w:val="List Table 7 Colorful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5">
    <w:name w:val="List Table 7 Colorful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6">
    <w:name w:val="List Table 7 Colorful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7">
    <w:name w:val="List Table 7 Colorful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8">
    <w:name w:val="List Table 7 Colorful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9">
    <w:name w:val="List Table 7 Colorful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70">
    <w:name w:val="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1">
    <w:name w:val="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2">
    <w:name w:val="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3">
    <w:name w:val="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4">
    <w:name w:val="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5">
    <w:name w:val="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6">
    <w:name w:val="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7">
    <w:name w:val="Bordered &amp; Lined - Accent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8">
    <w:name w:val="Bordered &amp; Lined - Accent 1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9">
    <w:name w:val="Bordered &amp; Lined - Accent 2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0">
    <w:name w:val="Bordered &amp; Lined - Accent 3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1">
    <w:name w:val="Bordered &amp; Lined - Accent 4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2">
    <w:name w:val="Bordered &amp; Lined - Accent 5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3">
    <w:name w:val="Bordered &amp; Lined - Accent 6"/>
    <w:basedOn w:val="91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4">
    <w:name w:val="Bordered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5">
    <w:name w:val="Bordered - Accent 1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6">
    <w:name w:val="Bordered - Accent 2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7">
    <w:name w:val="Bordered - Accent 3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8">
    <w:name w:val="Bordered - Accent 4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9">
    <w:name w:val="Bordered - Accent 5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90">
    <w:name w:val="Bordered - Accent 6"/>
    <w:basedOn w:val="91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91">
    <w:name w:val="footnote text"/>
    <w:basedOn w:val="908"/>
    <w:link w:val="892"/>
    <w:uiPriority w:val="99"/>
    <w:semiHidden/>
    <w:unhideWhenUsed/>
    <w:pPr>
      <w:spacing w:after="40" w:line="240" w:lineRule="auto"/>
    </w:pPr>
    <w:rPr>
      <w:sz w:val="18"/>
    </w:rPr>
  </w:style>
  <w:style w:type="character" w:styleId="892">
    <w:name w:val="Footnote Text Char"/>
    <w:link w:val="891"/>
    <w:uiPriority w:val="99"/>
    <w:rPr>
      <w:sz w:val="18"/>
    </w:rPr>
  </w:style>
  <w:style w:type="character" w:styleId="893">
    <w:name w:val="footnote reference"/>
    <w:basedOn w:val="910"/>
    <w:uiPriority w:val="99"/>
    <w:unhideWhenUsed/>
    <w:rPr>
      <w:vertAlign w:val="superscript"/>
    </w:rPr>
  </w:style>
  <w:style w:type="paragraph" w:styleId="894">
    <w:name w:val="endnote text"/>
    <w:basedOn w:val="908"/>
    <w:link w:val="895"/>
    <w:uiPriority w:val="99"/>
    <w:semiHidden/>
    <w:unhideWhenUsed/>
    <w:pPr>
      <w:spacing w:after="0" w:line="240" w:lineRule="auto"/>
    </w:pPr>
    <w:rPr>
      <w:sz w:val="20"/>
    </w:rPr>
  </w:style>
  <w:style w:type="character" w:styleId="895">
    <w:name w:val="Endnote Text Char"/>
    <w:link w:val="894"/>
    <w:uiPriority w:val="99"/>
    <w:rPr>
      <w:sz w:val="20"/>
    </w:rPr>
  </w:style>
  <w:style w:type="character" w:styleId="896">
    <w:name w:val="endnote reference"/>
    <w:basedOn w:val="910"/>
    <w:uiPriority w:val="99"/>
    <w:semiHidden/>
    <w:unhideWhenUsed/>
    <w:rPr>
      <w:vertAlign w:val="superscript"/>
    </w:rPr>
  </w:style>
  <w:style w:type="paragraph" w:styleId="897">
    <w:name w:val="toc 1"/>
    <w:basedOn w:val="908"/>
    <w:next w:val="908"/>
    <w:uiPriority w:val="39"/>
    <w:unhideWhenUsed/>
    <w:pPr>
      <w:ind w:left="0" w:right="0" w:firstLine="0"/>
      <w:spacing w:after="57"/>
    </w:pPr>
  </w:style>
  <w:style w:type="paragraph" w:styleId="898">
    <w:name w:val="toc 2"/>
    <w:basedOn w:val="908"/>
    <w:next w:val="908"/>
    <w:uiPriority w:val="39"/>
    <w:unhideWhenUsed/>
    <w:pPr>
      <w:ind w:left="283" w:right="0" w:firstLine="0"/>
      <w:spacing w:after="57"/>
    </w:pPr>
  </w:style>
  <w:style w:type="paragraph" w:styleId="899">
    <w:name w:val="toc 3"/>
    <w:basedOn w:val="908"/>
    <w:next w:val="908"/>
    <w:uiPriority w:val="39"/>
    <w:unhideWhenUsed/>
    <w:pPr>
      <w:ind w:left="567" w:right="0" w:firstLine="0"/>
      <w:spacing w:after="57"/>
    </w:pPr>
  </w:style>
  <w:style w:type="paragraph" w:styleId="900">
    <w:name w:val="toc 4"/>
    <w:basedOn w:val="908"/>
    <w:next w:val="908"/>
    <w:uiPriority w:val="39"/>
    <w:unhideWhenUsed/>
    <w:pPr>
      <w:ind w:left="850" w:right="0" w:firstLine="0"/>
      <w:spacing w:after="57"/>
    </w:pPr>
  </w:style>
  <w:style w:type="paragraph" w:styleId="901">
    <w:name w:val="toc 5"/>
    <w:basedOn w:val="908"/>
    <w:next w:val="908"/>
    <w:uiPriority w:val="39"/>
    <w:unhideWhenUsed/>
    <w:pPr>
      <w:ind w:left="1134" w:right="0" w:firstLine="0"/>
      <w:spacing w:after="57"/>
    </w:pPr>
  </w:style>
  <w:style w:type="paragraph" w:styleId="902">
    <w:name w:val="toc 6"/>
    <w:basedOn w:val="908"/>
    <w:next w:val="908"/>
    <w:uiPriority w:val="39"/>
    <w:unhideWhenUsed/>
    <w:pPr>
      <w:ind w:left="1417" w:right="0" w:firstLine="0"/>
      <w:spacing w:after="57"/>
    </w:pPr>
  </w:style>
  <w:style w:type="paragraph" w:styleId="903">
    <w:name w:val="toc 7"/>
    <w:basedOn w:val="908"/>
    <w:next w:val="908"/>
    <w:uiPriority w:val="39"/>
    <w:unhideWhenUsed/>
    <w:pPr>
      <w:ind w:left="1701" w:right="0" w:firstLine="0"/>
      <w:spacing w:after="57"/>
    </w:pPr>
  </w:style>
  <w:style w:type="paragraph" w:styleId="904">
    <w:name w:val="toc 8"/>
    <w:basedOn w:val="908"/>
    <w:next w:val="908"/>
    <w:uiPriority w:val="39"/>
    <w:unhideWhenUsed/>
    <w:pPr>
      <w:ind w:left="1984" w:right="0" w:firstLine="0"/>
      <w:spacing w:after="57"/>
    </w:pPr>
  </w:style>
  <w:style w:type="paragraph" w:styleId="905">
    <w:name w:val="toc 9"/>
    <w:basedOn w:val="908"/>
    <w:next w:val="908"/>
    <w:uiPriority w:val="39"/>
    <w:unhideWhenUsed/>
    <w:pPr>
      <w:ind w:left="2268" w:right="0" w:firstLine="0"/>
      <w:spacing w:after="57"/>
    </w:pPr>
  </w:style>
  <w:style w:type="paragraph" w:styleId="906">
    <w:name w:val="TOC Heading"/>
    <w:uiPriority w:val="39"/>
    <w:unhideWhenUsed/>
  </w:style>
  <w:style w:type="paragraph" w:styleId="907">
    <w:name w:val="table of figures"/>
    <w:basedOn w:val="908"/>
    <w:next w:val="908"/>
    <w:uiPriority w:val="99"/>
    <w:unhideWhenUsed/>
    <w:pPr>
      <w:spacing w:after="0" w:afterAutospacing="0"/>
    </w:pPr>
  </w:style>
  <w:style w:type="paragraph" w:styleId="908" w:default="1">
    <w:name w:val="Normal"/>
    <w:qFormat/>
    <w:pPr>
      <w:widowControl w:val="off"/>
    </w:pPr>
    <w:rPr>
      <w:rFonts w:ascii="Times New Roman" w:hAnsi="Times New Roman" w:eastAsia="Times New Roman"/>
    </w:rPr>
  </w:style>
  <w:style w:type="paragraph" w:styleId="909">
    <w:name w:val="Heading 2"/>
    <w:basedOn w:val="908"/>
    <w:next w:val="908"/>
    <w:link w:val="913"/>
    <w:qFormat/>
    <w:pPr>
      <w:jc w:val="center"/>
      <w:keepNext/>
      <w:widowControl/>
      <w:outlineLvl w:val="1"/>
    </w:pPr>
    <w:rPr>
      <w:b/>
      <w:sz w:val="44"/>
      <w:szCs w:val="24"/>
    </w:rPr>
  </w:style>
  <w:style w:type="character" w:styleId="910" w:default="1">
    <w:name w:val="Default Paragraph Font"/>
    <w:uiPriority w:val="1"/>
    <w:semiHidden/>
    <w:unhideWhenUsed/>
  </w:style>
  <w:style w:type="table" w:styleId="91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12" w:default="1">
    <w:name w:val="No List"/>
    <w:uiPriority w:val="99"/>
    <w:semiHidden/>
    <w:unhideWhenUsed/>
  </w:style>
  <w:style w:type="character" w:styleId="913" w:customStyle="1">
    <w:name w:val="Заголовок 2 Знак"/>
    <w:link w:val="909"/>
    <w:rPr>
      <w:rFonts w:ascii="Times New Roman" w:hAnsi="Times New Roman" w:eastAsia="Times New Roman" w:cs="Times New Roman"/>
      <w:b/>
      <w:sz w:val="44"/>
      <w:szCs w:val="24"/>
      <w:lang w:eastAsia="ru-RU"/>
    </w:rPr>
  </w:style>
  <w:style w:type="paragraph" w:styleId="914">
    <w:name w:val="Balloon Text"/>
    <w:basedOn w:val="908"/>
    <w:link w:val="915"/>
    <w:semiHidden/>
    <w:rPr>
      <w:rFonts w:ascii="Tahoma" w:hAnsi="Tahoma" w:cs="Tahoma"/>
      <w:sz w:val="16"/>
      <w:szCs w:val="16"/>
    </w:rPr>
  </w:style>
  <w:style w:type="character" w:styleId="915" w:customStyle="1">
    <w:name w:val="Текст выноски Знак"/>
    <w:link w:val="914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916">
    <w:name w:val="Normal (Web)"/>
    <w:basedOn w:val="908"/>
    <w:pPr>
      <w:spacing w:before="100" w:beforeAutospacing="1" w:after="100" w:afterAutospacing="1"/>
      <w:widowControl/>
    </w:pPr>
    <w:rPr>
      <w:sz w:val="24"/>
      <w:szCs w:val="24"/>
    </w:rPr>
  </w:style>
  <w:style w:type="table" w:styleId="917">
    <w:name w:val="Table Grid"/>
    <w:basedOn w:val="911"/>
    <w:pPr>
      <w:widowControl w:val="off"/>
    </w:pPr>
    <w:rPr>
      <w:rFonts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18">
    <w:name w:val="Header"/>
    <w:basedOn w:val="908"/>
    <w:link w:val="919"/>
    <w:pPr>
      <w:widowControl/>
      <w:tabs>
        <w:tab w:val="center" w:pos="4677" w:leader="none"/>
        <w:tab w:val="right" w:pos="9355" w:leader="none"/>
      </w:tabs>
    </w:pPr>
    <w:rPr>
      <w:sz w:val="28"/>
      <w:szCs w:val="24"/>
    </w:rPr>
  </w:style>
  <w:style w:type="character" w:styleId="919" w:customStyle="1">
    <w:name w:val="Верхний колонтитул Знак"/>
    <w:link w:val="918"/>
    <w:rPr>
      <w:rFonts w:ascii="Times New Roman" w:hAnsi="Times New Roman" w:eastAsia="Times New Roman" w:cs="Times New Roman"/>
      <w:sz w:val="28"/>
      <w:szCs w:val="24"/>
      <w:lang w:eastAsia="ru-RU"/>
    </w:rPr>
  </w:style>
  <w:style w:type="paragraph" w:styleId="920">
    <w:name w:val="Body Text Indent"/>
    <w:basedOn w:val="908"/>
    <w:link w:val="921"/>
    <w:pPr>
      <w:ind w:left="283"/>
      <w:spacing w:after="120"/>
      <w:widowControl/>
    </w:pPr>
    <w:rPr>
      <w:sz w:val="24"/>
      <w:szCs w:val="24"/>
    </w:rPr>
  </w:style>
  <w:style w:type="character" w:styleId="921" w:customStyle="1">
    <w:name w:val="Основной текст с отступом Знак"/>
    <w:link w:val="920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2" w:customStyle="1">
    <w:name w:val="ConsPlusNonformat"/>
    <w:rPr>
      <w:rFonts w:ascii="Courier New" w:hAnsi="Courier New" w:eastAsia="Times New Roman" w:cs="Courier New"/>
    </w:rPr>
  </w:style>
  <w:style w:type="paragraph" w:styleId="923">
    <w:name w:val="Body Text"/>
    <w:basedOn w:val="908"/>
    <w:link w:val="924"/>
    <w:pPr>
      <w:spacing w:after="120"/>
    </w:pPr>
  </w:style>
  <w:style w:type="character" w:styleId="924" w:customStyle="1">
    <w:name w:val="Основной текст Знак"/>
    <w:link w:val="92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925">
    <w:name w:val="Caption"/>
    <w:basedOn w:val="908"/>
    <w:next w:val="908"/>
    <w:qFormat/>
    <w:pPr>
      <w:jc w:val="center"/>
      <w:widowControl/>
    </w:pPr>
    <w:rPr>
      <w:b/>
      <w:sz w:val="32"/>
    </w:rPr>
  </w:style>
  <w:style w:type="paragraph" w:styleId="926">
    <w:name w:val="Body Text Indent 2"/>
    <w:basedOn w:val="908"/>
    <w:link w:val="927"/>
    <w:pPr>
      <w:ind w:left="283"/>
      <w:spacing w:after="120" w:line="480" w:lineRule="auto"/>
      <w:widowControl/>
    </w:pPr>
    <w:rPr>
      <w:sz w:val="24"/>
      <w:szCs w:val="24"/>
    </w:rPr>
  </w:style>
  <w:style w:type="character" w:styleId="927" w:customStyle="1">
    <w:name w:val="Основной текст с отступом 2 Знак"/>
    <w:link w:val="926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8">
    <w:name w:val="List Paragraph"/>
    <w:basedOn w:val="908"/>
    <w:qFormat/>
    <w:pPr>
      <w:contextualSpacing/>
      <w:ind w:left="720"/>
      <w:spacing w:after="200" w:line="276" w:lineRule="auto"/>
      <w:widowControl/>
    </w:pPr>
    <w:rPr>
      <w:rFonts w:ascii="Calibri" w:hAnsi="Calibri" w:eastAsia="Calibri"/>
      <w:sz w:val="22"/>
      <w:szCs w:val="22"/>
      <w:lang w:eastAsia="en-US"/>
    </w:rPr>
  </w:style>
  <w:style w:type="paragraph" w:styleId="929">
    <w:name w:val="No Spacing"/>
    <w:uiPriority w:val="1"/>
    <w:qFormat/>
    <w:rPr>
      <w:rFonts w:cs="Calibri"/>
      <w:sz w:val="22"/>
      <w:szCs w:val="22"/>
      <w:lang w:eastAsia="en-US"/>
    </w:rPr>
  </w:style>
  <w:style w:type="paragraph" w:styleId="930" w:customStyle="1">
    <w:name w:val="ConsPlusNormal"/>
    <w:rPr>
      <w:rFonts w:ascii="Times New Roman" w:hAnsi="Times New Roman" w:eastAsia="Times New Roman"/>
      <w:sz w:val="24"/>
      <w:szCs w:val="24"/>
    </w:rPr>
  </w:style>
  <w:style w:type="character" w:styleId="931" w:customStyle="1">
    <w:name w:val="Font Style33"/>
    <w:uiPriority w:val="99"/>
    <w:rPr>
      <w:rFonts w:ascii="Times New Roman" w:hAnsi="Times New Roman" w:cs="Times New Roman"/>
      <w:b/>
      <w:bCs/>
      <w:sz w:val="24"/>
      <w:szCs w:val="24"/>
    </w:rPr>
  </w:style>
  <w:style w:type="paragraph" w:styleId="932">
    <w:name w:val="Footer"/>
    <w:basedOn w:val="908"/>
    <w:link w:val="93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33" w:customStyle="1">
    <w:name w:val="Нижний колонтитул Знак"/>
    <w:link w:val="932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934">
    <w:name w:val="Hyperlink"/>
    <w:basedOn w:val="910"/>
    <w:uiPriority w:val="99"/>
    <w:unhideWhenUsed/>
    <w:rPr>
      <w:color w:val="0000ff" w:themeColor="hyperlink"/>
      <w:u w:val="single"/>
    </w:rPr>
  </w:style>
  <w:style w:type="paragraph" w:styleId="935" w:customStyle="1">
    <w:name w:val="Абзац списка1"/>
    <w:basedOn w:val="908"/>
    <w:pPr>
      <w:ind w:left="720"/>
      <w:spacing w:after="200" w:line="276" w:lineRule="auto"/>
      <w:widowControl/>
    </w:pPr>
    <w:rPr>
      <w:rFonts w:ascii="Calibri" w:hAnsi="Calibri" w:eastAsia="Calibri" w:cs="Calibri"/>
      <w:sz w:val="22"/>
      <w:szCs w:val="22"/>
      <w:lang w:eastAsia="en-US"/>
    </w:rPr>
  </w:style>
  <w:style w:type="paragraph" w:styleId="936">
    <w:name w:val="Body Text 2"/>
    <w:basedOn w:val="908"/>
    <w:link w:val="937"/>
    <w:uiPriority w:val="99"/>
    <w:semiHidden/>
    <w:unhideWhenUsed/>
    <w:pPr>
      <w:spacing w:after="120" w:line="480" w:lineRule="auto"/>
    </w:pPr>
  </w:style>
  <w:style w:type="character" w:styleId="937" w:customStyle="1">
    <w:name w:val="Основной текст 2 Знак"/>
    <w:basedOn w:val="910"/>
    <w:link w:val="936"/>
    <w:uiPriority w:val="99"/>
    <w:semiHidden/>
    <w:rPr>
      <w:rFonts w:ascii="Times New Roman" w:hAnsi="Times New Roman" w:eastAsia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BF4926-9794-4193-974D-C1FA97A28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4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Татаринцева Наталия Андреевна</dc:creator>
  <cp:revision>4</cp:revision>
  <dcterms:created xsi:type="dcterms:W3CDTF">2025-12-22T13:22:00Z</dcterms:created>
  <dcterms:modified xsi:type="dcterms:W3CDTF">2025-12-26T07:46:13Z</dcterms:modified>
</cp:coreProperties>
</file>