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т</w:t>
      </w:r>
      <w:r>
        <w:rPr>
          <w:b/>
        </w:rPr>
        <w:t xml:space="preserve"> 29.12.2025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№ 2260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наделении полномочиями администратора доходов, определении порядка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их исполнения и </w:t>
      </w:r>
      <w:r>
        <w:rPr>
          <w:b/>
          <w:sz w:val="20"/>
          <w:szCs w:val="20"/>
        </w:rPr>
        <w:t xml:space="preserve">закреплении</w:t>
      </w:r>
      <w:r>
        <w:rPr>
          <w:b/>
          <w:sz w:val="20"/>
          <w:szCs w:val="20"/>
        </w:rPr>
        <w:t xml:space="preserve"> кодов бюджетной классификации в отношении кодов доходов бюджета 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r/>
      <w:r/>
    </w:p>
    <w:p>
      <w:r/>
      <w:r/>
    </w:p>
    <w:p>
      <w:pPr>
        <w:ind w:left="0" w:right="0" w:firstLine="709"/>
        <w:jc w:val="both"/>
      </w:pPr>
      <w:r>
        <w:t xml:space="preserve">Руководствуясь Бюджетным кодексом Российской Федерации, решением Совета депутатов Печенгского муниципального округа от </w:t>
      </w:r>
      <w:r>
        <w:t xml:space="preserve">19</w:t>
      </w:r>
      <w:r>
        <w:t xml:space="preserve">.12.202</w:t>
      </w:r>
      <w:r>
        <w:t xml:space="preserve">5</w:t>
      </w:r>
      <w:r>
        <w:t xml:space="preserve"> № </w:t>
      </w:r>
      <w:r>
        <w:t xml:space="preserve">22</w:t>
      </w:r>
      <w:r>
        <w:t xml:space="preserve"> «О бюджете округа на 202</w:t>
      </w:r>
      <w:r>
        <w:t xml:space="preserve">6</w:t>
      </w:r>
      <w:r>
        <w:t xml:space="preserve"> год и плановый период 202</w:t>
      </w:r>
      <w:r>
        <w:t xml:space="preserve">7</w:t>
      </w:r>
      <w:r>
        <w:t xml:space="preserve"> и 202</w:t>
      </w:r>
      <w:r>
        <w:t xml:space="preserve">8</w:t>
      </w:r>
      <w:r>
        <w:t xml:space="preserve"> годов», </w:t>
      </w:r>
      <w:r/>
    </w:p>
    <w:p>
      <w:pPr>
        <w:ind w:left="0" w:right="0" w:firstLine="709"/>
        <w:jc w:val="both"/>
      </w:pPr>
      <w:r/>
      <w:r/>
    </w:p>
    <w:p>
      <w:pPr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0" w:right="0" w:firstLine="709"/>
        <w:jc w:val="both"/>
        <w:tabs>
          <w:tab w:val="left" w:pos="1080" w:leader="none"/>
          <w:tab w:val="left" w:pos="1440" w:leader="none"/>
        </w:tabs>
        <w:rPr>
          <w:b/>
          <w:bCs w:val="0"/>
          <w:i w:val="0"/>
          <w:color w:val="0000ff"/>
        </w:rPr>
      </w:pPr>
      <w:r>
        <w:t xml:space="preserve">1. Наделить администраторов доходов, подведомственных администрации Печенгского муниципального округа, полномочиями администратора доходов бюджетной системы Российской Федерации по кодам бюджетной классификации согласно приложениям №№ 1, 2, 3, 4.</w:t>
      </w:r>
      <w:r>
        <w:rPr>
          <w:b/>
          <w:bCs w:val="0"/>
          <w:i w:val="0"/>
          <w:color w:val="0000ff"/>
        </w:rPr>
      </w:r>
      <w:r>
        <w:rPr>
          <w:b/>
          <w:bCs w:val="0"/>
          <w:i w:val="0"/>
          <w:color w:val="0000ff"/>
        </w:rPr>
      </w:r>
    </w:p>
    <w:p>
      <w:pPr>
        <w:ind w:left="0" w:right="0" w:firstLine="709"/>
        <w:jc w:val="both"/>
        <w:tabs>
          <w:tab w:val="left" w:pos="1080" w:leader="none"/>
          <w:tab w:val="left" w:pos="1440" w:leader="none"/>
        </w:tabs>
      </w:pPr>
      <w:r>
        <w:t xml:space="preserve">2. Администраторам доходов в отношении кодов доходов бюджета Печенгского муниципального округа (далее – бюджет округа) осуществлять бюджетные полномочия, установленные пунктом 2 статьи 160.1 Бюджетного кодекса Российской Федерации. </w:t>
      </w:r>
      <w:r/>
    </w:p>
    <w:p>
      <w:pPr>
        <w:ind w:left="0" w:right="0" w:firstLine="709"/>
        <w:jc w:val="both"/>
        <w:tabs>
          <w:tab w:val="left" w:pos="1080" w:leader="none"/>
        </w:tabs>
      </w:pPr>
      <w:r>
        <w:t xml:space="preserve">3. Администраторам доходов определить дополнительный порядок исполнения бюджетных полномочий: </w:t>
      </w:r>
      <w:r/>
    </w:p>
    <w:p>
      <w:pPr>
        <w:ind w:left="0" w:right="0" w:firstLine="709"/>
        <w:jc w:val="both"/>
      </w:pPr>
      <w:r>
        <w:t xml:space="preserve">3.1. </w:t>
      </w:r>
      <w:r>
        <w:t xml:space="preserve">Осуществлять учет поступлений администрируемых доходов бюджетов бюджетной системы Российской Федерации на основании документов, предоставляемых из территориальных органов Федерального казна</w:t>
      </w:r>
      <w:r>
        <w:t xml:space="preserve">чейства по Мурманской области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Федерации, утвержденным Приказом Минфина России от </w:t>
      </w:r>
      <w:r>
        <w:t xml:space="preserve">15</w:t>
      </w:r>
      <w:r>
        <w:t xml:space="preserve">.1</w:t>
      </w:r>
      <w:r>
        <w:t xml:space="preserve">1</w:t>
      </w:r>
      <w:r>
        <w:t xml:space="preserve">.202</w:t>
      </w:r>
      <w:r>
        <w:t xml:space="preserve">4</w:t>
      </w:r>
      <w:r>
        <w:t xml:space="preserve"> № 1</w:t>
      </w:r>
      <w:r>
        <w:t xml:space="preserve">72</w:t>
      </w:r>
      <w:r>
        <w:t xml:space="preserve">н «Об утверждении Порядка учета Федеральным казначейством поступлений в бюджетную</w:t>
      </w:r>
      <w:r>
        <w:t xml:space="preserve"> систему Российской Федерации и их распределения между бюджетами бюджетной системы Российской Федерации».</w:t>
      </w:r>
      <w:r/>
    </w:p>
    <w:p>
      <w:pPr>
        <w:ind w:left="0" w:right="0" w:firstLine="709"/>
        <w:jc w:val="both"/>
      </w:pPr>
      <w:r>
        <w:t xml:space="preserve">3.2. Доводить до плательщиков информацию о реквизитах и порядке заполнения документов на перечисление платежей в бюджетную систему Российской Федерации в соответствии с Приказом Минфина России от 12.11.2013 № 107н «Об утверждении </w:t>
      </w:r>
      <w:r>
        <w:t xml:space="preserve">Правил указания информации в реквизитах распоряжений о переводе денежных средств в уплату платежей в бюджетную систему Российской Федерации». </w:t>
      </w:r>
      <w:r/>
    </w:p>
    <w:p>
      <w:pPr>
        <w:ind w:left="0" w:right="0" w:firstLine="709"/>
        <w:jc w:val="both"/>
        <w:tabs>
          <w:tab w:val="left" w:pos="1134" w:leader="none"/>
        </w:tabs>
      </w:pPr>
      <w:r>
        <w:t xml:space="preserve">3.3. До отражения в квартальной и годовой отчетности об исполнении бюджетов бюджетной системы Российской Федерации осуществлять сверку с органом, организующим исполнение бюджета округа, отраженных в бюджетном учете сумм кассовых поступлений.</w:t>
      </w:r>
      <w:r/>
    </w:p>
    <w:p>
      <w:pPr>
        <w:ind w:left="0" w:right="0" w:firstLine="709"/>
        <w:jc w:val="both"/>
        <w:tabs>
          <w:tab w:val="left" w:pos="720" w:leader="none"/>
        </w:tabs>
      </w:pPr>
      <w:r>
        <w:t xml:space="preserve">3.4. </w:t>
      </w:r>
      <w:r>
        <w:t xml:space="preserve">Осуществлять уточнение (возврат) невыясненных поступлений  в с</w:t>
      </w:r>
      <w:r>
        <w:t xml:space="preserve">о</w:t>
      </w:r>
      <w:r>
        <w:t xml:space="preserve">ответствии с приказами Федерального казначейства от 14.05.2020 № 21н «О порядке казначейского обслуживания», от 17.10.2016 № 21н «О порядке открытия и ведения лицевых счетов территориальными органами Федерального казначейства», Приказом Минфина России </w:t>
        <w:br/>
        <w:t xml:space="preserve">от </w:t>
      </w:r>
      <w:r>
        <w:t xml:space="preserve">15</w:t>
      </w:r>
      <w:r>
        <w:t xml:space="preserve">.1</w:t>
      </w:r>
      <w:r>
        <w:t xml:space="preserve">1</w:t>
      </w:r>
      <w:r>
        <w:t xml:space="preserve">.202</w:t>
      </w:r>
      <w:r>
        <w:t xml:space="preserve">4</w:t>
      </w:r>
      <w:r>
        <w:t xml:space="preserve"> № 1</w:t>
      </w:r>
      <w:r>
        <w:t xml:space="preserve">72</w:t>
      </w:r>
      <w:r>
        <w:t xml:space="preserve">н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Федерации».</w:t>
      </w:r>
      <w:r/>
    </w:p>
    <w:p>
      <w:pPr>
        <w:ind w:left="0" w:right="0" w:firstLine="709"/>
        <w:jc w:val="both"/>
      </w:pPr>
      <w:r>
        <w:t xml:space="preserve">3.5. Осуществлять возврат излишне уплаченных (взысканных) платежей в  соответствии с Приказом Министерства финансов Российской Федерации от 27.09.2021 </w:t>
      </w:r>
      <w:r>
        <w:br/>
        <w:t xml:space="preserve">№ 137н «Об утверждении Общих требований к возврату излишне уплаченных (взысканных) платежей».</w:t>
      </w:r>
      <w:r/>
    </w:p>
    <w:p>
      <w:pPr>
        <w:ind w:left="0" w:right="0" w:firstLine="709"/>
        <w:jc w:val="both"/>
        <w:shd w:val="clear" w:color="auto" w:fill="ffffff"/>
        <w:widowControl w:val="off"/>
        <w:tabs>
          <w:tab w:val="left" w:pos="709" w:leader="none"/>
          <w:tab w:val="left" w:pos="1276" w:leader="none"/>
        </w:tabs>
      </w:pPr>
      <w:r>
        <w:t xml:space="preserve">4. Настоящее постановление вступает в силу после его </w:t>
      </w:r>
      <w:r>
        <w:t xml:space="preserve">подписания.</w:t>
      </w:r>
      <w:r/>
    </w:p>
    <w:p>
      <w:pPr>
        <w:ind w:left="0" w:right="0" w:firstLine="709"/>
        <w:jc w:val="both"/>
        <w:shd w:val="clear" w:color="auto" w:fill="ffffff"/>
        <w:widowControl w:val="off"/>
        <w:tabs>
          <w:tab w:val="left" w:pos="709" w:leader="none"/>
          <w:tab w:val="left" w:pos="1276" w:leader="none"/>
        </w:tabs>
        <w:rPr>
          <w:rFonts w:eastAsia="Calibri"/>
          <w:lang w:eastAsia="ar-SA"/>
        </w:rPr>
      </w:pPr>
      <w:r>
        <w:t xml:space="preserve">5. Настоящее постановление действует с </w:t>
      </w:r>
      <w:r>
        <w:rPr>
          <w:rFonts w:eastAsia="Calibri"/>
          <w:lang w:eastAsia="ar-SA"/>
        </w:rPr>
        <w:t xml:space="preserve">01 января 2026 года по 31 декабря 2026 года.</w:t>
      </w:r>
      <w:r>
        <w:rPr>
          <w:rFonts w:eastAsia="Calibri"/>
          <w:lang w:eastAsia="ar-SA"/>
        </w:rPr>
      </w:r>
      <w:r>
        <w:rPr>
          <w:rFonts w:eastAsia="Calibri"/>
          <w:lang w:eastAsia="ar-SA"/>
        </w:rPr>
      </w:r>
    </w:p>
    <w:p>
      <w:pPr>
        <w:ind w:left="0" w:right="0" w:firstLine="709"/>
        <w:jc w:val="both"/>
      </w:pPr>
      <w:r>
        <w:rPr>
          <w:rFonts w:eastAsia="Calibri"/>
          <w:lang w:eastAsia="ar-SA"/>
        </w:rPr>
        <w:t xml:space="preserve">6. Настоящее постановление подлежит размещению </w:t>
      </w:r>
      <w:r>
        <w:rPr>
          <w:rFonts w:eastAsia="Calibri"/>
        </w:rPr>
        <w:t xml:space="preserve">на официальном сайте Печенгского муниципального округа https://pechengamr.gov-murman.ru/</w:t>
      </w:r>
      <w:r>
        <w:t xml:space="preserve">.</w:t>
      </w:r>
      <w:r/>
    </w:p>
    <w:p>
      <w:pPr>
        <w:ind w:left="0" w:right="0" w:firstLine="709"/>
        <w:jc w:val="both"/>
        <w:shd w:val="clear" w:color="auto" w:fill="ffffff"/>
        <w:widowControl w:val="off"/>
        <w:tabs>
          <w:tab w:val="left" w:pos="1134" w:leader="none"/>
          <w:tab w:val="left" w:pos="1276" w:leader="none"/>
        </w:tabs>
      </w:pPr>
      <w:r>
        <w:rPr>
          <w:rFonts w:eastAsia="Lucida Sans Unicode"/>
        </w:rPr>
        <w:t xml:space="preserve">7. </w:t>
      </w:r>
      <w:r>
        <w:t xml:space="preserve">Контроль за</w:t>
      </w:r>
      <w:r>
        <w:t xml:space="preserve"> исполнением настоящего постановления </w:t>
      </w:r>
      <w:r>
        <w:t xml:space="preserve">оставляю за собой</w:t>
      </w:r>
      <w:r>
        <w:t xml:space="preserve">.</w:t>
      </w:r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Глава</w:t>
      </w:r>
      <w:r>
        <w:t xml:space="preserve"> </w:t>
      </w:r>
      <w:r>
        <w:t xml:space="preserve">Печенгского</w:t>
      </w:r>
      <w:r>
        <w:t xml:space="preserve"> муниципального округа                   </w:t>
      </w:r>
      <w:r>
        <w:t xml:space="preserve">                                    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Ионова</w:t>
      </w:r>
      <w:r>
        <w:rPr>
          <w:sz w:val="20"/>
          <w:szCs w:val="20"/>
        </w:rPr>
        <w:t xml:space="preserve"> О.В., 50270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rPr>
          <w:lang w:val="en-US"/>
        </w:rPr>
      </w:pPr>
      <w:r/>
      <w:bookmarkStart w:id="1" w:name="_GoBack"/>
      <w:r/>
      <w:bookmarkEnd w:id="1"/>
      <w:r>
        <w:rPr>
          <w:lang w:val="en-US"/>
        </w:rPr>
      </w:r>
      <w:r>
        <w:rPr>
          <w:lang w:val="en-US"/>
        </w:rPr>
      </w:r>
    </w:p>
    <w:p>
      <w:pPr>
        <w:ind w:left="5529"/>
        <w:jc w:val="both"/>
      </w:pPr>
      <w:r>
        <w:t xml:space="preserve">Приложение № 1</w:t>
      </w:r>
      <w:r/>
    </w:p>
    <w:p>
      <w:pPr>
        <w:ind w:left="5529"/>
        <w:jc w:val="both"/>
      </w:pPr>
      <w:r>
        <w:t xml:space="preserve">к постановлению администрации Печенгского муниципального округа</w:t>
      </w:r>
      <w:r/>
    </w:p>
    <w:p>
      <w:pPr>
        <w:ind w:left="5529"/>
        <w:jc w:val="both"/>
      </w:pPr>
      <w:r>
        <w:t xml:space="preserve">от </w:t>
      </w:r>
      <w:r>
        <w:t xml:space="preserve">29.12.2025 </w:t>
      </w:r>
      <w:r>
        <w:t xml:space="preserve">№ 2260</w:t>
      </w:r>
      <w:r/>
    </w:p>
    <w:p>
      <w:pPr>
        <w:ind w:left="5529"/>
        <w:jc w:val="both"/>
        <w:rPr>
          <w:b/>
          <w:i/>
          <w:color w:val="0000ff"/>
          <w:sz w:val="20"/>
          <w:szCs w:val="20"/>
        </w:rPr>
      </w:pPr>
      <w:r>
        <w:rPr>
          <w:b/>
          <w:i/>
          <w:color w:val="0000ff"/>
          <w:sz w:val="20"/>
          <w:szCs w:val="20"/>
        </w:rPr>
      </w:r>
      <w:r>
        <w:rPr>
          <w:b/>
          <w:i/>
          <w:color w:val="0000ff"/>
          <w:sz w:val="20"/>
          <w:szCs w:val="20"/>
        </w:rPr>
      </w:r>
      <w:r>
        <w:rPr>
          <w:b/>
          <w:i/>
          <w:color w:val="0000ff"/>
          <w:sz w:val="20"/>
          <w:szCs w:val="20"/>
        </w:rPr>
      </w:r>
    </w:p>
    <w:p>
      <w:pPr>
        <w:ind w:left="5529"/>
        <w:jc w:val="both"/>
        <w:rPr>
          <w:b/>
          <w:i/>
          <w:color w:val="0000ff"/>
          <w:sz w:val="20"/>
          <w:szCs w:val="20"/>
        </w:rPr>
      </w:pPr>
      <w:r>
        <w:rPr>
          <w:b/>
          <w:i/>
          <w:color w:val="0000ff"/>
          <w:sz w:val="20"/>
          <w:szCs w:val="20"/>
        </w:rPr>
      </w:r>
      <w:r>
        <w:rPr>
          <w:b/>
          <w:i/>
          <w:color w:val="0000ff"/>
          <w:sz w:val="20"/>
          <w:szCs w:val="20"/>
        </w:rPr>
      </w:r>
      <w:r>
        <w:rPr>
          <w:b/>
          <w:i/>
          <w:color w:val="0000ff"/>
          <w:sz w:val="20"/>
          <w:szCs w:val="20"/>
        </w:rPr>
      </w:r>
    </w:p>
    <w:p>
      <w:pPr>
        <w:jc w:val="center"/>
        <w:rPr>
          <w:b/>
        </w:rPr>
      </w:pPr>
      <w:r>
        <w:rPr>
          <w:b/>
        </w:rPr>
        <w:t xml:space="preserve">ПЕРЕЧЕНЬ</w:t>
      </w:r>
      <w:r>
        <w:rPr>
          <w:b/>
        </w:rPr>
      </w:r>
      <w:r>
        <w:rPr>
          <w:b/>
        </w:rPr>
      </w:r>
    </w:p>
    <w:p>
      <w:pPr>
        <w:jc w:val="center"/>
      </w:pPr>
      <w:r>
        <w:t xml:space="preserve">доходов бюджетов бюджетной системы Российской Федерации,</w:t>
      </w:r>
      <w:r/>
    </w:p>
    <w:p>
      <w:pPr>
        <w:jc w:val="center"/>
      </w:pPr>
      <w:r>
        <w:t xml:space="preserve">администрируемых администрацией Печенгского муниципального округа Мурманской области</w:t>
      </w:r>
      <w:r/>
    </w:p>
    <w:p>
      <w:pPr>
        <w:ind w:firstLine="709"/>
        <w:jc w:val="both"/>
      </w:pPr>
      <w:r/>
      <w:r/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558"/>
        <w:gridCol w:w="2245"/>
        <w:gridCol w:w="4719"/>
        <w:gridCol w:w="1049"/>
      </w:tblGrid>
      <w:tr>
        <w:tblPrEx/>
        <w:trPr>
          <w:cantSplit/>
        </w:trPr>
        <w:tc>
          <w:tcPr>
            <w:gridSpan w:val="2"/>
            <w:tcW w:w="198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бюджетной классификации РФ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4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Кода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Норматив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Главного администратора доходов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Дохода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46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4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cantSplit/>
          <w:trHeight w:val="630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1 13 01994 14 0000 130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545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1 13 02994 14 0000 130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компенсации затрат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5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1 16 07010 14 0000 140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1 16 07090 14 0000 140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1 16 10031 14 0000 140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1 16 10032 14 0000 140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1 16 10061 14 0000 140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</w:t>
            </w:r>
            <w:r>
              <w:rPr>
                <w:color w:val="000000"/>
                <w:sz w:val="20"/>
                <w:szCs w:val="20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color w:val="000000"/>
                <w:sz w:val="20"/>
                <w:szCs w:val="20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1 16 10062 14 0000 140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 фонда, а также </w:t>
            </w:r>
            <w:r>
              <w:rPr>
                <w:color w:val="000000"/>
                <w:sz w:val="20"/>
                <w:szCs w:val="20"/>
              </w:rPr>
              <w:t xml:space="preserve">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color w:val="000000"/>
                <w:sz w:val="20"/>
                <w:szCs w:val="20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1 16 10100 14 0000 140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47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1 16 10123 01 0000 140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821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1 17 01040 14 0000 180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21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1 17 05040 14 0000 180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неналоговые доходы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15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1 17 15020 14 0000 150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Инициативные платежи, зачисляемые в бюджеты муниципальных округов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15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pStyle w:val="886"/>
              <w:jc w:val="center"/>
              <w:spacing w:before="0" w:beforeAutospacing="0" w:after="0" w:afterAutospacing="0"/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001</w: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pStyle w:val="886"/>
              <w:jc w:val="both"/>
              <w:spacing w:before="0" w:beforeAutospacing="0" w:after="0" w:afterAutospacing="0"/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1 17 16000 14 0000 180</w: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</w:r>
          </w:p>
        </w:tc>
        <w:tc>
          <w:tcPr>
            <w:tcW w:w="2465" w:type="pct"/>
            <w:textDirection w:val="lrTb"/>
            <w:noWrap w:val="false"/>
          </w:tcPr>
          <w:p>
            <w:pPr>
              <w:pStyle w:val="886"/>
              <w:jc w:val="both"/>
              <w:spacing w:before="0" w:beforeAutospacing="0" w:after="0" w:afterAutospacing="0"/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</w:r>
          </w:p>
        </w:tc>
        <w:tc>
          <w:tcPr>
            <w:tcW w:w="548" w:type="pct"/>
            <w:textDirection w:val="lrTb"/>
            <w:noWrap w:val="false"/>
          </w:tcPr>
          <w:p>
            <w:pPr>
              <w:pStyle w:val="887"/>
              <w:jc w:val="center"/>
              <w:spacing w:before="0" w:beforeAutospacing="0" w:after="0" w:afterAutospacing="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887"/>
              <w:jc w:val="center"/>
              <w:spacing w:before="0" w:beforeAutospacing="0" w:after="0" w:afterAutospacing="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887"/>
              <w:jc w:val="center"/>
              <w:spacing w:before="0" w:beforeAutospacing="0" w:after="0" w:afterAutospacing="0"/>
              <w:rPr>
                <w:sz w:val="20"/>
              </w:rPr>
            </w:pPr>
            <w:r>
              <w:rPr>
                <w:sz w:val="20"/>
              </w:rPr>
              <w:t xml:space="preserve">100 %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715"/>
        </w:trPr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2 04 04099 14 0000 150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2 07 04050 14 0000 150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безвозмездные поступления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2 18 04010 14 0000 150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Доходы бюджетов муниципальных округов от возврата бюджетными учреждениями остатков субсидий прошлых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2 18 04020 14 0000 150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Доходы бюджетов муниципальных округов от возврата автономными учреждениями остатков субсидий прошлых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2 18 04030 14 0000 150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Доходы бюджетов муниципальных округов от возврата иными организациями, индивидуальными предпринимателями, физическими лицами - производителями товаров, работ, услуг остатков </w:t>
            </w:r>
            <w:r>
              <w:rPr>
                <w:color w:val="000000"/>
                <w:sz w:val="20"/>
                <w:szCs w:val="20"/>
              </w:rPr>
              <w:t xml:space="preserve">субсидий прошлых лет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81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2 19 60010 14 0000 150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65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5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left="5529"/>
        <w:jc w:val="both"/>
      </w:pPr>
      <w:r>
        <w:br w:type="page" w:clear="all"/>
      </w:r>
      <w:r>
        <w:t xml:space="preserve">Приложение № 2</w:t>
      </w:r>
      <w:r/>
    </w:p>
    <w:p>
      <w:pPr>
        <w:ind w:left="5529"/>
        <w:jc w:val="both"/>
        <w:tabs>
          <w:tab w:val="left" w:pos="6096" w:leader="none"/>
        </w:tabs>
      </w:pPr>
      <w:r>
        <w:t xml:space="preserve">к постановлению администрации Печенгского муниципального округа </w:t>
      </w:r>
      <w:r/>
    </w:p>
    <w:p>
      <w:pPr>
        <w:ind w:left="5529"/>
        <w:jc w:val="both"/>
      </w:pPr>
      <w:r>
        <w:t xml:space="preserve">от </w:t>
      </w:r>
      <w:r>
        <w:t xml:space="preserve">29.12.2025 </w:t>
      </w:r>
      <w:r>
        <w:t xml:space="preserve">№ 2260</w:t>
      </w:r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b/>
        </w:rPr>
      </w:pPr>
      <w:r>
        <w:rPr>
          <w:b/>
        </w:rPr>
        <w:t xml:space="preserve">ПЕРЕЧЕНЬ</w:t>
      </w:r>
      <w:r>
        <w:rPr>
          <w:b/>
        </w:rPr>
      </w:r>
      <w:r>
        <w:rPr>
          <w:b/>
        </w:rPr>
      </w:r>
    </w:p>
    <w:p>
      <w:pPr>
        <w:jc w:val="center"/>
      </w:pPr>
      <w:r>
        <w:t xml:space="preserve">доходов бюджетов бюджетной системы Российской Федерации, администрируемых муниципальным казенным учреждением «Единая дежурно-диспетчерская служба  Печенгского муниципального округа Мурманской области»</w:t>
      </w:r>
      <w:r/>
    </w:p>
    <w:p>
      <w:pPr>
        <w:ind w:left="360"/>
        <w:jc w:val="center"/>
      </w:pPr>
      <w:r>
        <w:t xml:space="preserve"> </w:t>
      </w:r>
      <w:r/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558"/>
        <w:gridCol w:w="2470"/>
        <w:gridCol w:w="4381"/>
        <w:gridCol w:w="1162"/>
      </w:tblGrid>
      <w:tr>
        <w:tblPrEx/>
        <w:trPr>
          <w:cantSplit/>
        </w:trPr>
        <w:tc>
          <w:tcPr>
            <w:gridSpan w:val="2"/>
            <w:tcW w:w="19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Кода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Норматив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Главного администратора доходов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Дохода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35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1 13 01994 14 0000 130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1 13 02994 14 0000 130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компенсации затрат бюджетов муниципальных округов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1 16 07010 14 0000 140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1 16 07090 14 0000 140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1 16 10061 14 0000 140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</w:t>
            </w:r>
            <w:r>
              <w:rPr>
                <w:color w:val="000000"/>
                <w:sz w:val="20"/>
                <w:szCs w:val="20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color w:val="000000"/>
                <w:sz w:val="20"/>
                <w:szCs w:val="20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1 16 10062 14 0000 140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</w:t>
            </w:r>
            <w:r>
              <w:rPr>
                <w:color w:val="000000"/>
                <w:sz w:val="20"/>
                <w:szCs w:val="20"/>
              </w:rPr>
              <w:t xml:space="preserve">заключенного с муниц</w:t>
            </w:r>
            <w:r>
              <w:rPr>
                <w:color w:val="000000"/>
                <w:sz w:val="20"/>
                <w:szCs w:val="20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116 10123 01 0000 140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6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1 17 01040 14 0000 180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352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6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5529"/>
        <w:jc w:val="both"/>
      </w:pPr>
      <w:r>
        <w:rPr>
          <w:b/>
        </w:rPr>
        <w:br w:type="page" w:clear="all"/>
      </w:r>
      <w:r>
        <w:t xml:space="preserve">Приложение № 3</w:t>
      </w:r>
      <w:r/>
    </w:p>
    <w:p>
      <w:pPr>
        <w:ind w:left="5529"/>
        <w:jc w:val="both"/>
      </w:pPr>
      <w:r>
        <w:t xml:space="preserve">к постановлению администрации Печенгского муниципального округа </w:t>
      </w:r>
      <w:r/>
    </w:p>
    <w:p>
      <w:pPr>
        <w:ind w:left="5529"/>
        <w:jc w:val="both"/>
      </w:pPr>
      <w:r>
        <w:t xml:space="preserve">от 29.12.2025</w:t>
      </w:r>
      <w:r>
        <w:t xml:space="preserve"> </w:t>
      </w:r>
      <w:r>
        <w:t xml:space="preserve">№ 2260</w:t>
      </w:r>
      <w:r/>
    </w:p>
    <w:p>
      <w:pPr>
        <w:jc w:val="center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jc w:val="center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jc w:val="center"/>
        <w:rPr>
          <w:b/>
        </w:rPr>
      </w:pPr>
      <w:r>
        <w:rPr>
          <w:b/>
        </w:rPr>
        <w:t xml:space="preserve">ПЕРЕЧЕНЬ</w:t>
      </w:r>
      <w:r>
        <w:rPr>
          <w:b/>
        </w:rPr>
      </w:r>
      <w:r>
        <w:rPr>
          <w:b/>
        </w:rPr>
      </w:r>
    </w:p>
    <w:p>
      <w:pPr>
        <w:jc w:val="center"/>
      </w:pPr>
      <w:r>
        <w:t xml:space="preserve">доходов бюджетов бюджетной системы Российской Федерации, администрируемых муниципальным казенным учреждением «Управление по обеспечению деятельности администрации  Печенгского муниципального округа Мурманской области»</w:t>
      </w:r>
      <w:r/>
    </w:p>
    <w:p>
      <w:pPr>
        <w:ind w:left="360"/>
        <w:jc w:val="center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tbl>
      <w:tblPr>
        <w:tblW w:w="97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694"/>
        <w:gridCol w:w="4394"/>
        <w:gridCol w:w="1417"/>
      </w:tblGrid>
      <w:tr>
        <w:tblPrEx/>
        <w:trPr>
          <w:cantSplit/>
        </w:trPr>
        <w:tc>
          <w:tcPr>
            <w:gridSpan w:val="2"/>
            <w:tcW w:w="39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Кода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Норматив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Главного администратора доходов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Дохода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394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1 13 01994 14 0000 130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1 13 02994 14 0000 130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компенсации затрат бюджетов муниципальных округов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1 16 07010 14 0000 140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1 16 07090 14 0000 140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1 16 10031 14 0000 140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1 16 10032 14 0000 140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1 16 10061 14 0000 140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</w:t>
            </w:r>
            <w:r>
              <w:rPr>
                <w:color w:val="000000"/>
                <w:sz w:val="20"/>
                <w:szCs w:val="20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color w:val="000000"/>
                <w:sz w:val="20"/>
                <w:szCs w:val="20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1 16 10062 14 0000 140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</w:t>
            </w:r>
            <w:r>
              <w:rPr>
                <w:color w:val="000000"/>
                <w:sz w:val="20"/>
                <w:szCs w:val="20"/>
              </w:rPr>
              <w:t xml:space="preserve">округа (муниципальным казенным учреждением)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color w:val="000000"/>
                <w:sz w:val="20"/>
                <w:szCs w:val="20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116 10123 01 0000 140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1 17 01040 14 0000 180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1 17 05040 14 0000 180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неналоговые доходы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</w:r>
      <w:r>
        <w:rPr>
          <w:b/>
          <w:i/>
          <w:sz w:val="20"/>
          <w:szCs w:val="20"/>
        </w:rPr>
      </w:r>
      <w:r>
        <w:rPr>
          <w:b/>
          <w:i/>
          <w:sz w:val="20"/>
          <w:szCs w:val="20"/>
        </w:rPr>
      </w:r>
    </w:p>
    <w:p>
      <w:pPr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</w:r>
      <w:r>
        <w:rPr>
          <w:b/>
          <w:i/>
          <w:sz w:val="20"/>
          <w:szCs w:val="20"/>
        </w:rPr>
      </w:r>
      <w:r>
        <w:rPr>
          <w:b/>
          <w:i/>
          <w:sz w:val="20"/>
          <w:szCs w:val="20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ind w:firstLine="576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5529" w:right="-1"/>
        <w:jc w:val="both"/>
      </w:pPr>
      <w:r>
        <w:t xml:space="preserve">Приложение № 4</w:t>
      </w:r>
      <w:r/>
    </w:p>
    <w:p>
      <w:pPr>
        <w:ind w:left="5529" w:right="-1"/>
        <w:jc w:val="both"/>
      </w:pPr>
      <w:r>
        <w:t xml:space="preserve">к постановлению администрации Печенгского муниципального округа </w:t>
      </w:r>
      <w:r/>
    </w:p>
    <w:p>
      <w:pPr>
        <w:ind w:left="5529"/>
        <w:jc w:val="both"/>
      </w:pPr>
      <w:r>
        <w:t xml:space="preserve">от </w:t>
      </w:r>
      <w:r>
        <w:t xml:space="preserve">29.12.2025 № 2260</w:t>
      </w:r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ПЕРЕЧЕНЬ</w:t>
      </w:r>
      <w:r>
        <w:rPr>
          <w:b/>
        </w:rPr>
      </w:r>
      <w:r>
        <w:rPr>
          <w:b/>
        </w:rPr>
      </w:r>
    </w:p>
    <w:p>
      <w:pPr>
        <w:jc w:val="center"/>
      </w:pPr>
      <w:r>
        <w:t xml:space="preserve">доходов бюджетов бюджетной системы Российской Федерации, администрируемых муниципальным казенным учреждением  «Управление благоустройства и развития» Печенгского муниципального округа Мурманской области</w:t>
      </w:r>
      <w:r/>
    </w:p>
    <w:p>
      <w:pPr>
        <w:ind w:left="360"/>
        <w:jc w:val="center"/>
      </w:pPr>
      <w:r/>
      <w:r/>
    </w:p>
    <w:tbl>
      <w:tblPr>
        <w:tblW w:w="96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552"/>
        <w:gridCol w:w="4394"/>
        <w:gridCol w:w="1417"/>
      </w:tblGrid>
      <w:tr>
        <w:tblPrEx/>
        <w:trPr>
          <w:cantSplit/>
        </w:trPr>
        <w:tc>
          <w:tcPr>
            <w:gridSpan w:val="2"/>
            <w:tcW w:w="379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Кода бюджетной классификации РФ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Норматив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Главного администратора доходов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Дохода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394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1 13 01994 14 0000 130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1 13 02994 14 0000 130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доходы от компенсации затрат бюджетов муниципальных округов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1 16 07010 14 0000 140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1 16 07090 14 0000 140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1 16 10061 14 0000 140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</w:t>
            </w:r>
            <w:r>
              <w:rPr>
                <w:color w:val="000000"/>
                <w:sz w:val="20"/>
                <w:szCs w:val="20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color w:val="000000"/>
                <w:sz w:val="20"/>
                <w:szCs w:val="20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1 16 10062 14 0000 140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</w:t>
            </w:r>
            <w:r>
              <w:rPr>
                <w:color w:val="000000"/>
                <w:sz w:val="20"/>
                <w:szCs w:val="20"/>
              </w:rPr>
              <w:t xml:space="preserve">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1 16 10081 14 0000 140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color w:val="000000"/>
                <w:sz w:val="20"/>
                <w:szCs w:val="20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1 16 10082 14 0000 140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116 10123 01 0000 140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1 17 01040 14 0000 180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1 17 05040 14 0000 180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неналоговые доходы бюджетов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715"/>
        </w:trPr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2 04 04099 14 0000 150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2 07 04050 14 0000 150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Прочие безвозмездные поступления в бюджеты муниципальных округов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2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2 18 04030 14 0000 150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Доходы бюджетов муниципальных округов от возврата иными организациями, индивидуальными предпринимателями, физическими лицами - производителями товаров, работ, услуг остатков субсидий прошлых лет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  <w:tabs>
          <w:tab w:val="num" w:pos="144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  <w:tabs>
          <w:tab w:val="num" w:pos="216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  <w:tabs>
          <w:tab w:val="num" w:pos="288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  <w:tabs>
          <w:tab w:val="num" w:pos="360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  <w:tabs>
          <w:tab w:val="num" w:pos="432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  <w:tabs>
          <w:tab w:val="num" w:pos="504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  <w:tabs>
          <w:tab w:val="num" w:pos="576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  <w:tabs>
          <w:tab w:val="num" w:pos="648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  <w:tabs>
          <w:tab w:val="num" w:pos="7200" w:leader="none"/>
        </w:tabs>
      </w:p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0" w:hanging="360"/>
        <w:tabs>
          <w:tab w:val="num" w:pos="7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500" w:hanging="360"/>
        <w:tabs>
          <w:tab w:val="num" w:pos="15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20" w:hanging="180"/>
        <w:tabs>
          <w:tab w:val="num" w:pos="22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40" w:hanging="360"/>
        <w:tabs>
          <w:tab w:val="num" w:pos="29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60" w:hanging="360"/>
        <w:tabs>
          <w:tab w:val="num" w:pos="36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80" w:hanging="180"/>
        <w:tabs>
          <w:tab w:val="num" w:pos="43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00" w:hanging="360"/>
        <w:tabs>
          <w:tab w:val="num" w:pos="51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20" w:hanging="360"/>
        <w:tabs>
          <w:tab w:val="num" w:pos="58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40" w:hanging="180"/>
        <w:tabs>
          <w:tab w:val="num" w:pos="6540" w:leader="none"/>
        </w:tabs>
      </w:p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8"/>
  </w:num>
  <w:num w:numId="5">
    <w:abstractNumId w:val="7"/>
  </w:num>
  <w:num w:numId="6">
    <w:abstractNumId w:val="10"/>
  </w:num>
  <w:num w:numId="7">
    <w:abstractNumId w:val="12"/>
  </w:num>
  <w:num w:numId="8">
    <w:abstractNumId w:val="1"/>
  </w:num>
  <w:num w:numId="9">
    <w:abstractNumId w:val="4"/>
  </w:num>
  <w:num w:numId="10">
    <w:abstractNumId w:val="3"/>
  </w:num>
  <w:num w:numId="11">
    <w:abstractNumId w:val="5"/>
  </w:num>
  <w:num w:numId="12">
    <w:abstractNumId w:val="6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2">
    <w:name w:val="Heading 2 Char"/>
    <w:basedOn w:val="708"/>
    <w:link w:val="700"/>
    <w:uiPriority w:val="9"/>
    <w:rPr>
      <w:rFonts w:ascii="Arial" w:hAnsi="Arial" w:eastAsia="Arial" w:cs="Arial"/>
      <w:sz w:val="34"/>
    </w:rPr>
  </w:style>
  <w:style w:type="character" w:styleId="683">
    <w:name w:val="Heading 3 Char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684">
    <w:name w:val="Heading 4 Char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>
    <w:name w:val="Heading 5 Char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>
    <w:name w:val="Heading 6 Char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>
    <w:name w:val="Heading 7 Char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8 Char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>
    <w:name w:val="Heading 9 Char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690">
    <w:name w:val="Title Char"/>
    <w:basedOn w:val="708"/>
    <w:link w:val="880"/>
    <w:uiPriority w:val="10"/>
    <w:rPr>
      <w:sz w:val="48"/>
      <w:szCs w:val="48"/>
    </w:rPr>
  </w:style>
  <w:style w:type="character" w:styleId="691">
    <w:name w:val="Subtitle Char"/>
    <w:basedOn w:val="708"/>
    <w:link w:val="723"/>
    <w:uiPriority w:val="11"/>
    <w:rPr>
      <w:sz w:val="24"/>
      <w:szCs w:val="24"/>
    </w:rPr>
  </w:style>
  <w:style w:type="character" w:styleId="692">
    <w:name w:val="Quote Char"/>
    <w:link w:val="725"/>
    <w:uiPriority w:val="29"/>
    <w:rPr>
      <w:i/>
    </w:rPr>
  </w:style>
  <w:style w:type="character" w:styleId="693">
    <w:name w:val="Intense Quote Char"/>
    <w:link w:val="727"/>
    <w:uiPriority w:val="30"/>
    <w:rPr>
      <w:i/>
    </w:rPr>
  </w:style>
  <w:style w:type="character" w:styleId="694">
    <w:name w:val="Header Char"/>
    <w:basedOn w:val="708"/>
    <w:link w:val="729"/>
    <w:uiPriority w:val="99"/>
  </w:style>
  <w:style w:type="character" w:styleId="695">
    <w:name w:val="Caption Char"/>
    <w:basedOn w:val="733"/>
    <w:link w:val="731"/>
    <w:uiPriority w:val="99"/>
  </w:style>
  <w:style w:type="character" w:styleId="696">
    <w:name w:val="Footnote Text Char"/>
    <w:link w:val="862"/>
    <w:uiPriority w:val="99"/>
    <w:rPr>
      <w:sz w:val="18"/>
    </w:rPr>
  </w:style>
  <w:style w:type="character" w:styleId="697">
    <w:name w:val="Endnote Text Char"/>
    <w:link w:val="865"/>
    <w:uiPriority w:val="99"/>
    <w:rPr>
      <w:sz w:val="20"/>
    </w:rPr>
  </w:style>
  <w:style w:type="paragraph" w:styleId="698" w:default="1">
    <w:name w:val="Normal"/>
    <w:qFormat/>
    <w:rPr>
      <w:sz w:val="24"/>
      <w:szCs w:val="24"/>
    </w:rPr>
  </w:style>
  <w:style w:type="paragraph" w:styleId="699">
    <w:name w:val="Heading 1"/>
    <w:basedOn w:val="698"/>
    <w:next w:val="698"/>
    <w:link w:val="885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00">
    <w:name w:val="Heading 2"/>
    <w:basedOn w:val="698"/>
    <w:next w:val="698"/>
    <w:link w:val="71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01">
    <w:name w:val="Heading 3"/>
    <w:basedOn w:val="698"/>
    <w:next w:val="698"/>
    <w:link w:val="713"/>
    <w:qFormat/>
    <w:pPr>
      <w:jc w:val="center"/>
      <w:keepNext/>
      <w:outlineLvl w:val="2"/>
    </w:pPr>
    <w:rPr>
      <w:b/>
      <w:sz w:val="32"/>
      <w:szCs w:val="20"/>
    </w:rPr>
  </w:style>
  <w:style w:type="paragraph" w:styleId="702">
    <w:name w:val="Heading 4"/>
    <w:basedOn w:val="698"/>
    <w:next w:val="698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698"/>
    <w:next w:val="698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4">
    <w:name w:val="Heading 6"/>
    <w:basedOn w:val="698"/>
    <w:next w:val="698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698"/>
    <w:next w:val="698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Heading 1 Char"/>
    <w:basedOn w:val="708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basedOn w:val="708"/>
    <w:link w:val="700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98"/>
    <w:uiPriority w:val="34"/>
    <w:qFormat/>
    <w:pPr>
      <w:contextualSpacing/>
      <w:ind w:left="720"/>
    </w:pPr>
  </w:style>
  <w:style w:type="paragraph" w:styleId="721">
    <w:name w:val="No Spacing"/>
    <w:uiPriority w:val="1"/>
    <w:qFormat/>
  </w:style>
  <w:style w:type="character" w:styleId="722" w:customStyle="1">
    <w:name w:val="Название Знак"/>
    <w:basedOn w:val="708"/>
    <w:link w:val="880"/>
    <w:uiPriority w:val="10"/>
    <w:rPr>
      <w:sz w:val="48"/>
      <w:szCs w:val="48"/>
    </w:rPr>
  </w:style>
  <w:style w:type="paragraph" w:styleId="723">
    <w:name w:val="Subtitle"/>
    <w:basedOn w:val="698"/>
    <w:next w:val="698"/>
    <w:link w:val="724"/>
    <w:uiPriority w:val="11"/>
    <w:qFormat/>
    <w:pPr>
      <w:spacing w:before="200" w:after="200"/>
    </w:pPr>
  </w:style>
  <w:style w:type="character" w:styleId="724" w:customStyle="1">
    <w:name w:val="Подзаголовок Знак"/>
    <w:basedOn w:val="708"/>
    <w:link w:val="723"/>
    <w:uiPriority w:val="11"/>
    <w:rPr>
      <w:sz w:val="24"/>
      <w:szCs w:val="24"/>
    </w:rPr>
  </w:style>
  <w:style w:type="paragraph" w:styleId="725">
    <w:name w:val="Quote"/>
    <w:basedOn w:val="698"/>
    <w:next w:val="698"/>
    <w:link w:val="726"/>
    <w:uiPriority w:val="29"/>
    <w:qFormat/>
    <w:pPr>
      <w:ind w:left="720" w:right="720"/>
    </w:pPr>
    <w:rPr>
      <w:i/>
    </w:rPr>
  </w:style>
  <w:style w:type="character" w:styleId="726" w:customStyle="1">
    <w:name w:val="Цитата 2 Знак"/>
    <w:link w:val="725"/>
    <w:uiPriority w:val="29"/>
    <w:rPr>
      <w:i/>
    </w:rPr>
  </w:style>
  <w:style w:type="paragraph" w:styleId="727">
    <w:name w:val="Intense Quote"/>
    <w:basedOn w:val="698"/>
    <w:next w:val="698"/>
    <w:link w:val="72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8" w:customStyle="1">
    <w:name w:val="Выделенная цитата Знак"/>
    <w:link w:val="727"/>
    <w:uiPriority w:val="30"/>
    <w:rPr>
      <w:i/>
    </w:rPr>
  </w:style>
  <w:style w:type="paragraph" w:styleId="729">
    <w:name w:val="Header"/>
    <w:basedOn w:val="698"/>
    <w:link w:val="73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0" w:customStyle="1">
    <w:name w:val="Верхний колонтитул Знак"/>
    <w:basedOn w:val="708"/>
    <w:link w:val="729"/>
    <w:uiPriority w:val="99"/>
  </w:style>
  <w:style w:type="paragraph" w:styleId="731">
    <w:name w:val="Footer"/>
    <w:basedOn w:val="698"/>
    <w:link w:val="73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2" w:customStyle="1">
    <w:name w:val="Footer Char"/>
    <w:basedOn w:val="708"/>
    <w:uiPriority w:val="99"/>
  </w:style>
  <w:style w:type="paragraph" w:styleId="733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 w:customStyle="1">
    <w:name w:val="Нижний колонтитул Знак"/>
    <w:link w:val="731"/>
    <w:uiPriority w:val="99"/>
  </w:style>
  <w:style w:type="table" w:styleId="735">
    <w:name w:val="Table Grid"/>
    <w:basedOn w:val="70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6" w:customStyle="1">
    <w:name w:val="Table Grid Light"/>
    <w:basedOn w:val="70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7" w:customStyle="1">
    <w:name w:val="Plain Table 1"/>
    <w:basedOn w:val="70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Plain Table 2"/>
    <w:basedOn w:val="70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 w:customStyle="1">
    <w:name w:val="Plain Table 3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 w:customStyle="1">
    <w:name w:val="Plain Table 4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Plain Table 5"/>
    <w:basedOn w:val="7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1 Light"/>
    <w:basedOn w:val="70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1"/>
    <w:basedOn w:val="70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2"/>
    <w:basedOn w:val="70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3"/>
    <w:basedOn w:val="70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4"/>
    <w:basedOn w:val="70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5"/>
    <w:basedOn w:val="70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6"/>
    <w:basedOn w:val="70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2"/>
    <w:basedOn w:val="70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1"/>
    <w:basedOn w:val="70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2"/>
    <w:basedOn w:val="70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3"/>
    <w:basedOn w:val="70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4"/>
    <w:basedOn w:val="70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5"/>
    <w:basedOn w:val="70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6"/>
    <w:basedOn w:val="70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"/>
    <w:basedOn w:val="70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1"/>
    <w:basedOn w:val="70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2"/>
    <w:basedOn w:val="70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3"/>
    <w:basedOn w:val="70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4"/>
    <w:basedOn w:val="70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5"/>
    <w:basedOn w:val="70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6"/>
    <w:basedOn w:val="70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4"/>
    <w:basedOn w:val="70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Grid Table 4 - Accent 1"/>
    <w:basedOn w:val="70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5" w:customStyle="1">
    <w:name w:val="Grid Table 4 - Accent 2"/>
    <w:basedOn w:val="70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6" w:customStyle="1">
    <w:name w:val="Grid Table 4 - Accent 3"/>
    <w:basedOn w:val="70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7" w:customStyle="1">
    <w:name w:val="Grid Table 4 - Accent 4"/>
    <w:basedOn w:val="70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8" w:customStyle="1">
    <w:name w:val="Grid Table 4 - Accent 5"/>
    <w:basedOn w:val="70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9" w:customStyle="1">
    <w:name w:val="Grid Table 4 - Accent 6"/>
    <w:basedOn w:val="70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0" w:customStyle="1">
    <w:name w:val="Grid Table 5 Dark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1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2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3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- Accent 4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5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6"/>
    <w:basedOn w:val="70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6 Colorful"/>
    <w:basedOn w:val="70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8" w:customStyle="1">
    <w:name w:val="Grid Table 6 Colorful - Accent 1"/>
    <w:basedOn w:val="70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9" w:customStyle="1">
    <w:name w:val="Grid Table 6 Colorful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0" w:customStyle="1">
    <w:name w:val="Grid Table 6 Colorful - Accent 3"/>
    <w:basedOn w:val="70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1" w:customStyle="1">
    <w:name w:val="Grid Table 6 Colorful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2" w:customStyle="1">
    <w:name w:val="Grid Table 6 Colorful - Accent 5"/>
    <w:basedOn w:val="70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3" w:customStyle="1">
    <w:name w:val="Grid Table 6 Colorful - Accent 6"/>
    <w:basedOn w:val="70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4" w:customStyle="1">
    <w:name w:val="Grid Table 7 Colorful"/>
    <w:basedOn w:val="70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1"/>
    <w:basedOn w:val="70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2"/>
    <w:basedOn w:val="70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3"/>
    <w:basedOn w:val="70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4"/>
    <w:basedOn w:val="70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5"/>
    <w:basedOn w:val="70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6"/>
    <w:basedOn w:val="70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List Table 1 Light"/>
    <w:basedOn w:val="70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1"/>
    <w:basedOn w:val="70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2"/>
    <w:basedOn w:val="70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3"/>
    <w:basedOn w:val="70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4"/>
    <w:basedOn w:val="70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5"/>
    <w:basedOn w:val="70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6"/>
    <w:basedOn w:val="70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2"/>
    <w:basedOn w:val="70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1"/>
    <w:basedOn w:val="70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2"/>
    <w:basedOn w:val="70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3"/>
    <w:basedOn w:val="70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4"/>
    <w:basedOn w:val="70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5"/>
    <w:basedOn w:val="70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6"/>
    <w:basedOn w:val="70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5" w:customStyle="1">
    <w:name w:val="List Table 3"/>
    <w:basedOn w:val="70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1"/>
    <w:basedOn w:val="70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3"/>
    <w:basedOn w:val="70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5"/>
    <w:basedOn w:val="70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6"/>
    <w:basedOn w:val="70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"/>
    <w:basedOn w:val="70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1"/>
    <w:basedOn w:val="70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2"/>
    <w:basedOn w:val="70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3"/>
    <w:basedOn w:val="70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4"/>
    <w:basedOn w:val="70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5"/>
    <w:basedOn w:val="70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6"/>
    <w:basedOn w:val="70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5 Dark"/>
    <w:basedOn w:val="70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1"/>
    <w:basedOn w:val="70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3"/>
    <w:basedOn w:val="70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5"/>
    <w:basedOn w:val="70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6"/>
    <w:basedOn w:val="70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6 Colorful"/>
    <w:basedOn w:val="70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7" w:customStyle="1">
    <w:name w:val="List Table 6 Colorful - Accent 1"/>
    <w:basedOn w:val="70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8" w:customStyle="1">
    <w:name w:val="List Table 6 Colorful - Accent 2"/>
    <w:basedOn w:val="70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9" w:customStyle="1">
    <w:name w:val="List Table 6 Colorful - Accent 3"/>
    <w:basedOn w:val="70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0" w:customStyle="1">
    <w:name w:val="List Table 6 Colorful - Accent 4"/>
    <w:basedOn w:val="70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1" w:customStyle="1">
    <w:name w:val="List Table 6 Colorful - Accent 5"/>
    <w:basedOn w:val="70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2" w:customStyle="1">
    <w:name w:val="List Table 6 Colorful - Accent 6"/>
    <w:basedOn w:val="70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3" w:customStyle="1">
    <w:name w:val="List Table 7 Colorful"/>
    <w:basedOn w:val="70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1"/>
    <w:basedOn w:val="70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2"/>
    <w:basedOn w:val="70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3"/>
    <w:basedOn w:val="70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4"/>
    <w:basedOn w:val="70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5"/>
    <w:basedOn w:val="70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6"/>
    <w:basedOn w:val="70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ned - Accent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Lined - Accent 1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Lined - Accent 2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Lined - Accent 3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Lined - Accent 4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Lined - Accent 5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Lined - Accent 6"/>
    <w:basedOn w:val="70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 &amp; Lined - Accent"/>
    <w:basedOn w:val="70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8" w:customStyle="1">
    <w:name w:val="Bordered &amp; Lined - Accent 1"/>
    <w:basedOn w:val="70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9" w:customStyle="1">
    <w:name w:val="Bordered &amp; Lined - Accent 2"/>
    <w:basedOn w:val="70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0" w:customStyle="1">
    <w:name w:val="Bordered &amp; Lined - Accent 3"/>
    <w:basedOn w:val="70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1" w:customStyle="1">
    <w:name w:val="Bordered &amp; Lined - Accent 4"/>
    <w:basedOn w:val="70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2" w:customStyle="1">
    <w:name w:val="Bordered &amp; Lined - Accent 5"/>
    <w:basedOn w:val="70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3" w:customStyle="1">
    <w:name w:val="Bordered &amp; Lined - Accent 6"/>
    <w:basedOn w:val="70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4" w:customStyle="1">
    <w:name w:val="Bordered"/>
    <w:basedOn w:val="70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5" w:customStyle="1">
    <w:name w:val="Bordered - Accent 1"/>
    <w:basedOn w:val="70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6" w:customStyle="1">
    <w:name w:val="Bordered - Accent 2"/>
    <w:basedOn w:val="70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7" w:customStyle="1">
    <w:name w:val="Bordered - Accent 3"/>
    <w:basedOn w:val="70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8" w:customStyle="1">
    <w:name w:val="Bordered - Accent 4"/>
    <w:basedOn w:val="70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9" w:customStyle="1">
    <w:name w:val="Bordered - Accent 5"/>
    <w:basedOn w:val="70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0" w:customStyle="1">
    <w:name w:val="Bordered - Accent 6"/>
    <w:basedOn w:val="70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1">
    <w:name w:val="Hyperlink"/>
    <w:uiPriority w:val="99"/>
    <w:unhideWhenUsed/>
    <w:rPr>
      <w:color w:val="0000ff" w:themeColor="hyperlink"/>
      <w:u w:val="single"/>
    </w:rPr>
  </w:style>
  <w:style w:type="paragraph" w:styleId="862">
    <w:name w:val="footnote text"/>
    <w:basedOn w:val="698"/>
    <w:link w:val="863"/>
    <w:uiPriority w:val="99"/>
    <w:semiHidden/>
    <w:unhideWhenUsed/>
    <w:pPr>
      <w:spacing w:after="40"/>
    </w:pPr>
    <w:rPr>
      <w:sz w:val="18"/>
    </w:rPr>
  </w:style>
  <w:style w:type="character" w:styleId="863" w:customStyle="1">
    <w:name w:val="Текст сноски Знак"/>
    <w:link w:val="862"/>
    <w:uiPriority w:val="99"/>
    <w:rPr>
      <w:sz w:val="18"/>
    </w:rPr>
  </w:style>
  <w:style w:type="character" w:styleId="864">
    <w:name w:val="footnote reference"/>
    <w:basedOn w:val="708"/>
    <w:uiPriority w:val="99"/>
    <w:unhideWhenUsed/>
    <w:rPr>
      <w:vertAlign w:val="superscript"/>
    </w:rPr>
  </w:style>
  <w:style w:type="paragraph" w:styleId="865">
    <w:name w:val="endnote text"/>
    <w:basedOn w:val="698"/>
    <w:link w:val="866"/>
    <w:uiPriority w:val="99"/>
    <w:semiHidden/>
    <w:unhideWhenUsed/>
    <w:rPr>
      <w:sz w:val="20"/>
    </w:rPr>
  </w:style>
  <w:style w:type="character" w:styleId="866" w:customStyle="1">
    <w:name w:val="Текст концевой сноски Знак"/>
    <w:link w:val="865"/>
    <w:uiPriority w:val="99"/>
    <w:rPr>
      <w:sz w:val="20"/>
    </w:rPr>
  </w:style>
  <w:style w:type="character" w:styleId="867">
    <w:name w:val="endnote reference"/>
    <w:basedOn w:val="708"/>
    <w:uiPriority w:val="99"/>
    <w:semiHidden/>
    <w:unhideWhenUsed/>
    <w:rPr>
      <w:vertAlign w:val="superscript"/>
    </w:rPr>
  </w:style>
  <w:style w:type="paragraph" w:styleId="868">
    <w:name w:val="toc 1"/>
    <w:basedOn w:val="698"/>
    <w:next w:val="698"/>
    <w:uiPriority w:val="39"/>
    <w:unhideWhenUsed/>
    <w:pPr>
      <w:spacing w:after="57"/>
    </w:pPr>
  </w:style>
  <w:style w:type="paragraph" w:styleId="869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870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871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872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873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874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875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876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877">
    <w:name w:val="TOC Heading"/>
    <w:uiPriority w:val="39"/>
    <w:unhideWhenUsed/>
  </w:style>
  <w:style w:type="paragraph" w:styleId="878">
    <w:name w:val="table of figures"/>
    <w:basedOn w:val="698"/>
    <w:next w:val="698"/>
    <w:uiPriority w:val="99"/>
    <w:unhideWhenUsed/>
  </w:style>
  <w:style w:type="paragraph" w:styleId="879">
    <w:name w:val="Balloon Text"/>
    <w:basedOn w:val="698"/>
    <w:semiHidden/>
    <w:rPr>
      <w:rFonts w:ascii="Tahoma" w:hAnsi="Tahoma" w:cs="Tahoma"/>
      <w:sz w:val="16"/>
      <w:szCs w:val="16"/>
    </w:rPr>
  </w:style>
  <w:style w:type="paragraph" w:styleId="880">
    <w:name w:val="Title"/>
    <w:basedOn w:val="698"/>
    <w:link w:val="722"/>
    <w:qFormat/>
    <w:pPr>
      <w:jc w:val="center"/>
    </w:pPr>
    <w:rPr>
      <w:b/>
      <w:sz w:val="28"/>
      <w:szCs w:val="20"/>
    </w:rPr>
  </w:style>
  <w:style w:type="paragraph" w:styleId="881">
    <w:name w:val="Body Text 2"/>
    <w:basedOn w:val="698"/>
    <w:link w:val="882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82" w:customStyle="1">
    <w:name w:val="Основной текст 2 Знак"/>
    <w:link w:val="881"/>
    <w:rPr>
      <w:sz w:val="26"/>
      <w:szCs w:val="26"/>
      <w:lang w:val="ru-RU" w:eastAsia="ru-RU" w:bidi="ar-SA"/>
    </w:rPr>
  </w:style>
  <w:style w:type="paragraph" w:styleId="883">
    <w:name w:val="Body Text"/>
    <w:basedOn w:val="698"/>
    <w:link w:val="884"/>
    <w:pPr>
      <w:spacing w:after="120"/>
    </w:pPr>
  </w:style>
  <w:style w:type="character" w:styleId="884" w:customStyle="1">
    <w:name w:val="Основной текст Знак"/>
    <w:basedOn w:val="708"/>
    <w:link w:val="883"/>
    <w:rPr>
      <w:sz w:val="24"/>
      <w:szCs w:val="24"/>
    </w:rPr>
  </w:style>
  <w:style w:type="character" w:styleId="885" w:customStyle="1">
    <w:name w:val="Заголовок 1 Знак"/>
    <w:basedOn w:val="708"/>
    <w:link w:val="69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86" w:customStyle="1">
    <w:name w:val="table0"/>
    <w:basedOn w:val="698"/>
    <w:pPr>
      <w:spacing w:before="100" w:beforeAutospacing="1" w:after="100" w:afterAutospacing="1"/>
    </w:pPr>
  </w:style>
  <w:style w:type="paragraph" w:styleId="887" w:customStyle="1">
    <w:name w:val="table"/>
    <w:basedOn w:val="698"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DF873-DF83-4195-B307-104E71F15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Дом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имуществом администрации муниципального образования Печенгский район</dc:title>
  <dc:creator>Наталья</dc:creator>
  <cp:revision>4</cp:revision>
  <dcterms:created xsi:type="dcterms:W3CDTF">2025-12-25T11:38:00Z</dcterms:created>
  <dcterms:modified xsi:type="dcterms:W3CDTF">2025-12-30T11:10:39Z</dcterms:modified>
</cp:coreProperties>
</file>