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30.12.2025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</w:t>
      </w:r>
      <w:r>
        <w:rPr>
          <w:b/>
          <w:sz w:val="24"/>
        </w:rPr>
        <w:t xml:space="preserve"> № 2262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</w:pPr>
      <w:r>
        <w:rPr>
          <w:b/>
          <w:bCs/>
          <w:iCs/>
        </w:rPr>
        <w:t xml:space="preserve">Об </w:t>
      </w:r>
      <w:r>
        <w:rPr>
          <w:b/>
          <w:bCs/>
          <w:iCs/>
        </w:rPr>
        <w:t xml:space="preserve">утверждении </w:t>
      </w:r>
      <w:r>
        <w:rPr>
          <w:b/>
        </w:rPr>
        <w:t xml:space="preserve">Программы профилактики рисков причинения вреда (ущерба) </w:t>
      </w:r>
      <w:r>
        <w:rPr>
          <w:b/>
        </w:rPr>
        <w:br/>
      </w:r>
      <w:r>
        <w:rPr>
          <w:b/>
        </w:rPr>
        <w:t xml:space="preserve">охраняемым законом ценностям по муниципальному</w:t>
      </w:r>
      <w:r>
        <w:rPr>
          <w:b/>
        </w:rPr>
        <w:t xml:space="preserve"> </w:t>
      </w:r>
      <w:r>
        <w:rPr>
          <w:b/>
        </w:rPr>
        <w:t xml:space="preserve"> контролю </w:t>
      </w:r>
      <w:r>
        <w:rPr>
          <w:b/>
        </w:rPr>
        <w:t xml:space="preserve">на автомобильном транспорте, городском наземном электрическом транспорте и в дорожном хозяйстве </w:t>
      </w:r>
      <w:r>
        <w:rPr>
          <w:b/>
        </w:rPr>
        <w:br/>
      </w:r>
      <w:r>
        <w:rPr>
          <w:b/>
        </w:rPr>
        <w:t xml:space="preserve">в границах Печенгского муниципального округа на 202</w:t>
      </w:r>
      <w:r>
        <w:rPr>
          <w:b/>
        </w:rPr>
        <w:t xml:space="preserve">6</w:t>
      </w:r>
      <w:r>
        <w:rPr>
          <w:b/>
        </w:rPr>
        <w:t xml:space="preserve"> год</w:t>
      </w:r>
      <w:r/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Федеральн</w:t>
      </w:r>
      <w:r>
        <w:rPr>
          <w:sz w:val="24"/>
          <w:szCs w:val="24"/>
        </w:rPr>
        <w:t xml:space="preserve">ых</w:t>
      </w:r>
      <w:r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от 31.07.2020 № 248-ФЗ «О государственном контроле (надзоре) и муниципальном контроле в Российской Федерации», Постановлением Правительства Р</w:t>
      </w:r>
      <w:r>
        <w:rPr>
          <w:sz w:val="24"/>
          <w:szCs w:val="24"/>
        </w:rPr>
        <w:t xml:space="preserve">оссийской </w:t>
      </w:r>
      <w:r>
        <w:rPr>
          <w:sz w:val="24"/>
          <w:szCs w:val="24"/>
        </w:rPr>
        <w:t xml:space="preserve">Ф</w:t>
      </w:r>
      <w:r>
        <w:rPr>
          <w:sz w:val="24"/>
          <w:szCs w:val="24"/>
        </w:rPr>
        <w:t xml:space="preserve">едерации</w:t>
      </w:r>
      <w:r>
        <w:rPr>
          <w:sz w:val="24"/>
          <w:szCs w:val="24"/>
        </w:rPr>
        <w:t xml:space="preserve">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</w:t>
      </w:r>
      <w:r>
        <w:rPr>
          <w:sz w:val="24"/>
          <w:szCs w:val="24"/>
        </w:rPr>
        <w:t xml:space="preserve"> законом ценностям»,</w:t>
      </w:r>
      <w:r>
        <w:rPr>
          <w:sz w:val="24"/>
          <w:szCs w:val="24"/>
        </w:rPr>
        <w:t xml:space="preserve"> р</w:t>
      </w:r>
      <w:r>
        <w:rPr>
          <w:sz w:val="24"/>
          <w:szCs w:val="24"/>
          <w:lang w:eastAsia="en-US"/>
        </w:rPr>
        <w:t xml:space="preserve">ешения Совета депутатов Печенгского муниципального округа Мурманской области № 260 от 24.12.2021 «</w:t>
      </w:r>
      <w:r>
        <w:rPr>
          <w:bCs/>
          <w:sz w:val="24"/>
          <w:szCs w:val="24"/>
          <w:lang w:eastAsia="en-US"/>
        </w:rPr>
        <w:t xml:space="preserve">Об утверждении Положения </w:t>
      </w:r>
      <w:r>
        <w:rPr>
          <w:sz w:val="24"/>
          <w:szCs w:val="24"/>
          <w:lang w:eastAsia="en-US"/>
        </w:rPr>
        <w:t xml:space="preserve">о муниципальном контроле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 автомобильном транспорте, городском наземном электрическом транспорте и в дорожном хозяйстве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 границах Печенгского муниципального округа</w:t>
      </w:r>
      <w:r>
        <w:rPr>
          <w:sz w:val="24"/>
          <w:szCs w:val="24"/>
          <w:lang w:eastAsia="en-US"/>
        </w:rPr>
        <w:t xml:space="preserve">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0"/>
        <w:numPr>
          <w:ilvl w:val="0"/>
          <w:numId w:val="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Утвердить прилагаемую П</w:t>
      </w:r>
      <w:r>
        <w:rPr>
          <w:sz w:val="24"/>
          <w:szCs w:val="24"/>
        </w:rPr>
        <w:t xml:space="preserve">рограмму профилактики </w:t>
      </w:r>
      <w:r>
        <w:rPr>
          <w:sz w:val="24"/>
          <w:szCs w:val="24"/>
        </w:rPr>
        <w:t xml:space="preserve">рисков причи</w:t>
      </w:r>
      <w:r>
        <w:rPr>
          <w:sz w:val="24"/>
          <w:szCs w:val="24"/>
        </w:rPr>
        <w:t xml:space="preserve">нения вреда (ущерба) охраняемым законом ценностям по муниципальному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контролю</w:t>
      </w:r>
      <w:r>
        <w:rPr>
          <w:sz w:val="24"/>
          <w:szCs w:val="24"/>
        </w:rPr>
        <w:t xml:space="preserve"> на автомобильном транспорте, городском наземном электрическом транспорте и в дорожном хозяйстве в границах Печенгского муниципального округа на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50"/>
        <w:numPr>
          <w:ilvl w:val="0"/>
          <w:numId w:val="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постановление вступает в силу </w:t>
      </w:r>
      <w:r>
        <w:rPr>
          <w:color w:val="auto"/>
          <w:sz w:val="24"/>
          <w:szCs w:val="24"/>
        </w:rPr>
        <w:t xml:space="preserve">после его</w:t>
      </w:r>
      <w:r>
        <w:rPr>
          <w:color w:val="auto"/>
          <w:sz w:val="24"/>
          <w:szCs w:val="24"/>
        </w:rPr>
        <w:t xml:space="preserve">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50"/>
        <w:numPr>
          <w:ilvl w:val="0"/>
          <w:numId w:val="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постановление </w:t>
      </w:r>
      <w:r>
        <w:rPr>
          <w:color w:val="auto"/>
          <w:sz w:val="24"/>
          <w:szCs w:val="24"/>
        </w:rPr>
        <w:t xml:space="preserve">подлежит </w:t>
      </w:r>
      <w:r>
        <w:rPr>
          <w:color w:val="auto"/>
          <w:sz w:val="24"/>
          <w:szCs w:val="24"/>
        </w:rPr>
        <w:t xml:space="preserve">разме</w:t>
      </w:r>
      <w:r>
        <w:rPr>
          <w:color w:val="auto"/>
          <w:sz w:val="24"/>
          <w:szCs w:val="24"/>
        </w:rPr>
        <w:t xml:space="preserve">щению</w:t>
      </w:r>
      <w:r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официальном </w:t>
      </w:r>
      <w:r>
        <w:rPr>
          <w:color w:val="auto"/>
          <w:sz w:val="24"/>
          <w:szCs w:val="24"/>
        </w:rPr>
        <w:t xml:space="preserve">сайте Печенгского муниципального округа </w:t>
      </w:r>
      <w:hyperlink r:id="rId11" w:tooltip="http://pechengamr.gov-murman.ru/" w:history="1">
        <w:r>
          <w:rPr>
            <w:rStyle w:val="851"/>
            <w:color w:val="auto"/>
            <w:sz w:val="24"/>
            <w:szCs w:val="24"/>
            <w:u w:val="none"/>
          </w:rPr>
          <w:t xml:space="preserve">http://pechengamr.gov-murman.ru/</w:t>
        </w:r>
      </w:hyperlink>
      <w:r>
        <w:rPr>
          <w:rStyle w:val="851"/>
          <w:color w:val="auto"/>
          <w:sz w:val="24"/>
          <w:szCs w:val="24"/>
          <w:u w:val="none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</w:t>
      </w:r>
      <w:r>
        <w:rPr>
          <w:sz w:val="24"/>
          <w:szCs w:val="24"/>
        </w:rPr>
        <w:t xml:space="preserve"> Печенгского муниципального округа     </w:t>
      </w:r>
      <w:r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993" w:leader="none"/>
          <w:tab w:val="left" w:pos="1276" w:leader="none"/>
        </w:tabs>
      </w:pPr>
      <w:r/>
      <w:r/>
    </w:p>
    <w:p>
      <w:pPr>
        <w:jc w:val="both"/>
        <w:tabs>
          <w:tab w:val="left" w:pos="993" w:leader="none"/>
          <w:tab w:val="left" w:pos="1276" w:leader="none"/>
        </w:tabs>
      </w:pPr>
      <w:r/>
      <w:r/>
    </w:p>
    <w:p>
      <w:pPr>
        <w:jc w:val="both"/>
        <w:tabs>
          <w:tab w:val="left" w:pos="993" w:leader="none"/>
          <w:tab w:val="left" w:pos="1276" w:leader="none"/>
        </w:tabs>
      </w:pPr>
      <w:r/>
      <w:r/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t xml:space="preserve">Шавырова</w:t>
      </w:r>
      <w:r>
        <w:t xml:space="preserve"> Ю.В.</w:t>
      </w:r>
      <w:r>
        <w:t xml:space="preserve">, 5</w:t>
      </w:r>
      <w:r>
        <w:t xml:space="preserve">1291</w:t>
      </w:r>
      <w:r>
        <w:rPr>
          <w:highlight w:val="none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постановлени</w:t>
      </w:r>
      <w:r>
        <w:rPr>
          <w:sz w:val="24"/>
          <w:szCs w:val="24"/>
        </w:rPr>
        <w:t xml:space="preserve">ю</w:t>
      </w:r>
      <w:r>
        <w:rPr>
          <w:sz w:val="24"/>
          <w:szCs w:val="24"/>
        </w:rPr>
        <w:t xml:space="preserve">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30.12.2025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2262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1"/>
        <w:ind w:left="432" w:hanging="432"/>
        <w:jc w:val="center"/>
        <w:keepLines w:val="0"/>
        <w:spacing w:before="0"/>
        <w:tabs>
          <w:tab w:val="num" w:pos="0" w:leader="none"/>
        </w:tabs>
        <w:rPr>
          <w:rFonts w:eastAsia="Calibri"/>
          <w:bCs w:val="0"/>
          <w:color w:val="auto"/>
          <w:sz w:val="24"/>
          <w:szCs w:val="24"/>
        </w:rPr>
      </w:pPr>
      <w:r>
        <w:rPr>
          <w:rFonts w:eastAsia="Calibri"/>
          <w:bCs w:val="0"/>
          <w:color w:val="auto"/>
          <w:sz w:val="24"/>
          <w:szCs w:val="24"/>
        </w:rPr>
      </w:r>
      <w:r>
        <w:rPr>
          <w:rFonts w:eastAsia="Calibri"/>
          <w:bCs w:val="0"/>
          <w:color w:val="auto"/>
          <w:sz w:val="24"/>
          <w:szCs w:val="24"/>
        </w:rPr>
      </w:r>
      <w:r>
        <w:rPr>
          <w:rFonts w:eastAsia="Calibri"/>
          <w:bCs w:val="0"/>
          <w:color w:val="auto"/>
          <w:sz w:val="24"/>
          <w:szCs w:val="24"/>
        </w:rPr>
      </w:r>
    </w:p>
    <w:p>
      <w:pPr>
        <w:ind w:right="0"/>
        <w:jc w:val="center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  <w:lang w:eastAsia="en-US"/>
        </w:rPr>
        <w:t xml:space="preserve">ПРОГРАММА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0"/>
        <w:jc w:val="center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 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в границах Печенгского муниципального округа на 202</w:t>
      </w:r>
      <w:r>
        <w:rPr>
          <w:sz w:val="24"/>
          <w:szCs w:val="24"/>
          <w:lang w:eastAsia="en-US"/>
        </w:rPr>
        <w:t xml:space="preserve">6</w:t>
      </w:r>
      <w:r>
        <w:rPr>
          <w:sz w:val="24"/>
          <w:szCs w:val="24"/>
          <w:lang w:eastAsia="en-US"/>
        </w:rPr>
        <w:t xml:space="preserve"> год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15"/>
        <w:jc w:val="center"/>
        <w:spacing w:after="31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0"/>
        <w:jc w:val="center"/>
        <w:keepLines/>
        <w:keepNext/>
        <w:spacing w:after="0" w:afterAutospacing="0"/>
        <w:rPr>
          <w:b/>
          <w:sz w:val="24"/>
          <w:szCs w:val="24"/>
        </w:rPr>
        <w:outlineLvl w:val="1"/>
        <w:suppressLineNumbers w:val="0"/>
      </w:pPr>
      <w:r>
        <w:rPr>
          <w:b/>
          <w:sz w:val="24"/>
          <w:szCs w:val="24"/>
          <w:lang w:val="en-US" w:eastAsia="en-US"/>
        </w:rPr>
        <w:t xml:space="preserve">I</w:t>
      </w:r>
      <w:r>
        <w:rPr>
          <w:b/>
          <w:sz w:val="24"/>
          <w:szCs w:val="24"/>
          <w:lang w:eastAsia="en-US"/>
        </w:rPr>
        <w:t xml:space="preserve">. Общие положения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1" w:firstLine="709"/>
        <w:jc w:val="center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Про</w:t>
      </w:r>
      <w:r>
        <w:rPr>
          <w:sz w:val="24"/>
          <w:szCs w:val="24"/>
          <w:lang w:eastAsia="en-US"/>
        </w:rPr>
        <w:t xml:space="preserve">грамма 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в границах Печенгского муниципального округа на 202</w:t>
      </w:r>
      <w:r>
        <w:rPr>
          <w:sz w:val="24"/>
          <w:szCs w:val="24"/>
          <w:lang w:eastAsia="en-US"/>
        </w:rPr>
        <w:t xml:space="preserve">5</w:t>
      </w:r>
      <w:r>
        <w:rPr>
          <w:sz w:val="24"/>
          <w:szCs w:val="24"/>
          <w:lang w:eastAsia="en-US"/>
        </w:rPr>
        <w:t xml:space="preserve"> год (далее – Программа профилактики рисков причинения вреда), разработана на основании Федерального закона от 06.10.2003 </w:t>
        <w:br/>
        <w:t xml:space="preserve">№ 131-ФЗ «Об общих принципах организации местного самоуправления в Российской Федерации», в соответствии с Федеральным законом от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31.07.2020 № 248-ФЗ </w:t>
        <w:br/>
        <w:t xml:space="preserve">«О государственном контроле (надзоре) и муниципальном контроле в Российской Федерации», постановлением Правительс</w:t>
      </w:r>
      <w:r>
        <w:rPr>
          <w:sz w:val="24"/>
          <w:szCs w:val="24"/>
          <w:lang w:eastAsia="en-US"/>
        </w:rPr>
        <w:t xml:space="preserve">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Печенгского муниципального округа</w:t>
      </w:r>
      <w:r>
        <w:rPr>
          <w:sz w:val="24"/>
          <w:szCs w:val="24"/>
          <w:lang w:eastAsia="en-US"/>
        </w:rPr>
        <w:t xml:space="preserve">, </w:t>
      </w:r>
      <w:r>
        <w:rPr>
          <w:sz w:val="24"/>
          <w:szCs w:val="24"/>
          <w:lang w:eastAsia="en-US"/>
        </w:rPr>
        <w:t xml:space="preserve">Р</w:t>
      </w:r>
      <w:r>
        <w:rPr>
          <w:sz w:val="24"/>
          <w:szCs w:val="24"/>
          <w:lang w:eastAsia="en-US"/>
        </w:rPr>
        <w:t xml:space="preserve">ешением </w:t>
      </w:r>
      <w:r>
        <w:rPr>
          <w:sz w:val="24"/>
          <w:szCs w:val="24"/>
          <w:lang w:eastAsia="en-US"/>
        </w:rPr>
        <w:t xml:space="preserve">С</w:t>
      </w:r>
      <w:r>
        <w:rPr>
          <w:sz w:val="24"/>
          <w:szCs w:val="24"/>
          <w:lang w:eastAsia="en-US"/>
        </w:rPr>
        <w:t xml:space="preserve">овета</w:t>
      </w:r>
      <w:r>
        <w:rPr>
          <w:sz w:val="24"/>
          <w:szCs w:val="24"/>
          <w:lang w:eastAsia="en-US"/>
        </w:rPr>
        <w:t xml:space="preserve"> депутатов Печенгского муниципального округа Мурманской области № 260 от 24.12.2021 «</w:t>
      </w:r>
      <w:r>
        <w:rPr>
          <w:bCs/>
          <w:sz w:val="24"/>
          <w:szCs w:val="24"/>
          <w:lang w:eastAsia="en-US"/>
        </w:rPr>
        <w:t xml:space="preserve">Об утверждении Положения </w:t>
      </w:r>
      <w:r>
        <w:rPr>
          <w:sz w:val="24"/>
          <w:szCs w:val="24"/>
          <w:lang w:eastAsia="en-US"/>
        </w:rPr>
        <w:t xml:space="preserve">о муниципальном контроле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 автомобильном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транспорте</w:t>
      </w:r>
      <w:r>
        <w:rPr>
          <w:sz w:val="24"/>
          <w:szCs w:val="24"/>
          <w:lang w:eastAsia="en-US"/>
        </w:rPr>
        <w:t xml:space="preserve">, городском наземном электрическом транспорте и в дорожном хозяйстве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 границах Печенгского муниципального округа</w:t>
      </w:r>
      <w:r>
        <w:rPr>
          <w:sz w:val="24"/>
          <w:szCs w:val="24"/>
          <w:lang w:eastAsia="en-US"/>
        </w:rPr>
        <w:t xml:space="preserve">»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Программа профилактики рисков причинения вреда утверждается ежегодно и состоит из следующих разделов: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5"/>
        </w:numPr>
        <w:ind w:left="0" w:right="-1"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вреда;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5"/>
        </w:numPr>
        <w:ind w:left="0" w:right="-1"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цели и задачи </w:t>
      </w:r>
      <w:r>
        <w:rPr>
          <w:sz w:val="24"/>
          <w:szCs w:val="24"/>
          <w:lang w:eastAsia="en-US"/>
        </w:rPr>
        <w:t xml:space="preserve">реализации программы профилактики рисков причинения вреда</w:t>
      </w:r>
      <w:r>
        <w:rPr>
          <w:sz w:val="24"/>
          <w:szCs w:val="24"/>
          <w:lang w:eastAsia="en-US"/>
        </w:rPr>
        <w:t xml:space="preserve">;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5"/>
        </w:numPr>
        <w:ind w:left="0" w:right="-1"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перечень профилактических мероприятий, сроки (периодичность) их проведения;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5"/>
        </w:numPr>
        <w:ind w:left="0" w:right="-1"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показатели результативности и эффективности </w:t>
      </w:r>
      <w:r>
        <w:rPr>
          <w:sz w:val="24"/>
          <w:szCs w:val="24"/>
          <w:lang w:eastAsia="en-US"/>
        </w:rPr>
        <w:t xml:space="preserve">программы профилактики рисков причинения вреда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Администрация Печенгского муниципального округа (далее – контрольный орган) при утверждении </w:t>
      </w:r>
      <w:r>
        <w:rPr>
          <w:sz w:val="24"/>
          <w:szCs w:val="24"/>
          <w:lang w:eastAsia="en-US"/>
        </w:rPr>
        <w:t xml:space="preserve">программы профилактики рисков причинения вреда</w:t>
      </w:r>
      <w:r>
        <w:rPr>
          <w:sz w:val="24"/>
          <w:szCs w:val="24"/>
          <w:lang w:eastAsia="en-US"/>
        </w:rPr>
        <w:t xml:space="preserve"> учитывает категории риска, к которым отнесены объекты контроля, установленные положением о муниципальном контроле на автомобильном транспорте, городском наземном электрическом транспорте и в дорожном хозяйстве. 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Программа профилактики рисков причинения вреда предусматривает ее общественное обсуждение.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Утвержденная программа профилактики рисков причинения вреда размещается на официальном сайте контрольного (надзорного) органа в сети «Интернет».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Профилактические </w:t>
      </w:r>
      <w:r>
        <w:rPr>
          <w:sz w:val="24"/>
          <w:szCs w:val="24"/>
          <w:lang w:eastAsia="en-US"/>
        </w:rPr>
        <w:t xml:space="preserve">мероприятия, </w:t>
      </w:r>
      <w:r>
        <w:rPr>
          <w:sz w:val="24"/>
          <w:szCs w:val="24"/>
          <w:lang w:eastAsia="en-US"/>
        </w:rPr>
        <w:t xml:space="preserve">предусмотренные программой профилактики рисков причинения вреда, обязательны для проведения контрольным органом.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Контрольный орган может проводить профилактические мероприятия, не предусмотренные программой профилактики рисков причинения вреда.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0"/>
        <w:jc w:val="center"/>
        <w:spacing w:after="0" w:afterAutospacing="0"/>
        <w:rPr>
          <w:sz w:val="24"/>
          <w:szCs w:val="24"/>
        </w:rPr>
        <w:suppressLineNumbers w:val="0"/>
      </w:pPr>
      <w:r>
        <w:rPr>
          <w:b/>
          <w:sz w:val="24"/>
          <w:szCs w:val="24"/>
          <w:lang w:val="en-US" w:eastAsia="en-US"/>
        </w:rPr>
        <w:t xml:space="preserve">II</w:t>
      </w:r>
      <w:r>
        <w:rPr>
          <w:b/>
          <w:sz w:val="24"/>
          <w:szCs w:val="24"/>
          <w:lang w:eastAsia="en-US"/>
        </w:rPr>
        <w:t xml:space="preserve">. Анализ текущего состояния осуществления вида контроля, описание текущего уровня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9"/>
        <w:spacing w:after="0" w:afterAutospacing="0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Муниципал</w:t>
      </w:r>
      <w:r>
        <w:rPr>
          <w:sz w:val="24"/>
          <w:szCs w:val="24"/>
          <w:lang w:eastAsia="en-US"/>
        </w:rPr>
        <w:t xml:space="preserve">ь</w:t>
      </w:r>
      <w:r>
        <w:rPr>
          <w:sz w:val="24"/>
          <w:szCs w:val="24"/>
          <w:lang w:eastAsia="en-US"/>
        </w:rPr>
        <w:t xml:space="preserve">ный контроль на автомобильном транспорте, городском наземном электрическом транспорте и в дорожном хозяйстве осуществляется уполномоченными должностными лицами контрольного органа на основании Федерального закона </w:t>
        <w:br/>
        <w:t xml:space="preserve">от 06.10.2003 № 131-ФЗ «Об общих принципах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организации местного самоуправления в Российской Федерации», Федерального закона от 08.11.2007 № 257-ФЗ </w:t>
        <w:br/>
        <w:t xml:space="preserve">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>
        <w:rPr>
          <w:sz w:val="24"/>
          <w:szCs w:val="24"/>
          <w:lang w:eastAsia="en-US"/>
        </w:rPr>
        <w:t xml:space="preserve">», Федерального закона от 31.07.2020 № 248-ФЗ «О государственном контроле (надзоре) и муниципальном контроле в Российской Федерации». </w:t>
      </w:r>
      <w:r>
        <w:rPr>
          <w:sz w:val="24"/>
          <w:szCs w:val="24"/>
          <w:lang w:eastAsia="en-US"/>
        </w:rPr>
        <w:t xml:space="preserve">Кроме этого, осуществляется во исполнение требований Постановления Правительства </w:t>
      </w:r>
      <w:r>
        <w:rPr>
          <w:sz w:val="24"/>
          <w:szCs w:val="24"/>
          <w:lang w:eastAsia="en-US"/>
        </w:rPr>
        <w:t xml:space="preserve">Р</w:t>
      </w:r>
      <w:r>
        <w:rPr>
          <w:sz w:val="24"/>
          <w:szCs w:val="24"/>
          <w:lang w:eastAsia="en-US"/>
        </w:rPr>
        <w:t xml:space="preserve">оссийской Федерации </w:t>
        <w:br/>
        <w:t xml:space="preserve">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</w:t>
      </w:r>
      <w:r>
        <w:rPr>
          <w:sz w:val="24"/>
          <w:szCs w:val="24"/>
          <w:lang w:eastAsia="en-US"/>
        </w:rPr>
        <w:t xml:space="preserve">й, установленных муниципальными правовыми актами», в целях предупреждения нарушений юридическими лицами и индивидуальными предпринимателями обязательных требований, устранения причин, факторов и условий, способствующих нарушениям обязательных требований, а</w:t>
      </w:r>
      <w:r>
        <w:rPr>
          <w:sz w:val="24"/>
          <w:szCs w:val="24"/>
          <w:lang w:eastAsia="en-US"/>
        </w:rPr>
        <w:t xml:space="preserve"> так же требований установленных муниципальными правовыми актами.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Программа профилактики рисков причинения вреда направлена на обеспечение состояния безопасности охраняемых законом ценностей, рост числа контролируемых лиц, самостоятель</w:t>
      </w:r>
      <w:r>
        <w:rPr>
          <w:sz w:val="24"/>
          <w:szCs w:val="24"/>
          <w:lang w:eastAsia="en-US"/>
        </w:rPr>
        <w:t xml:space="preserve">но и своевременно обеспечивающих исполнение обязательных требований. Как показывает практика, применение к контролируемым лицам мер ответственности в целях пресечения нарушения обязательных требований не приводит к снижению количества выявленных нарушений </w:t>
      </w:r>
      <w:r>
        <w:rPr>
          <w:sz w:val="24"/>
          <w:szCs w:val="24"/>
          <w:lang w:eastAsia="en-US"/>
        </w:rPr>
        <w:t xml:space="preserve">или увеличению в совокупности количества объектов контроля, обеспечивающих соблюдение обязательных требований и предпринимающих меры по недопущению нарушений обязательных требований, недопущению рисков причинения вреда охраняемым законом ценностям. Основно</w:t>
      </w:r>
      <w:r>
        <w:rPr>
          <w:sz w:val="24"/>
          <w:szCs w:val="24"/>
          <w:lang w:eastAsia="en-US"/>
        </w:rPr>
        <w:t xml:space="preserve">й направленностью профилактической деятельности контрольного органа являются контролируемые лица, поведение которых свидетельствует об их стремлении к исполнению предъявляемым к ним обязательным требованиям, даже если они допускают их нарушение по причинам</w:t>
      </w:r>
      <w:r>
        <w:rPr>
          <w:sz w:val="24"/>
          <w:szCs w:val="24"/>
          <w:lang w:eastAsia="en-US"/>
        </w:rPr>
        <w:t xml:space="preserve"> недостаточной информированности об обязательных требованиях, предъявляемых к объекту контроля. Целенаправленное содействие соблюдению обязательных требований данной категории лиц способствует снижению рисков причинения вреда охраняемым законом ценностям.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В </w:t>
      </w:r>
      <w:r>
        <w:rPr>
          <w:sz w:val="24"/>
          <w:szCs w:val="24"/>
          <w:lang w:eastAsia="en-US"/>
        </w:rPr>
        <w:t xml:space="preserve">202</w:t>
      </w:r>
      <w:r>
        <w:rPr>
          <w:sz w:val="24"/>
          <w:szCs w:val="24"/>
          <w:lang w:eastAsia="en-US"/>
        </w:rPr>
        <w:t xml:space="preserve">5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году в рамках осуществления муниципального контроля проверки не проводились в соответствии с Постановлением Правительства РФ от 10.03.2022 г. № 336 «Об особенностях организации и осуществления государственного контроля (надзора), муниципального контроля».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В 202</w:t>
      </w:r>
      <w:r>
        <w:rPr>
          <w:sz w:val="24"/>
          <w:szCs w:val="24"/>
          <w:lang w:eastAsia="en-US"/>
        </w:rPr>
        <w:t xml:space="preserve">5</w:t>
      </w:r>
      <w:r>
        <w:rPr>
          <w:sz w:val="24"/>
          <w:szCs w:val="24"/>
          <w:lang w:eastAsia="en-US"/>
        </w:rPr>
        <w:t xml:space="preserve"> году выполнялись мероприятия </w:t>
      </w:r>
      <w:r>
        <w:rPr>
          <w:sz w:val="24"/>
          <w:szCs w:val="24"/>
          <w:lang w:eastAsia="en-US"/>
        </w:rPr>
        <w:t xml:space="preserve">по профилактике нарушений, в соответствии с Программой профилактики рисков причинения вреда (ущерба) охраняемым законом ценностям по муниципальному  контролю на автомобильном транспорте, городском наземном электрическом транспорте и в дорожном хозяйстве в </w:t>
      </w:r>
      <w:r>
        <w:rPr>
          <w:sz w:val="24"/>
          <w:szCs w:val="24"/>
          <w:lang w:eastAsia="en-US"/>
        </w:rPr>
        <w:t xml:space="preserve">границах </w:t>
      </w:r>
      <w:r>
        <w:rPr>
          <w:sz w:val="24"/>
          <w:szCs w:val="24"/>
          <w:lang w:eastAsia="en-US"/>
        </w:rPr>
        <w:t xml:space="preserve">Печенгского</w:t>
      </w:r>
      <w:r>
        <w:rPr>
          <w:sz w:val="24"/>
          <w:szCs w:val="24"/>
          <w:lang w:eastAsia="en-US"/>
        </w:rPr>
        <w:t xml:space="preserve"> муниципального округа на 202</w:t>
      </w:r>
      <w:r>
        <w:rPr>
          <w:sz w:val="24"/>
          <w:szCs w:val="24"/>
          <w:lang w:eastAsia="en-US"/>
        </w:rPr>
        <w:t xml:space="preserve">5</w:t>
      </w:r>
      <w:r>
        <w:rPr>
          <w:sz w:val="24"/>
          <w:szCs w:val="24"/>
          <w:lang w:eastAsia="en-US"/>
        </w:rPr>
        <w:t xml:space="preserve"> год, утвержденной постановлением администрации </w:t>
      </w:r>
      <w:r>
        <w:rPr>
          <w:sz w:val="24"/>
          <w:szCs w:val="24"/>
          <w:lang w:eastAsia="en-US"/>
        </w:rPr>
        <w:t xml:space="preserve">Печенгского</w:t>
      </w:r>
      <w:r>
        <w:rPr>
          <w:sz w:val="24"/>
          <w:szCs w:val="24"/>
          <w:lang w:eastAsia="en-US"/>
        </w:rPr>
        <w:t xml:space="preserve"> муниципального округа от 2</w:t>
      </w:r>
      <w:r>
        <w:rPr>
          <w:sz w:val="24"/>
          <w:szCs w:val="24"/>
          <w:lang w:eastAsia="en-US"/>
        </w:rPr>
        <w:t xml:space="preserve">0</w:t>
      </w:r>
      <w:r>
        <w:rPr>
          <w:sz w:val="24"/>
          <w:szCs w:val="24"/>
          <w:lang w:eastAsia="en-US"/>
        </w:rPr>
        <w:t xml:space="preserve">.1</w:t>
      </w:r>
      <w:r>
        <w:rPr>
          <w:sz w:val="24"/>
          <w:szCs w:val="24"/>
          <w:lang w:eastAsia="en-US"/>
        </w:rPr>
        <w:t xml:space="preserve">2</w:t>
      </w:r>
      <w:r>
        <w:rPr>
          <w:sz w:val="24"/>
          <w:szCs w:val="24"/>
          <w:lang w:eastAsia="en-US"/>
        </w:rPr>
        <w:t xml:space="preserve">.202</w:t>
      </w:r>
      <w:r>
        <w:rPr>
          <w:sz w:val="24"/>
          <w:szCs w:val="24"/>
          <w:lang w:eastAsia="en-US"/>
        </w:rPr>
        <w:t xml:space="preserve">4</w:t>
      </w:r>
      <w:r>
        <w:rPr>
          <w:sz w:val="24"/>
          <w:szCs w:val="24"/>
          <w:lang w:eastAsia="en-US"/>
        </w:rPr>
        <w:t xml:space="preserve"> </w:t>
        <w:br/>
        <w:t xml:space="preserve">№ </w:t>
      </w:r>
      <w:r>
        <w:rPr>
          <w:sz w:val="24"/>
          <w:szCs w:val="24"/>
          <w:lang w:eastAsia="en-US"/>
        </w:rPr>
        <w:t xml:space="preserve">2093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709"/>
        <w:jc w:val="both"/>
        <w:spacing w:after="15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709"/>
        <w:jc w:val="both"/>
        <w:spacing w:after="15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709"/>
        <w:jc w:val="both"/>
        <w:spacing w:after="15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709"/>
        <w:jc w:val="both"/>
        <w:spacing w:after="15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0"/>
        <w:jc w:val="center"/>
        <w:spacing w:after="0" w:afterAutospacing="0" w:line="240" w:lineRule="auto"/>
        <w:rPr>
          <w:sz w:val="24"/>
          <w:szCs w:val="24"/>
        </w:rPr>
        <w:suppressLineNumbers w:val="0"/>
      </w:pPr>
      <w:r>
        <w:rPr>
          <w:b/>
          <w:sz w:val="24"/>
          <w:szCs w:val="24"/>
          <w:highlight w:val="none"/>
          <w:lang w:eastAsia="en-US"/>
        </w:rPr>
      </w:r>
      <w:r>
        <w:rPr>
          <w:b/>
          <w:sz w:val="24"/>
          <w:szCs w:val="24"/>
          <w:highlight w:val="none"/>
          <w:lang w:eastAsia="en-US"/>
        </w:rPr>
      </w:r>
      <w:r>
        <w:rPr>
          <w:sz w:val="24"/>
          <w:szCs w:val="24"/>
        </w:rPr>
      </w:r>
    </w:p>
    <w:p>
      <w:pPr>
        <w:ind w:right="-1" w:firstLine="0"/>
        <w:jc w:val="center"/>
        <w:spacing w:after="0" w:afterAutospacing="0" w:line="240" w:lineRule="auto"/>
        <w:rPr>
          <w:b/>
          <w:bCs/>
          <w:sz w:val="24"/>
          <w:szCs w:val="24"/>
          <w:highlight w:val="none"/>
          <w:lang w:eastAsia="en-US"/>
        </w:rPr>
        <w:suppressLineNumbers w:val="0"/>
      </w:pPr>
      <w:r>
        <w:rPr>
          <w:b/>
          <w:sz w:val="24"/>
          <w:szCs w:val="24"/>
          <w:lang w:val="en-US" w:eastAsia="en-US"/>
        </w:rPr>
        <w:t xml:space="preserve">III</w:t>
      </w:r>
      <w:r>
        <w:rPr>
          <w:b/>
          <w:sz w:val="24"/>
          <w:szCs w:val="24"/>
          <w:lang w:eastAsia="en-US"/>
        </w:rPr>
        <w:t xml:space="preserve">. Цели и задачи реализации программы профилактики рисков причинения вреда</w:t>
      </w:r>
      <w:r>
        <w:rPr>
          <w:b/>
          <w:bCs/>
          <w:sz w:val="24"/>
          <w:szCs w:val="24"/>
          <w:highlight w:val="none"/>
          <w:lang w:eastAsia="en-US"/>
        </w:rPr>
      </w:r>
      <w:r>
        <w:rPr>
          <w:b/>
          <w:bCs/>
          <w:sz w:val="24"/>
          <w:szCs w:val="24"/>
          <w:highlight w:val="none"/>
          <w:lang w:eastAsia="en-US"/>
        </w:rPr>
      </w:r>
    </w:p>
    <w:p>
      <w:pPr>
        <w:ind w:right="-1" w:firstLine="709"/>
        <w:spacing w:after="0" w:afterAutospacing="0" w:line="240" w:lineRule="auto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709"/>
        <w:jc w:val="both"/>
        <w:spacing w:after="0" w:afterAutospacing="0"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Программа профилактики рисков причинения вреда направлена на достижение следующих основных целей: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6"/>
        </w:numPr>
        <w:ind w:right="-1" w:firstLine="709"/>
        <w:jc w:val="both"/>
        <w:spacing w:after="0" w:afterAutospacing="0"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стимулирование </w:t>
      </w:r>
      <w:r>
        <w:rPr>
          <w:sz w:val="24"/>
          <w:szCs w:val="24"/>
          <w:lang w:eastAsia="en-US"/>
        </w:rPr>
        <w:t xml:space="preserve">добросовестного </w:t>
      </w:r>
      <w:r>
        <w:rPr>
          <w:sz w:val="24"/>
          <w:szCs w:val="24"/>
          <w:lang w:eastAsia="en-US"/>
        </w:rPr>
        <w:t xml:space="preserve">соблюдения </w:t>
      </w:r>
      <w:r>
        <w:rPr>
          <w:sz w:val="24"/>
          <w:szCs w:val="24"/>
          <w:lang w:eastAsia="en-US"/>
        </w:rPr>
        <w:t xml:space="preserve">обязательных требований всеми контролируемыми лицами;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6"/>
        </w:numPr>
        <w:ind w:right="-1" w:firstLine="709"/>
        <w:jc w:val="both"/>
        <w:spacing w:after="0" w:afterAutospacing="0"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6"/>
        </w:numPr>
        <w:ind w:right="-1" w:firstLine="709"/>
        <w:jc w:val="both"/>
        <w:spacing w:after="0" w:afterAutospacing="0"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создание условий для доведения обязательных требований до контролируемых лиц, повышение информированности о способах их соблюдения.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709"/>
        <w:jc w:val="both"/>
        <w:spacing w:after="0" w:afterAutospacing="0"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Задачами программы рисков причинения вреда являются: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7"/>
        </w:numPr>
        <w:ind w:right="-1" w:firstLine="709"/>
        <w:jc w:val="both"/>
        <w:spacing w:after="0" w:afterAutospacing="0"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создание условий для исполнения контр</w:t>
      </w:r>
      <w:r>
        <w:rPr>
          <w:sz w:val="24"/>
          <w:szCs w:val="24"/>
          <w:lang w:eastAsia="en-US"/>
        </w:rPr>
        <w:t xml:space="preserve">олируемыми лицами обязательных требований - меры, направленные на повышение уровня информирования контролируемых лиц и всех заинтересованных лиц, в том числе по широкому спектру вопросов соблюдения обязательных требований (включая разъяснение порядка приме</w:t>
      </w:r>
      <w:r>
        <w:rPr>
          <w:sz w:val="24"/>
          <w:szCs w:val="24"/>
          <w:lang w:eastAsia="en-US"/>
        </w:rPr>
        <w:t xml:space="preserve">нения требований, рекомендации по обеспечению правомерности действий контролируемого лица, содействие в повышении квалификации контролируемых лиц), разъяснение порядка организации и проведения контрольных и профилактических мероприятий, прав и обязанностей</w:t>
      </w:r>
      <w:r>
        <w:rPr>
          <w:sz w:val="24"/>
          <w:szCs w:val="24"/>
          <w:lang w:eastAsia="en-US"/>
        </w:rPr>
        <w:t xml:space="preserve"> контролируемых лиц и должностных лиц контрольного органа;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7"/>
        </w:numPr>
        <w:ind w:right="-1" w:firstLine="709"/>
        <w:jc w:val="both"/>
        <w:spacing w:after="0" w:afterAutospacing="0"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создание условий для общественного контроля;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7"/>
        </w:numPr>
        <w:ind w:right="-1" w:firstLine="709"/>
        <w:jc w:val="both"/>
        <w:spacing w:after="0" w:afterAutospacing="0"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стимулирование контролируемых лиц к добросовестному поведению путем широкого освещения и предоставления информации о способах и примерах наиболее эффективных образцов соблюдения обязательных требований;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7"/>
        </w:numPr>
        <w:ind w:right="-1" w:firstLine="709"/>
        <w:jc w:val="both"/>
        <w:spacing w:after="0" w:afterAutospacing="0"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обеспечение информационной открытости контрольного органа, в том числе обеспечение размещения в установленном законодательством по</w:t>
      </w:r>
      <w:r>
        <w:rPr>
          <w:sz w:val="24"/>
          <w:szCs w:val="24"/>
          <w:lang w:eastAsia="en-US"/>
        </w:rPr>
        <w:t xml:space="preserve">рядке достаточной, достоверной и полной информации об обязательных требованиях, информации о процедурах досудебного (внесудебного) обжалования решений, действий (бездействия) должностных лиц контрольного органа, о проводимых профилактических мероприятиях;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7"/>
        </w:numPr>
        <w:ind w:right="-1" w:firstLine="709"/>
        <w:jc w:val="both"/>
        <w:spacing w:after="0" w:afterAutospacing="0"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учет при орга</w:t>
      </w:r>
      <w:r>
        <w:rPr>
          <w:sz w:val="24"/>
          <w:szCs w:val="24"/>
          <w:lang w:eastAsia="en-US"/>
        </w:rPr>
        <w:t xml:space="preserve">низации профилактических мероприятий, мероприятий по контролю, мнения контролируемых лиц о порядке, полноте, эффективности проведения контрольных и профилактических мероприятий, достаточности и полноте работы по информированию об обязательных требованиях;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7"/>
        </w:numPr>
        <w:ind w:right="-1" w:firstLine="709"/>
        <w:jc w:val="both"/>
        <w:spacing w:after="0" w:afterAutospacing="0"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развитие </w:t>
      </w:r>
      <w:r>
        <w:rPr>
          <w:sz w:val="24"/>
          <w:szCs w:val="24"/>
          <w:lang w:eastAsia="en-US"/>
        </w:rPr>
        <w:t xml:space="preserve">межведомственного </w:t>
      </w:r>
      <w:r>
        <w:rPr>
          <w:sz w:val="24"/>
          <w:szCs w:val="24"/>
          <w:lang w:eastAsia="en-US"/>
        </w:rPr>
        <w:t xml:space="preserve">взаимодействия </w:t>
      </w:r>
      <w:r>
        <w:rPr>
          <w:sz w:val="24"/>
          <w:szCs w:val="24"/>
          <w:lang w:eastAsia="en-US"/>
        </w:rPr>
        <w:t xml:space="preserve">по вопросам профилактики рисков причинения вреда охраняемым законом ценностям;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7"/>
        </w:numPr>
        <w:ind w:right="-1" w:firstLine="709"/>
        <w:jc w:val="both"/>
        <w:spacing w:after="0" w:afterAutospacing="0"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дифференциация, адаптация, индивидуализация и периодический пересмотр применяемых профилактических мер с учетом состояния подконтрольной сферы, типизации объектов контроля, результатов комплексного анализа проблем соблюдения обязательных требований.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1" w:firstLine="709"/>
        <w:spacing w:after="0" w:afterAutospacing="0" w:line="240" w:lineRule="auto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 </w:t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spacing w:after="0" w:afterAutospacing="0" w:line="240" w:lineRule="auto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br w:type="page" w:clear="all"/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ind w:right="-1" w:firstLine="0"/>
        <w:jc w:val="center"/>
        <w:spacing w:after="0" w:afterAutospacing="0" w:line="240" w:lineRule="auto"/>
        <w:tabs>
          <w:tab w:val="center" w:pos="1041" w:leader="none"/>
          <w:tab w:val="center" w:pos="2364" w:leader="none"/>
          <w:tab w:val="center" w:pos="4714" w:leader="none"/>
          <w:tab w:val="center" w:pos="7343" w:leader="none"/>
          <w:tab w:val="right" w:pos="9501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  <w:lang w:val="en-US" w:eastAsia="en-US"/>
        </w:rPr>
        <w:t xml:space="preserve">IV</w:t>
      </w:r>
      <w:r>
        <w:rPr>
          <w:b/>
          <w:sz w:val="24"/>
          <w:szCs w:val="24"/>
          <w:lang w:eastAsia="en-US"/>
        </w:rPr>
        <w:t xml:space="preserve">. </w:t>
      </w:r>
      <w:r>
        <w:rPr>
          <w:b/>
          <w:sz w:val="24"/>
          <w:szCs w:val="24"/>
          <w:lang w:eastAsia="en-US"/>
        </w:rPr>
        <w:t xml:space="preserve"> Перечень </w:t>
      </w:r>
      <w:r>
        <w:rPr>
          <w:b/>
          <w:sz w:val="24"/>
          <w:szCs w:val="24"/>
          <w:lang w:eastAsia="en-US"/>
        </w:rPr>
        <w:tab/>
        <w:t xml:space="preserve">профилактических </w:t>
      </w:r>
      <w:r>
        <w:rPr>
          <w:b/>
          <w:sz w:val="24"/>
          <w:szCs w:val="24"/>
          <w:lang w:eastAsia="en-US"/>
        </w:rPr>
        <w:tab/>
        <w:t xml:space="preserve">мероп</w:t>
      </w:r>
      <w:r>
        <w:rPr>
          <w:b/>
          <w:sz w:val="24"/>
          <w:szCs w:val="24"/>
          <w:lang w:eastAsia="en-US"/>
        </w:rPr>
        <w:t xml:space="preserve">риятий, </w:t>
      </w:r>
      <w:r>
        <w:rPr>
          <w:b/>
          <w:sz w:val="24"/>
          <w:szCs w:val="24"/>
        </w:rPr>
        <w:t xml:space="preserve">дата проведения и срок проведения обязательного профилактического визита, объект контроля, в</w:t>
      </w:r>
      <w:r>
        <w:rPr>
          <w:b/>
          <w:sz w:val="24"/>
          <w:szCs w:val="24"/>
        </w:rPr>
        <w:t xml:space="preserve">ключая адреса мест осуществления организациями, индивидуальными предпринимателями деятельности или адреса нахождения иных объектов контроля, в отношении которых проводится обязательный профилактический визит, категории риска, к которым отнесены объекты кон</w:t>
      </w:r>
      <w:r>
        <w:rPr>
          <w:b/>
          <w:sz w:val="24"/>
          <w:szCs w:val="24"/>
        </w:rPr>
        <w:t xml:space="preserve">троля, сведения о контролируемых лицах, включая индивидуальный номер налогоплательщика, фамилию, имя, отчество (при наличии) гражданина или наименование организации, адрес организации (ее филиалов, представительств, обособленных структурных подразделений).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-5" w:firstLine="0"/>
        <w:jc w:val="center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contextualSpacing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6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1984"/>
        <w:gridCol w:w="5919"/>
      </w:tblGrid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t xml:space="preserve">№ </w:t>
            </w:r>
            <w:r>
              <w:t xml:space="preserve">п</w:t>
            </w:r>
            <w:r>
              <w:t xml:space="preserve">/п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ind w:left="-126"/>
              <w:jc w:val="center"/>
            </w:pPr>
            <w:r>
              <w:t xml:space="preserve">Наименование</w:t>
            </w:r>
            <w:r/>
          </w:p>
          <w:p>
            <w:pPr>
              <w:contextualSpacing/>
              <w:ind w:left="-126"/>
              <w:jc w:val="center"/>
              <w:rPr>
                <w:b/>
              </w:rPr>
            </w:pPr>
            <w:r>
              <w:t xml:space="preserve">мероприятия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t xml:space="preserve">Срок исполнения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5919" w:type="dxa"/>
            <w:textDirection w:val="lrTb"/>
            <w:noWrap w:val="false"/>
          </w:tcPr>
          <w:p>
            <w:pPr>
              <w:contextualSpacing/>
              <w:ind w:left="-94"/>
              <w:jc w:val="center"/>
            </w:pPr>
            <w:r>
              <w:t xml:space="preserve">Структурное подразделение, ответственное за реализацию</w:t>
            </w:r>
            <w:r/>
          </w:p>
          <w:p>
            <w:pPr>
              <w:contextualSpacing/>
              <w:ind w:left="-94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t xml:space="preserve">1.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ind w:left="-126"/>
              <w:jc w:val="center"/>
              <w:rPr>
                <w:b/>
              </w:rPr>
            </w:pPr>
            <w:r>
              <w:t xml:space="preserve">Информирование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t xml:space="preserve">Постоянно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5919" w:type="dxa"/>
            <w:textDirection w:val="lrTb"/>
            <w:noWrap w:val="false"/>
          </w:tcPr>
          <w:p>
            <w:pPr>
              <w:contextualSpacing/>
              <w:ind w:left="-94"/>
              <w:jc w:val="center"/>
            </w:pPr>
            <w:r>
              <w:t xml:space="preserve">Отдел строительства и ЖКХ администрации Печенгского муниципального округа</w:t>
            </w:r>
            <w:r/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2.</w:t>
            </w:r>
            <w:r/>
          </w:p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ind w:left="-126"/>
              <w:jc w:val="center"/>
            </w:pPr>
            <w:r>
              <w:t xml:space="preserve">Объявление предостережений</w:t>
            </w:r>
            <w:r/>
          </w:p>
          <w:p>
            <w:pPr>
              <w:contextualSpacing/>
              <w:ind w:left="-126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Постоянно при наличии оснований, предусмотренных статьей 49 Федерального закона от 31.07.2020 № 248ФЗ «О государственном контроле (надзоре) и муниципальном контроле в Российской Федерации»</w:t>
            </w:r>
            <w:r/>
          </w:p>
        </w:tc>
        <w:tc>
          <w:tcPr>
            <w:tcW w:w="5919" w:type="dxa"/>
            <w:textDirection w:val="lrTb"/>
            <w:noWrap w:val="false"/>
          </w:tcPr>
          <w:p>
            <w:pPr>
              <w:contextualSpacing/>
              <w:ind w:left="-94"/>
              <w:jc w:val="center"/>
            </w:pPr>
            <w:r>
              <w:t xml:space="preserve">Отдел строительства и ЖКХ администрации Печенгского муниципального округа</w:t>
            </w:r>
            <w:r/>
          </w:p>
          <w:p>
            <w:pPr>
              <w:contextualSpacing/>
              <w:ind w:left="-94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3.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ind w:left="-126"/>
              <w:jc w:val="center"/>
              <w:rPr>
                <w:b/>
              </w:rPr>
            </w:pPr>
            <w:r>
              <w:t xml:space="preserve">Консультирование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contextualSpacing/>
              <w:ind w:left="-79"/>
              <w:jc w:val="center"/>
            </w:pPr>
            <w:r>
              <w:t xml:space="preserve">По мере обращения подконтрольных субъектов</w:t>
            </w:r>
            <w:r/>
          </w:p>
          <w:p>
            <w:pPr>
              <w:contextualSpacing/>
              <w:ind w:left="720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5919" w:type="dxa"/>
            <w:textDirection w:val="lrTb"/>
            <w:noWrap w:val="false"/>
          </w:tcPr>
          <w:p>
            <w:pPr>
              <w:contextualSpacing/>
              <w:ind w:left="-143" w:firstLine="27"/>
              <w:jc w:val="center"/>
            </w:pPr>
            <w:r>
              <w:t xml:space="preserve">Отдел строительства и ЖКХ администрации Печенгского муниципального округа</w:t>
            </w:r>
            <w:r/>
          </w:p>
        </w:tc>
      </w:tr>
    </w:tbl>
    <w:p>
      <w:pPr>
        <w:ind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Контрольный орган при осуществлении муниципального контроля может проводить следующие профилактические мероприятия: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8"/>
        </w:numPr>
        <w:ind w:left="0" w:firstLine="709"/>
        <w:jc w:val="both"/>
        <w:spacing w:after="0" w:afterAutospacing="0"/>
        <w:rPr>
          <w:sz w:val="24"/>
          <w:szCs w:val="24"/>
          <w:lang w:val="en-US" w:eastAsia="en-US"/>
        </w:rPr>
      </w:pPr>
      <w:r>
        <w:rPr>
          <w:sz w:val="24"/>
          <w:szCs w:val="24"/>
          <w:lang w:val="en-US" w:eastAsia="en-US"/>
        </w:rPr>
        <w:t xml:space="preserve">информирование</w:t>
      </w:r>
      <w:r>
        <w:rPr>
          <w:sz w:val="24"/>
          <w:szCs w:val="24"/>
          <w:lang w:val="en-US" w:eastAsia="en-US"/>
        </w:rPr>
        <w:t xml:space="preserve">; </w:t>
      </w:r>
      <w:r>
        <w:rPr>
          <w:sz w:val="24"/>
          <w:szCs w:val="24"/>
          <w:lang w:val="en-US" w:eastAsia="en-US"/>
        </w:rPr>
      </w:r>
      <w:r>
        <w:rPr>
          <w:sz w:val="24"/>
          <w:szCs w:val="24"/>
          <w:lang w:val="en-US" w:eastAsia="en-US"/>
        </w:rPr>
      </w:r>
    </w:p>
    <w:p>
      <w:pPr>
        <w:numPr>
          <w:ilvl w:val="0"/>
          <w:numId w:val="8"/>
        </w:numPr>
        <w:ind w:left="0" w:firstLine="709"/>
        <w:jc w:val="both"/>
        <w:spacing w:after="0" w:afterAutospacing="0"/>
        <w:rPr>
          <w:sz w:val="24"/>
          <w:szCs w:val="24"/>
          <w:lang w:val="en-US" w:eastAsia="en-US"/>
        </w:rPr>
      </w:pPr>
      <w:r>
        <w:rPr>
          <w:sz w:val="24"/>
          <w:szCs w:val="24"/>
          <w:lang w:val="en-US" w:eastAsia="en-US"/>
        </w:rPr>
        <w:t xml:space="preserve">объявление</w:t>
      </w:r>
      <w:r>
        <w:rPr>
          <w:sz w:val="24"/>
          <w:szCs w:val="24"/>
          <w:lang w:val="en-US" w:eastAsia="en-US"/>
        </w:rPr>
        <w:t xml:space="preserve"> </w:t>
      </w:r>
      <w:r>
        <w:rPr>
          <w:sz w:val="24"/>
          <w:szCs w:val="24"/>
          <w:lang w:val="en-US" w:eastAsia="en-US"/>
        </w:rPr>
        <w:t xml:space="preserve">предостережения</w:t>
      </w:r>
      <w:r>
        <w:rPr>
          <w:sz w:val="24"/>
          <w:szCs w:val="24"/>
          <w:lang w:val="en-US" w:eastAsia="en-US"/>
        </w:rPr>
        <w:t xml:space="preserve">;</w:t>
      </w:r>
      <w:r>
        <w:rPr>
          <w:sz w:val="24"/>
          <w:szCs w:val="24"/>
          <w:lang w:val="en-US" w:eastAsia="en-US"/>
        </w:rPr>
      </w:r>
      <w:r>
        <w:rPr>
          <w:sz w:val="24"/>
          <w:szCs w:val="24"/>
          <w:lang w:val="en-US" w:eastAsia="en-US"/>
        </w:rPr>
      </w:r>
    </w:p>
    <w:p>
      <w:pPr>
        <w:numPr>
          <w:ilvl w:val="0"/>
          <w:numId w:val="8"/>
        </w:numPr>
        <w:ind w:left="0"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val="en-US" w:eastAsia="en-US"/>
        </w:rPr>
        <w:t xml:space="preserve">консультирование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Контрольный орган при прове</w:t>
      </w:r>
      <w:r>
        <w:rPr>
          <w:sz w:val="24"/>
          <w:szCs w:val="24"/>
          <w:lang w:eastAsia="en-US"/>
        </w:rPr>
        <w:t xml:space="preserve">дении профилактических мероприятий осуществляет взаимодействие с гражданами, организациями только в случаях, установленных Федеральным законом от 31.07.2020 № 248-ФЗ «О государственном контроле (надзоре) и муниципальном контроле в Российской Федерации». 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Должностными лицами, ответственным за реализацию профи</w:t>
      </w:r>
      <w:r>
        <w:rPr>
          <w:sz w:val="24"/>
          <w:szCs w:val="24"/>
          <w:lang w:eastAsia="en-US"/>
        </w:rPr>
        <w:t xml:space="preserve">лактических мероприятий, являются должностные лица, уполномоченные осуществлять муниципальный контроль, в должностные обязанности которого в соответствии с Положением о муниципальном контроле на автомобильном транспорте, городском наземном электрическом тр</w:t>
      </w:r>
      <w:r>
        <w:rPr>
          <w:sz w:val="24"/>
          <w:szCs w:val="24"/>
          <w:lang w:eastAsia="en-US"/>
        </w:rPr>
        <w:t xml:space="preserve">анспорте и в дорожном хозяйстве в границах Печенгского муниципального округа, должностной инструкцией входит осуществление полномочий по муниципальному контролю на автомобильном транспорте, городском наземном электрическом транспорте и в дорожном хозяйстве</w:t>
      </w:r>
      <w:r>
        <w:rPr>
          <w:sz w:val="24"/>
          <w:szCs w:val="24"/>
          <w:lang w:eastAsia="en-US"/>
        </w:rPr>
        <w:t xml:space="preserve">, проведению профилактических и контрольных мероприятий (далее – инспектор).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При осуществлении профилактических мероприятий инспектором может вестись аудио-, видеозапись, </w:t>
      </w:r>
      <w:r>
        <w:rPr>
          <w:sz w:val="24"/>
          <w:szCs w:val="24"/>
          <w:lang w:eastAsia="en-US"/>
        </w:rPr>
        <w:t xml:space="preserve">фотофиксация</w:t>
      </w:r>
      <w:r>
        <w:rPr>
          <w:sz w:val="24"/>
          <w:szCs w:val="24"/>
          <w:lang w:eastAsia="en-US"/>
        </w:rPr>
        <w:t xml:space="preserve">, в том числе с использованием видеорегистраторов, телефонов (смартфонов), видео и </w:t>
      </w:r>
      <w:r>
        <w:rPr>
          <w:sz w:val="24"/>
          <w:szCs w:val="24"/>
          <w:lang w:val="en-US" w:eastAsia="en-US"/>
        </w:rPr>
        <w:t xml:space="preserve">web</w:t>
      </w:r>
      <w:r>
        <w:rPr>
          <w:sz w:val="24"/>
          <w:szCs w:val="24"/>
          <w:lang w:eastAsia="en-US"/>
        </w:rPr>
        <w:t xml:space="preserve"> камер и т.п.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План профилактических мероприятий </w:t>
      </w:r>
      <w:r>
        <w:rPr>
          <w:sz w:val="24"/>
          <w:szCs w:val="24"/>
          <w:lang w:eastAsia="en-US"/>
        </w:rPr>
        <w:t xml:space="preserve">утверждается правовым актом администрации Печенгского муниципального округа.</w:t>
      </w:r>
      <w:r>
        <w:rPr>
          <w:sz w:val="24"/>
          <w:szCs w:val="24"/>
          <w:lang w:eastAsia="en-US"/>
        </w:rPr>
        <w:t xml:space="preserve">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center"/>
        <w:spacing w:after="0" w:afterAutospac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0"/>
        <w:jc w:val="center"/>
        <w:spacing w:after="0" w:afterAutospacing="0"/>
        <w:rPr>
          <w:sz w:val="24"/>
          <w:szCs w:val="24"/>
        </w:rPr>
        <w:suppressLineNumbers w:val="0"/>
      </w:pPr>
      <w:r>
        <w:rPr>
          <w:b/>
          <w:sz w:val="24"/>
          <w:szCs w:val="24"/>
          <w:lang w:val="en-US" w:eastAsia="en-US"/>
        </w:rPr>
        <w:t xml:space="preserve">V</w:t>
      </w:r>
      <w:r>
        <w:rPr>
          <w:b/>
          <w:sz w:val="24"/>
          <w:szCs w:val="24"/>
          <w:lang w:eastAsia="en-US"/>
        </w:rPr>
        <w:t xml:space="preserve">. Показатели результативности и эффективности программы профилактики рисков причинения вреда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852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tbl>
      <w:tblPr>
        <w:tblW w:w="9494" w:type="dxa"/>
        <w:tblInd w:w="-108" w:type="dxa"/>
        <w:tblCellMar>
          <w:left w:w="106" w:type="dxa"/>
          <w:top w:w="9" w:type="dxa"/>
          <w:right w:w="39" w:type="dxa"/>
        </w:tblCellMar>
        <w:tblLook w:val="04A0" w:firstRow="1" w:lastRow="0" w:firstColumn="1" w:lastColumn="0" w:noHBand="0" w:noVBand="1"/>
      </w:tblPr>
      <w:tblGrid>
        <w:gridCol w:w="595"/>
        <w:gridCol w:w="5224"/>
        <w:gridCol w:w="3675"/>
      </w:tblGrid>
      <w:tr>
        <w:tblPrEx/>
        <w:trPr>
          <w:trHeight w:val="45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" w:type="dxa"/>
            <w:textDirection w:val="lrTb"/>
            <w:noWrap w:val="false"/>
          </w:tcPr>
          <w:p>
            <w:pPr>
              <w:ind w:left="55"/>
              <w:jc w:val="center"/>
              <w:spacing w:after="17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№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  <w:p>
            <w:pPr>
              <w:ind w:left="2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п/п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23" w:type="dxa"/>
            <w:textDirection w:val="lrTb"/>
            <w:noWrap w:val="false"/>
          </w:tcPr>
          <w:p>
            <w:pPr>
              <w:ind w:right="74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Наименование</w:t>
            </w:r>
            <w:r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 xml:space="preserve">показателя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5" w:type="dxa"/>
            <w:textDirection w:val="lrTb"/>
            <w:noWrap w:val="false"/>
          </w:tcPr>
          <w:p>
            <w:pPr>
              <w:ind w:right="68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Значение</w:t>
            </w:r>
            <w:r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 xml:space="preserve">показателя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</w:tr>
      <w:tr>
        <w:tblPrEx/>
        <w:trPr>
          <w:trHeight w:val="25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" w:type="dxa"/>
            <w:textDirection w:val="lrTb"/>
            <w:noWrap w:val="false"/>
          </w:tcPr>
          <w:p>
            <w:pPr>
              <w:ind w:left="2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1.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23" w:type="dxa"/>
            <w:textDirection w:val="lrTb"/>
            <w:noWrap w:val="false"/>
          </w:tcPr>
          <w:p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Исполнение</w:t>
            </w:r>
            <w:r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 xml:space="preserve">Плана</w:t>
            </w:r>
            <w:r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 xml:space="preserve">профилактических</w:t>
            </w:r>
            <w:r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 xml:space="preserve">мероприятий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5" w:type="dxa"/>
            <w:textDirection w:val="lrTb"/>
            <w:noWrap w:val="false"/>
          </w:tcPr>
          <w:p>
            <w:pPr>
              <w:ind w:right="66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100%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</w:tr>
      <w:tr>
        <w:tblPrEx/>
        <w:trPr>
          <w:trHeight w:val="53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" w:type="dxa"/>
            <w:textDirection w:val="lrTb"/>
            <w:noWrap w:val="false"/>
          </w:tcPr>
          <w:p>
            <w:pPr>
              <w:ind w:left="2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2.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23" w:type="dxa"/>
            <w:textDirection w:val="lrTb"/>
            <w:noWrap w:val="false"/>
          </w:tcPr>
          <w:p>
            <w:pPr>
              <w:jc w:val="center"/>
              <w:spacing w:after="56"/>
              <w:rPr>
                <w:lang w:eastAsia="en-US"/>
              </w:rPr>
            </w:pPr>
            <w:r>
              <w:rPr>
                <w:lang w:eastAsia="en-US"/>
              </w:rPr>
              <w:t xml:space="preserve">Повышение уровня информированности контролируемых лиц о способах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соблюдения обязательных требований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5" w:type="dxa"/>
            <w:textDirection w:val="lrTb"/>
            <w:noWrap w:val="false"/>
          </w:tcPr>
          <w:p>
            <w:pPr>
              <w:ind w:right="66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100%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</w:tr>
      <w:tr>
        <w:tblPrEx/>
        <w:trPr>
          <w:trHeight w:val="84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" w:type="dxa"/>
            <w:textDirection w:val="lrTb"/>
            <w:noWrap w:val="false"/>
          </w:tcPr>
          <w:p>
            <w:pPr>
              <w:ind w:left="2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3.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23" w:type="dxa"/>
            <w:textDirection w:val="lrTb"/>
            <w:noWrap w:val="false"/>
          </w:tcPr>
          <w:p>
            <w:pPr>
              <w:ind w:right="72"/>
              <w:jc w:val="center"/>
              <w:spacing w:after="53"/>
              <w:rPr>
                <w:lang w:eastAsia="en-US"/>
              </w:rPr>
            </w:pPr>
            <w:r>
              <w:rPr>
                <w:lang w:eastAsia="en-US"/>
              </w:rPr>
              <w:t xml:space="preserve">Снижение доли контрольных мероприятий в общем количестве контрольных и профилактических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мероприятий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5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не более 40% контрольных мероприятий в общем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количестве контрольных и профилактических мероприятий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jc w:val="center"/>
        <w:rPr>
          <w:b/>
          <w:bCs/>
          <w:color w:val="auto"/>
          <w:sz w:val="24"/>
          <w:szCs w:val="24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sectPr>
      <w:footnotePr/>
      <w:endnotePr/>
      <w:type w:val="nextPage"/>
      <w:pgSz w:w="11906" w:h="16838" w:orient="portrait"/>
      <w:pgMar w:top="851" w:right="850" w:bottom="680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9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6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3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09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8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5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2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9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9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6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3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09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8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5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2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9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42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235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307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79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51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523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95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67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739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8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9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6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3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09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8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5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2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9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0">
    <w:name w:val="Heading 1 Char"/>
    <w:basedOn w:val="844"/>
    <w:link w:val="841"/>
    <w:uiPriority w:val="9"/>
    <w:rPr>
      <w:rFonts w:ascii="Arial" w:hAnsi="Arial" w:eastAsia="Arial" w:cs="Arial"/>
      <w:sz w:val="40"/>
      <w:szCs w:val="40"/>
    </w:rPr>
  </w:style>
  <w:style w:type="character" w:styleId="671">
    <w:name w:val="Heading 2 Char"/>
    <w:basedOn w:val="844"/>
    <w:link w:val="842"/>
    <w:uiPriority w:val="9"/>
    <w:rPr>
      <w:rFonts w:ascii="Arial" w:hAnsi="Arial" w:eastAsia="Arial" w:cs="Arial"/>
      <w:sz w:val="34"/>
    </w:rPr>
  </w:style>
  <w:style w:type="paragraph" w:styleId="672">
    <w:name w:val="Heading 3"/>
    <w:basedOn w:val="840"/>
    <w:next w:val="840"/>
    <w:link w:val="67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3">
    <w:name w:val="Heading 3 Char"/>
    <w:basedOn w:val="844"/>
    <w:link w:val="672"/>
    <w:uiPriority w:val="9"/>
    <w:rPr>
      <w:rFonts w:ascii="Arial" w:hAnsi="Arial" w:eastAsia="Arial" w:cs="Arial"/>
      <w:sz w:val="30"/>
      <w:szCs w:val="30"/>
    </w:rPr>
  </w:style>
  <w:style w:type="character" w:styleId="674">
    <w:name w:val="Heading 4 Char"/>
    <w:basedOn w:val="844"/>
    <w:link w:val="843"/>
    <w:uiPriority w:val="9"/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840"/>
    <w:next w:val="840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6">
    <w:name w:val="Heading 5 Char"/>
    <w:basedOn w:val="844"/>
    <w:link w:val="675"/>
    <w:uiPriority w:val="9"/>
    <w:rPr>
      <w:rFonts w:ascii="Arial" w:hAnsi="Arial" w:eastAsia="Arial" w:cs="Arial"/>
      <w:b/>
      <w:bCs/>
      <w:sz w:val="24"/>
      <w:szCs w:val="24"/>
    </w:rPr>
  </w:style>
  <w:style w:type="paragraph" w:styleId="677">
    <w:name w:val="Heading 6"/>
    <w:basedOn w:val="840"/>
    <w:next w:val="840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8">
    <w:name w:val="Heading 6 Char"/>
    <w:basedOn w:val="844"/>
    <w:link w:val="677"/>
    <w:uiPriority w:val="9"/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840"/>
    <w:next w:val="840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7 Char"/>
    <w:basedOn w:val="844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840"/>
    <w:next w:val="840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2">
    <w:name w:val="Heading 8 Char"/>
    <w:basedOn w:val="844"/>
    <w:link w:val="681"/>
    <w:uiPriority w:val="9"/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840"/>
    <w:next w:val="840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>
    <w:name w:val="Heading 9 Char"/>
    <w:basedOn w:val="844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0"/>
    <w:next w:val="840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basedOn w:val="844"/>
    <w:link w:val="686"/>
    <w:uiPriority w:val="10"/>
    <w:rPr>
      <w:sz w:val="48"/>
      <w:szCs w:val="48"/>
    </w:rPr>
  </w:style>
  <w:style w:type="paragraph" w:styleId="688">
    <w:name w:val="Subtitle"/>
    <w:basedOn w:val="840"/>
    <w:next w:val="840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4"/>
    <w:link w:val="688"/>
    <w:uiPriority w:val="11"/>
    <w:rPr>
      <w:sz w:val="24"/>
      <w:szCs w:val="24"/>
    </w:rPr>
  </w:style>
  <w:style w:type="paragraph" w:styleId="690">
    <w:name w:val="Quote"/>
    <w:basedOn w:val="840"/>
    <w:next w:val="840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0"/>
    <w:next w:val="840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character" w:styleId="694">
    <w:name w:val="Header Char"/>
    <w:basedOn w:val="844"/>
    <w:link w:val="865"/>
    <w:uiPriority w:val="99"/>
  </w:style>
  <w:style w:type="character" w:styleId="695">
    <w:name w:val="Footer Char"/>
    <w:basedOn w:val="844"/>
    <w:link w:val="867"/>
    <w:uiPriority w:val="99"/>
  </w:style>
  <w:style w:type="paragraph" w:styleId="696">
    <w:name w:val="Caption"/>
    <w:basedOn w:val="840"/>
    <w:next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867"/>
    <w:uiPriority w:val="99"/>
  </w:style>
  <w:style w:type="table" w:styleId="698">
    <w:name w:val="Table Grid Light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3">
    <w:name w:val="footnote text"/>
    <w:basedOn w:val="840"/>
    <w:link w:val="824"/>
    <w:uiPriority w:val="99"/>
    <w:semiHidden/>
    <w:unhideWhenUsed/>
    <w:pPr>
      <w:spacing w:after="40" w:line="240" w:lineRule="auto"/>
    </w:pPr>
    <w:rPr>
      <w:sz w:val="18"/>
    </w:rPr>
  </w:style>
  <w:style w:type="character" w:styleId="824">
    <w:name w:val="Footnote Text Char"/>
    <w:link w:val="823"/>
    <w:uiPriority w:val="99"/>
    <w:rPr>
      <w:sz w:val="18"/>
    </w:rPr>
  </w:style>
  <w:style w:type="character" w:styleId="825">
    <w:name w:val="footnote reference"/>
    <w:basedOn w:val="844"/>
    <w:uiPriority w:val="99"/>
    <w:unhideWhenUsed/>
    <w:rPr>
      <w:vertAlign w:val="superscript"/>
    </w:rPr>
  </w:style>
  <w:style w:type="paragraph" w:styleId="826">
    <w:name w:val="endnote text"/>
    <w:basedOn w:val="840"/>
    <w:link w:val="827"/>
    <w:uiPriority w:val="99"/>
    <w:semiHidden/>
    <w:unhideWhenUsed/>
    <w:pPr>
      <w:spacing w:after="0" w:line="240" w:lineRule="auto"/>
    </w:pPr>
    <w:rPr>
      <w:sz w:val="20"/>
    </w:rPr>
  </w:style>
  <w:style w:type="character" w:styleId="827">
    <w:name w:val="Endnote Text Char"/>
    <w:link w:val="826"/>
    <w:uiPriority w:val="99"/>
    <w:rPr>
      <w:sz w:val="20"/>
    </w:rPr>
  </w:style>
  <w:style w:type="character" w:styleId="828">
    <w:name w:val="endnote reference"/>
    <w:basedOn w:val="844"/>
    <w:uiPriority w:val="99"/>
    <w:semiHidden/>
    <w:unhideWhenUsed/>
    <w:rPr>
      <w:vertAlign w:val="superscript"/>
    </w:rPr>
  </w:style>
  <w:style w:type="paragraph" w:styleId="829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0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1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2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3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4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5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6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7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8">
    <w:name w:val="TOC Heading"/>
    <w:uiPriority w:val="39"/>
    <w:unhideWhenUsed/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41">
    <w:name w:val="Heading 1"/>
    <w:basedOn w:val="840"/>
    <w:next w:val="840"/>
    <w:link w:val="857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42">
    <w:name w:val="Heading 2"/>
    <w:basedOn w:val="840"/>
    <w:next w:val="840"/>
    <w:link w:val="864"/>
    <w:uiPriority w:val="9"/>
    <w:semiHidden/>
    <w:unhideWhenUsed/>
    <w:qFormat/>
    <w:pPr>
      <w:keepLines/>
      <w:keepNext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43">
    <w:name w:val="Heading 4"/>
    <w:basedOn w:val="840"/>
    <w:next w:val="840"/>
    <w:link w:val="847"/>
    <w:qFormat/>
    <w:pPr>
      <w:ind w:firstLine="709"/>
      <w:keepNext/>
      <w:outlineLvl w:val="3"/>
    </w:pPr>
    <w:rPr>
      <w:sz w:val="28"/>
    </w:rPr>
  </w:style>
  <w:style w:type="character" w:styleId="844" w:default="1">
    <w:name w:val="Default Paragraph Font"/>
    <w:uiPriority w:val="1"/>
    <w:semiHidden/>
    <w:unhideWhenUsed/>
  </w:style>
  <w:style w:type="table" w:styleId="84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6" w:default="1">
    <w:name w:val="No List"/>
    <w:uiPriority w:val="99"/>
    <w:semiHidden/>
    <w:unhideWhenUsed/>
  </w:style>
  <w:style w:type="character" w:styleId="847" w:customStyle="1">
    <w:name w:val="Заголовок 4 Знак"/>
    <w:basedOn w:val="844"/>
    <w:link w:val="843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48" w:customStyle="1">
    <w:name w:val="Знак Знак Знак Знак Знак Знак Знак Знак Знак Знак"/>
    <w:basedOn w:val="840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styleId="849" w:customStyle="1">
    <w:name w:val="ConsPlusTitle"/>
    <w:uiPriority w:val="99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50">
    <w:name w:val="List Paragraph"/>
    <w:basedOn w:val="840"/>
    <w:link w:val="856"/>
    <w:qFormat/>
    <w:pPr>
      <w:contextualSpacing/>
      <w:ind w:left="720"/>
    </w:pPr>
  </w:style>
  <w:style w:type="character" w:styleId="851">
    <w:name w:val="Hyperlink"/>
    <w:basedOn w:val="844"/>
    <w:uiPriority w:val="99"/>
    <w:semiHidden/>
    <w:unhideWhenUsed/>
    <w:rPr>
      <w:color w:val="0000ff"/>
      <w:u w:val="single"/>
    </w:rPr>
  </w:style>
  <w:style w:type="paragraph" w:styleId="852">
    <w:name w:val="Balloon Text"/>
    <w:basedOn w:val="840"/>
    <w:link w:val="853"/>
    <w:uiPriority w:val="99"/>
    <w:semiHidden/>
    <w:unhideWhenUsed/>
    <w:rPr>
      <w:rFonts w:ascii="Tahoma" w:hAnsi="Tahoma" w:cs="Tahoma"/>
      <w:sz w:val="16"/>
      <w:szCs w:val="16"/>
    </w:rPr>
  </w:style>
  <w:style w:type="character" w:styleId="853" w:customStyle="1">
    <w:name w:val="Текст выноски Знак"/>
    <w:basedOn w:val="844"/>
    <w:link w:val="852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54" w:customStyle="1">
    <w:name w:val="doccaption"/>
    <w:basedOn w:val="844"/>
  </w:style>
  <w:style w:type="character" w:styleId="855">
    <w:name w:val="Strong"/>
    <w:basedOn w:val="844"/>
    <w:uiPriority w:val="22"/>
    <w:qFormat/>
    <w:rPr>
      <w:b/>
      <w:bCs/>
    </w:rPr>
  </w:style>
  <w:style w:type="character" w:styleId="856" w:customStyle="1">
    <w:name w:val="Абзац списка Знак"/>
    <w:link w:val="850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57" w:customStyle="1">
    <w:name w:val="Заголовок 1 Знак"/>
    <w:basedOn w:val="844"/>
    <w:link w:val="841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858" w:customStyle="1">
    <w:name w:val="ConsPlusNormal"/>
    <w:link w:val="860"/>
    <w:pPr>
      <w:spacing w:after="0" w:line="240" w:lineRule="auto"/>
    </w:pPr>
    <w:rPr>
      <w:rFonts w:ascii="Times New Roman" w:hAnsi="Times New Roman" w:eastAsia="Calibri" w:cs="Times New Roman"/>
      <w:b/>
      <w:bCs/>
      <w:sz w:val="24"/>
      <w:szCs w:val="24"/>
      <w:lang w:eastAsia="ar-SA"/>
    </w:rPr>
  </w:style>
  <w:style w:type="character" w:styleId="859" w:customStyle="1">
    <w:name w:val="Основной текст (2) + 8;5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styleId="860" w:customStyle="1">
    <w:name w:val="ConsPlusNormal1"/>
    <w:link w:val="858"/>
    <w:rPr>
      <w:rFonts w:ascii="Times New Roman" w:hAnsi="Times New Roman" w:eastAsia="Calibri" w:cs="Times New Roman"/>
      <w:b/>
      <w:bCs/>
      <w:sz w:val="24"/>
      <w:szCs w:val="24"/>
      <w:lang w:eastAsia="ar-SA"/>
    </w:rPr>
  </w:style>
  <w:style w:type="paragraph" w:styleId="861">
    <w:name w:val="HTML Preformatted"/>
    <w:basedOn w:val="840"/>
    <w:link w:val="862"/>
    <w:uiPriority w:val="99"/>
    <w:unhideWhenUsed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color w:val="auto"/>
    </w:rPr>
  </w:style>
  <w:style w:type="character" w:styleId="862" w:customStyle="1">
    <w:name w:val="Стандартный HTML Знак"/>
    <w:basedOn w:val="844"/>
    <w:link w:val="861"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table" w:styleId="863">
    <w:name w:val="Table Grid"/>
    <w:basedOn w:val="84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4" w:customStyle="1">
    <w:name w:val="Заголовок 2 Знак"/>
    <w:basedOn w:val="844"/>
    <w:link w:val="842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  <w:style w:type="paragraph" w:styleId="865">
    <w:name w:val="Header"/>
    <w:basedOn w:val="840"/>
    <w:link w:val="86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66" w:customStyle="1">
    <w:name w:val="Верхний колонтитул Знак"/>
    <w:basedOn w:val="844"/>
    <w:link w:val="865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67">
    <w:name w:val="Footer"/>
    <w:basedOn w:val="840"/>
    <w:link w:val="86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68" w:customStyle="1">
    <w:name w:val="Нижний колонтитул Знак"/>
    <w:basedOn w:val="844"/>
    <w:link w:val="867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69">
    <w:name w:val="Normal (Web)"/>
    <w:basedOn w:val="840"/>
    <w:uiPriority w:val="99"/>
    <w:semiHidden/>
    <w:unhideWhenUsed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4736B-992C-4EB0-9E8F-BE2F7A779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2025-12-29T12:26:00Z</dcterms:created>
  <dcterms:modified xsi:type="dcterms:W3CDTF">2026-01-13T11:45:26Z</dcterms:modified>
</cp:coreProperties>
</file>