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30.12.2025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2264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83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положение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8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8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округа, </w:t>
      </w:r>
      <w:r>
        <w:rPr>
          <w:b/>
          <w:bCs/>
          <w:sz w:val="20"/>
          <w:szCs w:val="20"/>
        </w:rPr>
        <w:t xml:space="preserve">утвержденное</w:t>
      </w:r>
      <w:r>
        <w:rPr>
          <w:b/>
          <w:bCs/>
          <w:sz w:val="20"/>
          <w:szCs w:val="20"/>
        </w:rPr>
        <w:t xml:space="preserve"> постановлением администрации Печенгского муниципального округа от 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540"/>
        <w:jc w:val="both"/>
      </w:pPr>
      <w:r/>
      <w:r/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В целях </w:t>
      </w:r>
      <w:r>
        <w:rPr>
          <w:sz w:val="24"/>
          <w:szCs w:val="24"/>
        </w:rPr>
        <w:t xml:space="preserve">совершенствования системы оплаты труда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83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3"/>
        <w:ind w:firstLine="709"/>
        <w:jc w:val="both"/>
        <w:rPr>
          <w:bCs/>
        </w:rPr>
      </w:pPr>
      <w:r>
        <w:t xml:space="preserve">1. Внести в положение по оплате труда руководителей </w:t>
      </w:r>
      <w:r>
        <w:rPr>
          <w:bCs/>
        </w:rPr>
        <w:t xml:space="preserve">муниципальных бюджетных учреждений, под</w:t>
      </w:r>
      <w:r>
        <w:rPr>
          <w:bCs/>
        </w:rPr>
        <w:t xml:space="preserve">ведомственных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10.07.2024 № 1129 (в редакции постановления администрации Печенгского муниципального округа от </w:t>
      </w:r>
      <w:r>
        <w:rPr>
          <w:bCs/>
        </w:rPr>
        <w:t xml:space="preserve">30</w:t>
      </w:r>
      <w:r>
        <w:rPr>
          <w:bCs/>
        </w:rPr>
        <w:t xml:space="preserve">.0</w:t>
      </w:r>
      <w:r>
        <w:rPr>
          <w:bCs/>
        </w:rPr>
        <w:t xml:space="preserve">9</w:t>
      </w:r>
      <w:r>
        <w:rPr>
          <w:bCs/>
        </w:rPr>
        <w:t xml:space="preserve">.2025 № </w:t>
      </w:r>
      <w:r>
        <w:rPr>
          <w:bCs/>
        </w:rPr>
        <w:t xml:space="preserve">1567</w:t>
      </w:r>
      <w:r>
        <w:t xml:space="preserve">)</w:t>
      </w:r>
      <w:r>
        <w:rPr>
          <w:bCs/>
        </w:rPr>
        <w:t xml:space="preserve"> (далее – Положение) следующие изменения:</w:t>
      </w:r>
      <w:r>
        <w:rPr>
          <w:bCs/>
        </w:rPr>
      </w:r>
      <w:r>
        <w:rPr>
          <w:bCs/>
        </w:rPr>
      </w:r>
    </w:p>
    <w:p>
      <w:pPr>
        <w:pStyle w:val="986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</w:t>
      </w:r>
      <w:r>
        <w:rPr>
          <w:rFonts w:ascii="Times New Roman" w:hAnsi="Times New Roman" w:cs="Times New Roman"/>
          <w:bCs/>
          <w:sz w:val="24"/>
          <w:szCs w:val="24"/>
        </w:rPr>
        <w:t xml:space="preserve">ункт </w:t>
      </w:r>
      <w:r>
        <w:rPr>
          <w:rFonts w:ascii="Times New Roman" w:hAnsi="Times New Roman" w:cs="Times New Roman"/>
          <w:bCs/>
          <w:sz w:val="24"/>
          <w:szCs w:val="24"/>
        </w:rPr>
        <w:t xml:space="preserve">2.2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раздела 2 Положения изложить в следующей редакции: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2.2.</w:t>
      </w:r>
      <w:r>
        <w:t xml:space="preserve"> </w:t>
      </w:r>
      <w:r>
        <w:rPr>
          <w:sz w:val="24"/>
        </w:rPr>
        <w:t xml:space="preserve">При формировании должностного оклада руководителей общеобразовательных учреждений учитываются следующие повышающие коэффициенты, образующие новый должностной оклад руководителей учреждений: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- </w:t>
      </w:r>
      <w:r>
        <w:rPr>
          <w:sz w:val="24"/>
        </w:rPr>
        <w:t xml:space="preserve">за работу в сельских населенных пунктах и поселках городского типа специалистам, указанным в </w:t>
      </w:r>
      <w:hyperlink r:id="rId11" w:tooltip="consultantplus://offline/ref=8E88993A0FC8BDC5ADF3F8BAC2FD495AD5A3BB3F059F3BDCC337E9750431B8654EF34C6DC591464C18ECBD2FR8Q" w:history="1">
        <w:r>
          <w:rPr>
            <w:sz w:val="24"/>
          </w:rPr>
          <w:t xml:space="preserve">статье 1</w:t>
        </w:r>
      </w:hyperlink>
      <w:r>
        <w:rPr>
          <w:sz w:val="24"/>
        </w:rPr>
        <w:t xml:space="preserve"> Закона Мурманской области от 27.12.2004 </w:t>
      </w:r>
      <w:r>
        <w:rPr>
          <w:sz w:val="24"/>
        </w:rPr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- </w:t>
      </w:r>
      <w:r>
        <w:rPr>
          <w:sz w:val="24"/>
        </w:rPr>
        <w:br/>
        <w:t xml:space="preserve">на 25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 с учетом численности </w:t>
      </w:r>
      <w:r>
        <w:rPr>
          <w:sz w:val="24"/>
        </w:rPr>
        <w:t xml:space="preserve">обучающихся</w:t>
      </w:r>
      <w:r>
        <w:rPr>
          <w:sz w:val="24"/>
        </w:rPr>
        <w:t xml:space="preserve">:</w:t>
      </w:r>
      <w:r>
        <w:rPr>
          <w:sz w:val="24"/>
        </w:rPr>
      </w:r>
      <w:r>
        <w:rPr>
          <w:sz w:val="24"/>
        </w:rPr>
      </w:r>
    </w:p>
    <w:p>
      <w:pPr>
        <w:ind w:firstLine="708"/>
        <w:jc w:val="both"/>
        <w:rPr>
          <w:sz w:val="24"/>
        </w:rPr>
      </w:pPr>
      <w:r>
        <w:rPr>
          <w:sz w:val="24"/>
        </w:rPr>
        <w:t xml:space="preserve">а) численность обучающихся общеобразовательного учреждения составляет </w:t>
        <w:br/>
        <w:t xml:space="preserve">свыше 500 -</w:t>
      </w:r>
      <w:r>
        <w:rPr>
          <w:b/>
          <w:sz w:val="24"/>
          <w:szCs w:val="24"/>
        </w:rPr>
        <w:t xml:space="preserve"> </w:t>
      </w:r>
      <w:r>
        <w:rPr>
          <w:sz w:val="24"/>
        </w:rPr>
        <w:t xml:space="preserve">на 45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</w:t>
      </w:r>
      <w:r>
        <w:t xml:space="preserve"> </w:t>
      </w:r>
      <w:r>
        <w:rPr>
          <w:sz w:val="24"/>
        </w:rPr>
        <w:t xml:space="preserve">численность обучающихся общеобразовательного учреждения </w:t>
        <w:br/>
        <w:t xml:space="preserve">составляет 1 - 500 - на 40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 за особенность организации образовательного процесса: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центров образования цифровых и гуманитарных профилей - на 15 процентов</w:t>
      </w:r>
      <w:r>
        <w:rPr>
          <w:rFonts w:eastAsia="Times New Roman"/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Пункт 2.3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раздела 2 Положения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.3. </w:t>
      </w:r>
      <w:r>
        <w:rPr>
          <w:sz w:val="24"/>
        </w:rPr>
        <w:t xml:space="preserve">При формировании должностного оклада руководителей дошкольных образовательных учреждений учитываются повышающие коэффициенты, образующие должностной оклад руководителей учреждений: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- </w:t>
      </w:r>
      <w:r>
        <w:rPr>
          <w:sz w:val="24"/>
        </w:rPr>
        <w:t xml:space="preserve">за работу в сельских населенных пунктах и поселках городского типа специалистам, указанным в </w:t>
      </w:r>
      <w:hyperlink r:id="rId12" w:tooltip="consultantplus://offline/ref=8E88993A0FC8BDC5ADF3F8BAC2FD495AD5A3BB3F059F3BDCC337E9750431B8654EF34C6DC591464C18ECBD2FR8Q" w:history="1">
        <w:r>
          <w:rPr>
            <w:sz w:val="24"/>
          </w:rPr>
          <w:t xml:space="preserve">статье 1</w:t>
        </w:r>
      </w:hyperlink>
      <w:r>
        <w:rPr>
          <w:sz w:val="24"/>
        </w:rPr>
        <w:t xml:space="preserve"> Закона Мурманской области от 27.12.2004 </w:t>
      </w:r>
      <w:r>
        <w:rPr>
          <w:sz w:val="24"/>
        </w:rPr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- </w:t>
      </w:r>
      <w:r>
        <w:rPr>
          <w:sz w:val="24"/>
        </w:rPr>
        <w:br/>
        <w:t xml:space="preserve">на 25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rFonts w:eastAsia="Times New Roman"/>
          <w:sz w:val="24"/>
          <w:szCs w:val="24"/>
        </w:rPr>
        <w:t xml:space="preserve">- </w:t>
      </w:r>
      <w:r>
        <w:rPr>
          <w:sz w:val="24"/>
        </w:rPr>
        <w:t xml:space="preserve">с учетом численности воспитанников: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а) численность воспитанников дошкольного образовательного учреждения составляет свыше 250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70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 численность воспитанников дошкольного образовательного учреждения составляет 151 - 250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65 процентов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в) численность воспитанников дошкольного образовательного учреждения составляет 100 - 150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60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г) численность воспитанников дошкольного образовательного учреждения составляет ниже 100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50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 за особенность организации образовательного процесса:</w:t>
      </w:r>
      <w:r>
        <w:rPr>
          <w:sz w:val="24"/>
        </w:rPr>
      </w:r>
      <w:r>
        <w:rPr>
          <w:sz w:val="24"/>
        </w:rPr>
      </w:r>
    </w:p>
    <w:p>
      <w:pPr>
        <w:ind w:firstLine="708"/>
        <w:jc w:val="both"/>
        <w:rPr>
          <w:sz w:val="24"/>
        </w:rPr>
      </w:pPr>
      <w:r>
        <w:rPr>
          <w:sz w:val="24"/>
        </w:rPr>
        <w:t xml:space="preserve">а) логопедический пункт - на 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 центр игровой поддержки ребенка - на 10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в) консультационный центр - на 15 процентов.</w:t>
      </w:r>
      <w:r>
        <w:rPr>
          <w:sz w:val="24"/>
        </w:rPr>
      </w:r>
      <w:r>
        <w:rPr>
          <w:sz w:val="24"/>
        </w:rPr>
      </w:r>
    </w:p>
    <w:p>
      <w:pPr>
        <w:pStyle w:val="997"/>
        <w:ind w:left="0" w:firstLine="709"/>
        <w:jc w:val="both"/>
        <w:keepLines w:val="0"/>
        <w:spacing w:after="0" w:line="240" w:lineRule="auto"/>
        <w:widowControl w:val="off"/>
        <w:rPr>
          <w:rFonts w:ascii="Times New Roman" w:hAnsi="Times New Roman" w:cs="Times New Roman"/>
          <w:caps w:val="0"/>
          <w:sz w:val="24"/>
          <w:szCs w:val="24"/>
        </w:rPr>
      </w:pPr>
      <w:r>
        <w:rPr>
          <w:rFonts w:ascii="Times New Roman" w:hAnsi="Times New Roman" w:cs="Times New Roman"/>
          <w:caps w:val="0"/>
          <w:sz w:val="24"/>
          <w:szCs w:val="24"/>
        </w:rPr>
        <w:t xml:space="preserve">- с учетом территориальной надбавки:</w:t>
      </w:r>
      <w:r>
        <w:rPr>
          <w:rFonts w:ascii="Times New Roman" w:hAnsi="Times New Roman" w:cs="Times New Roman"/>
          <w:caps w:val="0"/>
          <w:sz w:val="24"/>
          <w:szCs w:val="24"/>
        </w:rPr>
      </w:r>
      <w:r>
        <w:rPr>
          <w:rFonts w:ascii="Times New Roman" w:hAnsi="Times New Roman" w:cs="Times New Roman"/>
          <w:caps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за работу в дошкольных образовательных </w:t>
      </w:r>
      <w:r>
        <w:rPr>
          <w:sz w:val="24"/>
          <w:szCs w:val="24"/>
        </w:rPr>
        <w:t xml:space="preserve">городских </w:t>
      </w:r>
      <w:r>
        <w:rPr>
          <w:sz w:val="24"/>
          <w:szCs w:val="24"/>
        </w:rPr>
        <w:t xml:space="preserve">учре</w:t>
      </w:r>
      <w:r>
        <w:rPr>
          <w:sz w:val="24"/>
          <w:szCs w:val="24"/>
        </w:rPr>
        <w:t xml:space="preserve">ждениях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на</w:t>
      </w:r>
      <w:r>
        <w:rPr>
          <w:sz w:val="24"/>
          <w:szCs w:val="24"/>
        </w:rPr>
        <w:t xml:space="preserve"> 25 процентов</w:t>
      </w:r>
      <w:r>
        <w:rPr>
          <w:sz w:val="24"/>
          <w:szCs w:val="24"/>
        </w:rPr>
        <w:t xml:space="preserve">.»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Пункт 2.4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раздела 2 Положения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.4. При формировании должностного оклада руководителей учреждений дополнительного образования учитываются следующие повышающие коэффициенты, образующие должностной оклад руководителей учреждений: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за работу в сельских населенных пунктах и поселках городского типа специалистам, указанным в </w:t>
      </w:r>
      <w:hyperlink r:id="rId13" w:tooltip="consultantplus://offline/ref=8E88993A0FC8BDC5ADF3F8BAC2FD495AD5A3BB3F059F3BDCC337E9750431B8654EF34C6DC591464C18ECBD2FR8Q" w:history="1">
        <w:r>
          <w:rPr>
            <w:sz w:val="24"/>
            <w:szCs w:val="24"/>
          </w:rPr>
          <w:t xml:space="preserve">статье 1</w:t>
        </w:r>
      </w:hyperlink>
      <w:r>
        <w:rPr>
          <w:sz w:val="24"/>
          <w:szCs w:val="24"/>
        </w:rPr>
        <w:t xml:space="preserve"> Закона Мурманской области от 27.12.2004 </w:t>
      </w:r>
      <w:r>
        <w:rPr>
          <w:sz w:val="24"/>
          <w:szCs w:val="24"/>
        </w:rPr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- </w:t>
      </w:r>
      <w:r>
        <w:rPr>
          <w:sz w:val="24"/>
          <w:szCs w:val="24"/>
        </w:rPr>
        <w:br/>
        <w:t xml:space="preserve">на 25 процентов;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учетом численности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численность обучающихся в образовательных учреждениях дополнительного образования составляет свыше 1300 - на 50 процентов;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 численность обучающихся в образовательных учреждениях дополнительного образования составляет 500 - 1300 - на 45 процентов;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численность обучающихся в образовательных учреждениях дополнительного образования составляет ниже 500 - на 10 процентов;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за особенность организации образовательного процесса: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а) центр тестирования ГТО - до 25 %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Компенсационные и стимулирующие выплаты устанавливаются в процентах к новому должностному окладу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оп</w:t>
      </w:r>
      <w:r>
        <w:rPr>
          <w:sz w:val="24"/>
          <w:szCs w:val="24"/>
        </w:rPr>
        <w:t xml:space="preserve">убликования в газете «Печенга» </w:t>
      </w:r>
      <w:r>
        <w:rPr>
          <w:sz w:val="24"/>
          <w:szCs w:val="24"/>
        </w:rPr>
        <w:t xml:space="preserve">и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83"/>
        <w:ind w:firstLine="709"/>
        <w:jc w:val="both"/>
      </w:pPr>
      <w:r/>
      <w:r/>
    </w:p>
    <w:p>
      <w:pPr>
        <w:pStyle w:val="983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color w:val="000000"/>
        </w:rPr>
      </w:pPr>
      <w:r/>
      <w:bookmarkStart w:id="5" w:name="_GoBack"/>
      <w:r/>
      <w:bookmarkEnd w:id="5"/>
      <w:r>
        <w:rPr>
          <w:bCs/>
          <w:color w:val="000000"/>
        </w:rPr>
        <w:t xml:space="preserve">Морозова М.Е., 51917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9" w:h="16834" w:orient="portrait"/>
      <w:pgMar w:top="1134" w:right="850" w:bottom="676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Garamond">
    <w:panose1 w:val="02020404030301010803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33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7"/>
  </w:num>
  <w:num w:numId="2">
    <w:abstractNumId w:val="1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5"/>
  </w:num>
  <w:num w:numId="4">
    <w:abstractNumId w:val="19"/>
  </w:num>
  <w:num w:numId="5">
    <w:abstractNumId w:val="21"/>
  </w:num>
  <w:num w:numId="6">
    <w:abstractNumId w:val="33"/>
  </w:num>
  <w:num w:numId="7">
    <w:abstractNumId w:val="28"/>
  </w:num>
  <w:num w:numId="8">
    <w:abstractNumId w:val="9"/>
  </w:num>
  <w:num w:numId="9">
    <w:abstractNumId w:val="22"/>
  </w:num>
  <w:num w:numId="10">
    <w:abstractNumId w:val="31"/>
  </w:num>
  <w:num w:numId="11">
    <w:abstractNumId w:val="29"/>
  </w:num>
  <w:num w:numId="12">
    <w:abstractNumId w:val="16"/>
  </w:num>
  <w:num w:numId="13">
    <w:abstractNumId w:val="23"/>
  </w:num>
  <w:num w:numId="14">
    <w:abstractNumId w:val="32"/>
  </w:num>
  <w:num w:numId="15">
    <w:abstractNumId w:val="26"/>
  </w:num>
  <w:num w:numId="16">
    <w:abstractNumId w:val="14"/>
  </w:num>
  <w:num w:numId="17">
    <w:abstractNumId w:val="24"/>
  </w:num>
  <w:num w:numId="18">
    <w:abstractNumId w:val="30"/>
  </w:num>
  <w:num w:numId="19">
    <w:abstractNumId w:val="12"/>
  </w:num>
  <w:num w:numId="20">
    <w:abstractNumId w:val="3"/>
  </w:num>
  <w:num w:numId="21">
    <w:abstractNumId w:val="13"/>
  </w:num>
  <w:num w:numId="22">
    <w:abstractNumId w:val="18"/>
  </w:num>
  <w:num w:numId="23">
    <w:abstractNumId w:val="20"/>
  </w:num>
  <w:num w:numId="24">
    <w:abstractNumId w:val="11"/>
  </w:num>
  <w:num w:numId="25">
    <w:abstractNumId w:val="4"/>
  </w:num>
  <w:num w:numId="26">
    <w:abstractNumId w:val="10"/>
  </w:num>
  <w:num w:numId="27">
    <w:abstractNumId w:val="7"/>
  </w:num>
  <w:num w:numId="28">
    <w:abstractNumId w:val="8"/>
  </w:num>
  <w:num w:numId="29">
    <w:abstractNumId w:val="2"/>
  </w:num>
  <w:num w:numId="30">
    <w:abstractNumId w:val="25"/>
  </w:num>
  <w:num w:numId="31">
    <w:abstractNumId w:val="5"/>
  </w:num>
  <w:num w:numId="32">
    <w:abstractNumId w:val="17"/>
  </w:num>
  <w:num w:numId="33">
    <w:abstractNumId w:val="6"/>
  </w:num>
  <w:num w:numId="34">
    <w:abstractNumId w:val="0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2" w:default="1">
    <w:name w:val="Normal"/>
    <w:qFormat/>
    <w:rPr>
      <w:rFonts w:eastAsia="Calibri"/>
    </w:rPr>
  </w:style>
  <w:style w:type="paragraph" w:styleId="743">
    <w:name w:val="Heading 1"/>
    <w:basedOn w:val="742"/>
    <w:next w:val="742"/>
    <w:link w:val="8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8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8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974"/>
    <w:qFormat/>
    <w:pPr>
      <w:ind w:firstLine="709"/>
      <w:keepNext/>
      <w:outlineLvl w:val="3"/>
    </w:pPr>
    <w:rPr>
      <w:sz w:val="28"/>
    </w:rPr>
  </w:style>
  <w:style w:type="paragraph" w:styleId="747">
    <w:name w:val="Heading 5"/>
    <w:basedOn w:val="742"/>
    <w:next w:val="742"/>
    <w:link w:val="8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8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8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8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table" w:styleId="755" w:customStyle="1">
    <w:name w:val="Таблица простая 1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Таблица простая 21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3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Таблица простая 4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Таблица простая 5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1 светлая1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3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41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Таблица-сетка 5 темная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Таблица-сетк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Таблица-сетка 7 цветная1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Список-таблица 1 светлая1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Список-таблица 21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Список-таблица 3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Список-таблица 4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Список-таблица 5 темная1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2" w:customStyle="1">
    <w:name w:val="Список-таблиц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3" w:customStyle="1">
    <w:name w:val="Список-таблица 7 цветная1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Таблица простая 1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Таблица простая 21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3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Таблица простая 4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 простая 5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Таблица-сетка 1 светлая1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-сетка 2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3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Таблица-сетка 5 темная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Таблица-сетк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5" w:customStyle="1">
    <w:name w:val="Таблица-сетка 7 цветная1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Список-таблица 1 светлая1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Список-таблица 21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8" w:customStyle="1">
    <w:name w:val="Список-таблица 3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Список-таблица 4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Список-таблица 5 темная1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Список-таблиц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Список-таблица 7 цветная1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93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94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95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96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97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98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9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800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801" w:customStyle="1">
    <w:name w:val="Title Char"/>
    <w:basedOn w:val="752"/>
    <w:uiPriority w:val="10"/>
    <w:rPr>
      <w:sz w:val="48"/>
      <w:szCs w:val="48"/>
    </w:rPr>
  </w:style>
  <w:style w:type="character" w:styleId="802" w:customStyle="1">
    <w:name w:val="Subtitle Char"/>
    <w:basedOn w:val="752"/>
    <w:uiPriority w:val="11"/>
    <w:rPr>
      <w:sz w:val="24"/>
      <w:szCs w:val="24"/>
    </w:rPr>
  </w:style>
  <w:style w:type="character" w:styleId="803" w:customStyle="1">
    <w:name w:val="Quote Char"/>
    <w:uiPriority w:val="29"/>
    <w:rPr>
      <w:i/>
    </w:rPr>
  </w:style>
  <w:style w:type="character" w:styleId="804" w:customStyle="1">
    <w:name w:val="Intense Quote Char"/>
    <w:uiPriority w:val="30"/>
    <w:rPr>
      <w:i/>
    </w:rPr>
  </w:style>
  <w:style w:type="character" w:styleId="805" w:customStyle="1">
    <w:name w:val="Caption Char"/>
    <w:uiPriority w:val="99"/>
  </w:style>
  <w:style w:type="character" w:styleId="806" w:customStyle="1">
    <w:name w:val="Footnote Text Char"/>
    <w:uiPriority w:val="99"/>
    <w:rPr>
      <w:sz w:val="18"/>
    </w:rPr>
  </w:style>
  <w:style w:type="character" w:styleId="807" w:customStyle="1">
    <w:name w:val="Endnote Text Char"/>
    <w:uiPriority w:val="99"/>
    <w:rPr>
      <w:sz w:val="20"/>
    </w:rPr>
  </w:style>
  <w:style w:type="character" w:styleId="808" w:customStyle="1">
    <w:name w:val="Заголовок 1 Знак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809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810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811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812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813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814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15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816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817">
    <w:name w:val="No Spacing"/>
    <w:uiPriority w:val="1"/>
    <w:qFormat/>
  </w:style>
  <w:style w:type="paragraph" w:styleId="818">
    <w:name w:val="Title"/>
    <w:basedOn w:val="742"/>
    <w:next w:val="742"/>
    <w:link w:val="8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19" w:customStyle="1">
    <w:name w:val="Название Знак"/>
    <w:basedOn w:val="752"/>
    <w:link w:val="818"/>
    <w:uiPriority w:val="10"/>
    <w:rPr>
      <w:sz w:val="48"/>
      <w:szCs w:val="48"/>
    </w:rPr>
  </w:style>
  <w:style w:type="paragraph" w:styleId="820">
    <w:name w:val="Subtitle"/>
    <w:basedOn w:val="742"/>
    <w:next w:val="742"/>
    <w:link w:val="821"/>
    <w:uiPriority w:val="11"/>
    <w:qFormat/>
    <w:pPr>
      <w:spacing w:before="200" w:after="200"/>
    </w:pPr>
    <w:rPr>
      <w:sz w:val="24"/>
      <w:szCs w:val="24"/>
    </w:rPr>
  </w:style>
  <w:style w:type="character" w:styleId="821" w:customStyle="1">
    <w:name w:val="Подзаголовок Знак"/>
    <w:basedOn w:val="752"/>
    <w:link w:val="820"/>
    <w:uiPriority w:val="11"/>
    <w:rPr>
      <w:sz w:val="24"/>
      <w:szCs w:val="24"/>
    </w:rPr>
  </w:style>
  <w:style w:type="paragraph" w:styleId="822">
    <w:name w:val="Quote"/>
    <w:basedOn w:val="742"/>
    <w:next w:val="742"/>
    <w:link w:val="823"/>
    <w:uiPriority w:val="29"/>
    <w:qFormat/>
    <w:pPr>
      <w:ind w:left="720" w:right="720"/>
    </w:pPr>
    <w:rPr>
      <w:i/>
    </w:rPr>
  </w:style>
  <w:style w:type="character" w:styleId="823" w:customStyle="1">
    <w:name w:val="Цитата 2 Знак"/>
    <w:link w:val="822"/>
    <w:uiPriority w:val="29"/>
    <w:rPr>
      <w:i/>
    </w:rPr>
  </w:style>
  <w:style w:type="paragraph" w:styleId="824">
    <w:name w:val="Intense Quote"/>
    <w:basedOn w:val="742"/>
    <w:next w:val="742"/>
    <w:link w:val="82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5" w:customStyle="1">
    <w:name w:val="Выделенная цитата Знак"/>
    <w:link w:val="824"/>
    <w:uiPriority w:val="30"/>
    <w:rPr>
      <w:i/>
    </w:rPr>
  </w:style>
  <w:style w:type="paragraph" w:styleId="826">
    <w:name w:val="Footer"/>
    <w:basedOn w:val="742"/>
    <w:link w:val="82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27" w:customStyle="1">
    <w:name w:val="Footer Char"/>
    <w:basedOn w:val="752"/>
    <w:uiPriority w:val="99"/>
  </w:style>
  <w:style w:type="paragraph" w:styleId="828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29" w:customStyle="1">
    <w:name w:val="Нижний колонтитул Знак"/>
    <w:link w:val="826"/>
    <w:uiPriority w:val="99"/>
  </w:style>
  <w:style w:type="table" w:styleId="830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31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32" w:customStyle="1">
    <w:name w:val="Таблица простая 1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3" w:customStyle="1">
    <w:name w:val="Таблица простая 21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4" w:customStyle="1">
    <w:name w:val="Таблица простая 3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5" w:customStyle="1">
    <w:name w:val="Таблица простая 4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Таблица простая 5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1 светлая1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Таблица-сетка 2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Таблица-сетка 3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Таблица-сетка 41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9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60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61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62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63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64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65" w:customStyle="1">
    <w:name w:val="Таблица-сетка 5 темная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66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67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68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69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70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71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72" w:customStyle="1">
    <w:name w:val="Таблица-сетк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73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74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75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76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77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78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79" w:customStyle="1">
    <w:name w:val="Таблица-сетка 7 цветная1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Список-таблица 1 светлая1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Список-таблица 21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94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95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96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97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98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99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00" w:customStyle="1">
    <w:name w:val="Список-таблица 3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Список-таблица 4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Список-таблица 5 темная1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5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6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7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8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9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0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1" w:customStyle="1">
    <w:name w:val="Список-таблиц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22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23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24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25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26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27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28" w:customStyle="1">
    <w:name w:val="Список-таблица 7 цветная1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9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0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1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2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3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4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5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6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7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8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9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40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41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42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43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44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5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46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47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48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49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50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51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52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53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54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55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56">
    <w:name w:val="Hyperlink"/>
    <w:uiPriority w:val="99"/>
    <w:unhideWhenUsed/>
    <w:rPr>
      <w:color w:val="0000ff" w:themeColor="hyperlink"/>
      <w:u w:val="single"/>
    </w:rPr>
  </w:style>
  <w:style w:type="paragraph" w:styleId="957">
    <w:name w:val="footnote text"/>
    <w:basedOn w:val="742"/>
    <w:link w:val="958"/>
    <w:uiPriority w:val="99"/>
    <w:semiHidden/>
    <w:unhideWhenUsed/>
    <w:pPr>
      <w:spacing w:after="40"/>
    </w:pPr>
    <w:rPr>
      <w:sz w:val="18"/>
    </w:rPr>
  </w:style>
  <w:style w:type="character" w:styleId="958" w:customStyle="1">
    <w:name w:val="Текст сноски Знак"/>
    <w:link w:val="957"/>
    <w:uiPriority w:val="99"/>
    <w:rPr>
      <w:sz w:val="18"/>
    </w:rPr>
  </w:style>
  <w:style w:type="character" w:styleId="959">
    <w:name w:val="footnote reference"/>
    <w:basedOn w:val="752"/>
    <w:uiPriority w:val="99"/>
    <w:unhideWhenUsed/>
    <w:rPr>
      <w:vertAlign w:val="superscript"/>
    </w:rPr>
  </w:style>
  <w:style w:type="paragraph" w:styleId="960">
    <w:name w:val="endnote text"/>
    <w:basedOn w:val="742"/>
    <w:link w:val="961"/>
    <w:uiPriority w:val="99"/>
    <w:semiHidden/>
    <w:unhideWhenUsed/>
  </w:style>
  <w:style w:type="character" w:styleId="961" w:customStyle="1">
    <w:name w:val="Текст концевой сноски Знак"/>
    <w:link w:val="960"/>
    <w:uiPriority w:val="99"/>
    <w:rPr>
      <w:sz w:val="20"/>
    </w:rPr>
  </w:style>
  <w:style w:type="character" w:styleId="962">
    <w:name w:val="endnote reference"/>
    <w:basedOn w:val="752"/>
    <w:uiPriority w:val="99"/>
    <w:semiHidden/>
    <w:unhideWhenUsed/>
    <w:rPr>
      <w:vertAlign w:val="superscript"/>
    </w:rPr>
  </w:style>
  <w:style w:type="paragraph" w:styleId="963">
    <w:name w:val="toc 1"/>
    <w:basedOn w:val="742"/>
    <w:next w:val="742"/>
    <w:uiPriority w:val="39"/>
    <w:unhideWhenUsed/>
    <w:pPr>
      <w:spacing w:after="57"/>
    </w:pPr>
  </w:style>
  <w:style w:type="paragraph" w:styleId="964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65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66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67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68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69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70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71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72">
    <w:name w:val="TOC Heading"/>
    <w:uiPriority w:val="39"/>
    <w:unhideWhenUsed/>
  </w:style>
  <w:style w:type="paragraph" w:styleId="973">
    <w:name w:val="table of figures"/>
    <w:basedOn w:val="742"/>
    <w:next w:val="742"/>
    <w:uiPriority w:val="99"/>
    <w:unhideWhenUsed/>
  </w:style>
  <w:style w:type="character" w:styleId="974" w:customStyle="1">
    <w:name w:val="Заголовок 4 Знак"/>
    <w:link w:val="746"/>
    <w:rPr>
      <w:rFonts w:eastAsia="Calibri"/>
      <w:sz w:val="28"/>
      <w:lang w:val="ru-RU" w:eastAsia="ru-RU" w:bidi="ar-SA"/>
    </w:rPr>
  </w:style>
  <w:style w:type="paragraph" w:styleId="975" w:customStyle="1">
    <w:name w:val="Абзац списка1"/>
    <w:basedOn w:val="742"/>
    <w:pPr>
      <w:contextualSpacing/>
      <w:ind w:left="720"/>
    </w:pPr>
  </w:style>
  <w:style w:type="paragraph" w:styleId="976">
    <w:name w:val="Body Text"/>
    <w:basedOn w:val="742"/>
    <w:link w:val="977"/>
    <w:pPr>
      <w:jc w:val="both"/>
    </w:pPr>
    <w:rPr>
      <w:sz w:val="24"/>
    </w:rPr>
  </w:style>
  <w:style w:type="character" w:styleId="977" w:customStyle="1">
    <w:name w:val="Основной текст Знак"/>
    <w:link w:val="976"/>
    <w:rPr>
      <w:rFonts w:eastAsia="Calibri"/>
      <w:sz w:val="24"/>
      <w:lang w:val="ru-RU" w:eastAsia="ru-RU" w:bidi="ar-SA"/>
    </w:rPr>
  </w:style>
  <w:style w:type="paragraph" w:styleId="978">
    <w:name w:val="Body Text Indent"/>
    <w:basedOn w:val="742"/>
    <w:link w:val="979"/>
    <w:semiHidden/>
    <w:pPr>
      <w:ind w:right="76" w:firstLine="900"/>
      <w:jc w:val="both"/>
    </w:pPr>
    <w:rPr>
      <w:sz w:val="24"/>
    </w:rPr>
  </w:style>
  <w:style w:type="character" w:styleId="979" w:customStyle="1">
    <w:name w:val="Основной текст с отступом Знак"/>
    <w:link w:val="978"/>
    <w:semiHidden/>
    <w:rPr>
      <w:rFonts w:eastAsia="Calibri"/>
      <w:sz w:val="24"/>
      <w:lang w:val="ru-RU" w:eastAsia="ru-RU" w:bidi="ar-SA"/>
    </w:rPr>
  </w:style>
  <w:style w:type="paragraph" w:styleId="980">
    <w:name w:val="Body Text Indent 2"/>
    <w:basedOn w:val="742"/>
    <w:link w:val="981"/>
    <w:pPr>
      <w:ind w:left="283"/>
      <w:spacing w:after="120" w:line="480" w:lineRule="auto"/>
    </w:pPr>
  </w:style>
  <w:style w:type="character" w:styleId="981" w:customStyle="1">
    <w:name w:val="Основной текст с отступом 2 Знак"/>
    <w:link w:val="980"/>
    <w:rPr>
      <w:rFonts w:eastAsia="Calibri"/>
      <w:lang w:val="ru-RU" w:eastAsia="ru-RU" w:bidi="ar-SA"/>
    </w:rPr>
  </w:style>
  <w:style w:type="paragraph" w:styleId="98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83" w:customStyle="1">
    <w:name w:val="Default"/>
    <w:rPr>
      <w:color w:val="000000"/>
      <w:sz w:val="24"/>
      <w:szCs w:val="24"/>
    </w:rPr>
  </w:style>
  <w:style w:type="paragraph" w:styleId="984">
    <w:name w:val="Balloon Text"/>
    <w:basedOn w:val="742"/>
    <w:link w:val="985"/>
    <w:rPr>
      <w:rFonts w:ascii="Tahoma" w:hAnsi="Tahoma" w:cs="Tahoma"/>
      <w:sz w:val="16"/>
      <w:szCs w:val="16"/>
    </w:rPr>
  </w:style>
  <w:style w:type="character" w:styleId="985" w:customStyle="1">
    <w:name w:val="Текст выноски Знак"/>
    <w:link w:val="984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86">
    <w:name w:val="Plain Text"/>
    <w:basedOn w:val="742"/>
    <w:link w:val="987"/>
    <w:rPr>
      <w:rFonts w:ascii="Courier New" w:hAnsi="Courier New" w:eastAsia="Times New Roman" w:cs="Courier New"/>
    </w:rPr>
  </w:style>
  <w:style w:type="character" w:styleId="987" w:customStyle="1">
    <w:name w:val="Текст Знак"/>
    <w:link w:val="986"/>
    <w:rPr>
      <w:rFonts w:ascii="Courier New" w:hAnsi="Courier New" w:cs="Courier New"/>
      <w:lang w:val="ru-RU" w:eastAsia="ru-RU" w:bidi="ar-SA"/>
    </w:rPr>
  </w:style>
  <w:style w:type="paragraph" w:styleId="988">
    <w:name w:val="Header"/>
    <w:basedOn w:val="742"/>
    <w:link w:val="989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89" w:customStyle="1">
    <w:name w:val="Верхний колонтитул Знак"/>
    <w:link w:val="988"/>
    <w:rPr>
      <w:sz w:val="24"/>
      <w:szCs w:val="24"/>
      <w:lang w:val="ru-RU" w:eastAsia="ru-RU" w:bidi="ar-SA"/>
    </w:rPr>
  </w:style>
  <w:style w:type="paragraph" w:styleId="990">
    <w:name w:val="List Paragraph"/>
    <w:basedOn w:val="742"/>
    <w:qFormat/>
    <w:pPr>
      <w:ind w:left="720"/>
    </w:pPr>
    <w:rPr>
      <w:rFonts w:eastAsia="Times New Roman"/>
      <w:sz w:val="24"/>
      <w:szCs w:val="24"/>
    </w:rPr>
  </w:style>
  <w:style w:type="character" w:styleId="991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92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93" w:customStyle="1">
    <w:name w:val="ConsPlusNormal"/>
    <w:rPr>
      <w:b/>
      <w:bCs/>
      <w:sz w:val="24"/>
      <w:szCs w:val="24"/>
    </w:rPr>
  </w:style>
  <w:style w:type="paragraph" w:styleId="994">
    <w:name w:val="Normal (Web)"/>
    <w:basedOn w:val="74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95" w:customStyle="1">
    <w:name w:val="WW8Num2z0"/>
  </w:style>
  <w:style w:type="paragraph" w:styleId="996" w:customStyle="1">
    <w:name w:val="Обычный + 12 пт"/>
    <w:basedOn w:val="742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  <w:style w:type="paragraph" w:styleId="997">
    <w:name w:val="Message Header"/>
    <w:basedOn w:val="976"/>
    <w:link w:val="998"/>
    <w:pPr>
      <w:ind w:left="1080" w:hanging="1080"/>
      <w:jc w:val="left"/>
      <w:keepLines/>
      <w:spacing w:after="120" w:line="240" w:lineRule="atLeast"/>
    </w:pPr>
    <w:rPr>
      <w:rFonts w:ascii="Garamond" w:hAnsi="Garamond" w:eastAsia="Times New Roman" w:cs="Garamond"/>
      <w:caps/>
      <w:color w:val="000000"/>
      <w:sz w:val="18"/>
      <w:lang w:eastAsia="en-US"/>
    </w:rPr>
  </w:style>
  <w:style w:type="character" w:styleId="998" w:customStyle="1">
    <w:name w:val="Шапка Знак"/>
    <w:basedOn w:val="752"/>
    <w:link w:val="997"/>
    <w:rPr>
      <w:rFonts w:ascii="Garamond" w:hAnsi="Garamond" w:cs="Garamond"/>
      <w:caps/>
      <w:color w:val="000000"/>
      <w:sz w:val="18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E88993A0FC8BDC5ADF3F8BAC2FD495AD5A3BB3F059F3BDCC337E9750431B8654EF34C6DC591464C18ECBD2FR8Q" TargetMode="External"/><Relationship Id="rId12" Type="http://schemas.openxmlformats.org/officeDocument/2006/relationships/hyperlink" Target="consultantplus://offline/ref=8E88993A0FC8BDC5ADF3F8BAC2FD495AD5A3BB3F059F3BDCC337E9750431B8654EF34C6DC591464C18ECBD2FR8Q" TargetMode="External"/><Relationship Id="rId13" Type="http://schemas.openxmlformats.org/officeDocument/2006/relationships/hyperlink" Target="consultantplus://offline/ref=8E88993A0FC8BDC5ADF3F8BAC2FD495AD5A3BB3F059F3BDCC337E9750431B8654EF34C6DC591464C18ECBD2FR8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B7F8-E679-46DD-91FD-14940E1E2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5</cp:revision>
  <dcterms:created xsi:type="dcterms:W3CDTF">2025-12-08T14:02:00Z</dcterms:created>
  <dcterms:modified xsi:type="dcterms:W3CDTF">2026-01-13T11:44:25Z</dcterms:modified>
</cp:coreProperties>
</file>