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b/>
          <w:color w:val="000000"/>
          <w:sz w:val="28"/>
          <w:szCs w:val="2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13.01.2026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                № 11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76"/>
        <w:ind w:firstLine="0"/>
        <w:jc w:val="center"/>
        <w:rPr>
          <w:b/>
          <w:i/>
          <w:sz w:val="20"/>
          <w:szCs w:val="24"/>
        </w:rPr>
      </w:pPr>
      <w:r>
        <w:rPr>
          <w:b/>
          <w:sz w:val="20"/>
          <w:szCs w:val="24"/>
        </w:rPr>
        <w:t xml:space="preserve">О ликвидации </w:t>
      </w:r>
      <w:r>
        <w:rPr>
          <w:b/>
          <w:sz w:val="20"/>
          <w:szCs w:val="24"/>
        </w:rPr>
        <w:t xml:space="preserve">муниципального </w:t>
      </w:r>
      <w:r>
        <w:rPr>
          <w:b/>
          <w:sz w:val="20"/>
          <w:szCs w:val="24"/>
        </w:rPr>
        <w:t xml:space="preserve">казенного предприятия</w:t>
      </w:r>
      <w:r>
        <w:rPr>
          <w:b/>
          <w:sz w:val="20"/>
          <w:szCs w:val="24"/>
        </w:rPr>
        <w:t xml:space="preserve"> «</w:t>
      </w:r>
      <w:r>
        <w:rPr>
          <w:b/>
          <w:sz w:val="20"/>
          <w:szCs w:val="24"/>
        </w:rPr>
        <w:t xml:space="preserve">Жилищное хозяйство» </w:t>
      </w:r>
      <w:r>
        <w:rPr>
          <w:b/>
          <w:sz w:val="20"/>
          <w:szCs w:val="24"/>
        </w:rPr>
        <w:t xml:space="preserve">Печенгского муниципального округа Мурманской области</w:t>
      </w:r>
      <w:r>
        <w:rPr>
          <w:b/>
          <w:i/>
          <w:sz w:val="20"/>
          <w:szCs w:val="24"/>
        </w:rPr>
      </w:r>
      <w:r>
        <w:rPr>
          <w:b/>
          <w:i/>
          <w:sz w:val="20"/>
          <w:szCs w:val="24"/>
        </w:rPr>
      </w:r>
    </w:p>
    <w:p>
      <w:r/>
      <w:r/>
    </w:p>
    <w:p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соответствии со статьями 61, 63 Гражданского кодекса Российской Федерации, </w:t>
      </w:r>
      <w:r>
        <w:t xml:space="preserve">Федеральным</w:t>
      </w:r>
      <w:r>
        <w:t xml:space="preserve">и</w:t>
      </w:r>
      <w:r>
        <w:t xml:space="preserve"> закон</w:t>
      </w:r>
      <w:r>
        <w:t xml:space="preserve">ами</w:t>
      </w:r>
      <w:r>
        <w:t xml:space="preserve"> </w:t>
      </w:r>
      <w:r>
        <w:rPr>
          <w:rFonts w:eastAsiaTheme="minorHAnsi"/>
        </w:rPr>
        <w:t xml:space="preserve">от 14.11.2002 № 161-ФЗ</w:t>
      </w:r>
      <w:r>
        <w:t xml:space="preserve"> «О государственных и муниципальных унитарных предприятиях»</w:t>
      </w:r>
      <w:r>
        <w:t xml:space="preserve">, </w:t>
      </w:r>
      <w:r>
        <w:t xml:space="preserve">от</w:t>
      </w:r>
      <w:r>
        <w:t xml:space="preserve"> 08.08.2001 № 129-ФЗ «О государственной регистрации юридических лиц и индивидуальных предпринимателей»</w:t>
      </w:r>
      <w:r>
        <w:t xml:space="preserve">, </w:t>
      </w:r>
      <w:r>
        <w:t xml:space="preserve">Порядком управления и распоряжения имуществом, находящимся в собственности Печенгского муниципального округа, утвержденным решением Совета депутатов Печенгского муниципального округа от 05.02.2021 № 89,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ind w:firstLine="709"/>
        <w:jc w:val="both"/>
      </w:pPr>
      <w:r>
        <w:t xml:space="preserve">1. </w:t>
      </w:r>
      <w:r>
        <w:t xml:space="preserve">Ликвидировать </w:t>
      </w:r>
      <w:r>
        <w:t xml:space="preserve">муниципальное </w:t>
      </w:r>
      <w:r>
        <w:t xml:space="preserve">казенное </w:t>
      </w:r>
      <w:r>
        <w:t xml:space="preserve">предприятие </w:t>
      </w:r>
      <w:r>
        <w:t xml:space="preserve">«</w:t>
      </w:r>
      <w:r>
        <w:t xml:space="preserve">Жилищное хозяйство» Печенгского муниципального округа Мурманской области</w:t>
      </w:r>
      <w:r>
        <w:t xml:space="preserve"> </w:t>
      </w:r>
      <w:r>
        <w:t xml:space="preserve">(ИНН</w:t>
      </w:r>
      <w:r>
        <w:rPr>
          <w:rFonts w:ascii="Helvetica" w:hAnsi="Helvetica"/>
          <w:color w:val="6d6d6d"/>
        </w:rPr>
        <w:t xml:space="preserve"> </w:t>
      </w:r>
      <w:r>
        <w:t xml:space="preserve">51090</w:t>
      </w:r>
      <w:r>
        <w:t xml:space="preserve">02037</w:t>
      </w:r>
      <w:r>
        <w:t xml:space="preserve">, </w:t>
      </w:r>
      <w:r>
        <w:t xml:space="preserve">ОГРН</w:t>
      </w:r>
      <w:r>
        <w:t xml:space="preserve"> </w:t>
      </w:r>
      <w:r>
        <w:t xml:space="preserve">11</w:t>
      </w:r>
      <w:r>
        <w:t xml:space="preserve">1</w:t>
      </w:r>
      <w:r>
        <w:t xml:space="preserve">510</w:t>
      </w:r>
      <w:r>
        <w:t xml:space="preserve">9</w:t>
      </w:r>
      <w:r>
        <w:t xml:space="preserve">000</w:t>
      </w:r>
      <w:r>
        <w:t xml:space="preserve">016</w:t>
      </w:r>
      <w:r>
        <w:t xml:space="preserve">,</w:t>
      </w:r>
      <w:r>
        <w:t xml:space="preserve"> </w:t>
      </w:r>
      <w:r>
        <w:t xml:space="preserve">юридический адрес: </w:t>
      </w:r>
      <w:r>
        <w:t xml:space="preserve">1844</w:t>
      </w:r>
      <w:r>
        <w:t xml:space="preserve">10</w:t>
      </w:r>
      <w:r>
        <w:t xml:space="preserve">, </w:t>
      </w:r>
      <w:r>
        <w:t xml:space="preserve">Мурманская область,</w:t>
      </w:r>
      <w:r>
        <w:t xml:space="preserve"> Печенгский район,</w:t>
      </w:r>
      <w:r>
        <w:t xml:space="preserve"> </w:t>
      </w:r>
      <w:r>
        <w:br/>
        <w:t xml:space="preserve">пгт</w:t>
      </w:r>
      <w:r>
        <w:t xml:space="preserve">. </w:t>
      </w:r>
      <w:r>
        <w:t xml:space="preserve">Печенга</w:t>
      </w:r>
      <w:r>
        <w:t xml:space="preserve">,</w:t>
      </w:r>
      <w:r>
        <w:t xml:space="preserve"> </w:t>
      </w:r>
      <w:r>
        <w:t xml:space="preserve">Печенгское</w:t>
      </w:r>
      <w:r>
        <w:t xml:space="preserve"> шоссе</w:t>
      </w:r>
      <w:r>
        <w:t xml:space="preserve">,</w:t>
      </w:r>
      <w:r>
        <w:t xml:space="preserve"> д.</w:t>
      </w:r>
      <w:r>
        <w:t xml:space="preserve"> </w:t>
      </w:r>
      <w:r>
        <w:t xml:space="preserve">3</w:t>
      </w:r>
      <w:r>
        <w:t xml:space="preserve">).</w:t>
      </w:r>
      <w:r/>
    </w:p>
    <w:p>
      <w:pPr>
        <w:ind w:firstLine="709"/>
        <w:jc w:val="both"/>
      </w:pPr>
      <w:r>
        <w:t xml:space="preserve">2.</w:t>
      </w:r>
      <w:r>
        <w:t xml:space="preserve"> Назначить ликвидационную комиссию согласно приложению </w:t>
      </w:r>
      <w:r>
        <w:t xml:space="preserve">№ </w:t>
      </w:r>
      <w:r>
        <w:t xml:space="preserve">1.</w:t>
      </w:r>
      <w:r>
        <w:t xml:space="preserve">  </w:t>
      </w:r>
      <w:r/>
    </w:p>
    <w:p>
      <w:pPr>
        <w:ind w:firstLine="709"/>
        <w:jc w:val="both"/>
      </w:pPr>
      <w:r>
        <w:t xml:space="preserve">3. </w:t>
      </w:r>
      <w:r>
        <w:t xml:space="preserve">Утвердить План мероприятий по ликвидации </w:t>
      </w:r>
      <w:r>
        <w:t xml:space="preserve">муниципального </w:t>
      </w:r>
      <w:r>
        <w:t xml:space="preserve">казенного </w:t>
      </w:r>
      <w:r>
        <w:t xml:space="preserve">предприяти</w:t>
      </w:r>
      <w:r>
        <w:t xml:space="preserve">я</w:t>
      </w:r>
      <w:r>
        <w:t xml:space="preserve"> </w:t>
      </w:r>
      <w:r>
        <w:t xml:space="preserve">«</w:t>
      </w:r>
      <w:r>
        <w:t xml:space="preserve">Жилищное хозяйство» Печенгского муниципального округа Мурманской области</w:t>
      </w:r>
      <w:r>
        <w:t xml:space="preserve"> согласно приложению</w:t>
      </w:r>
      <w:r>
        <w:t xml:space="preserve"> </w:t>
      </w:r>
      <w:r>
        <w:t xml:space="preserve">№ </w:t>
      </w:r>
      <w:r>
        <w:t xml:space="preserve">2</w:t>
      </w:r>
      <w:r>
        <w:t xml:space="preserve">.</w:t>
      </w:r>
      <w:r/>
    </w:p>
    <w:p>
      <w:pPr>
        <w:ind w:firstLine="709"/>
        <w:jc w:val="both"/>
      </w:pPr>
      <w:r>
        <w:t xml:space="preserve">4. </w:t>
      </w:r>
      <w:r>
        <w:t xml:space="preserve">Ликвидационной комиссии провести необходимые юридические и организационные мероприятия по ликвидации </w:t>
      </w:r>
      <w:r>
        <w:t xml:space="preserve">муниципального </w:t>
      </w:r>
      <w:r>
        <w:t xml:space="preserve">казенного </w:t>
      </w:r>
      <w:r>
        <w:t xml:space="preserve">предприяти</w:t>
      </w:r>
      <w:r>
        <w:t xml:space="preserve">я</w:t>
      </w:r>
      <w:r>
        <w:t xml:space="preserve"> </w:t>
      </w:r>
      <w:r>
        <w:t xml:space="preserve">«</w:t>
      </w:r>
      <w:r>
        <w:t xml:space="preserve">Жилищное хозяйство» Печенгского муниципального округа Мурманской области</w:t>
      </w:r>
      <w:r>
        <w:t xml:space="preserve"> </w:t>
      </w:r>
      <w:r>
        <w:t xml:space="preserve">в порядке и сроки, установленные законодательством.</w:t>
      </w:r>
      <w:r/>
    </w:p>
    <w:p>
      <w:pPr>
        <w:ind w:firstLine="709"/>
        <w:jc w:val="both"/>
      </w:pPr>
      <w:r>
        <w:rPr>
          <w:highlight w:val="none"/>
        </w:rPr>
      </w:r>
      <w:r>
        <w:rPr>
          <w:highlight w:val="none"/>
        </w:rPr>
        <w:t xml:space="preserve">5</w:t>
      </w:r>
      <w:r>
        <w:rPr>
          <w:highlight w:val="none"/>
        </w:rPr>
        <w:t xml:space="preserve">. Предоставить полномочия по уведомлению регистрирующего органа о начале процедуры ликвидации муниципального казенного предприятия «Жилищное хозяйство» Печенгского муниципального округа Мурманской области председателю ликвидационной комиссии ликвидируемого</w:t>
      </w:r>
      <w:r>
        <w:rPr>
          <w:highlight w:val="none"/>
        </w:rPr>
        <w:t xml:space="preserve"> муниципального казенного предприятия «Жилищное хозяйство» Печенгского муниципального округа Мурманской области Веверица Варваре Андреевне.</w:t>
      </w:r>
      <w:r>
        <w:rPr>
          <w:highlight w:val="none"/>
        </w:rPr>
      </w:r>
      <w:r/>
    </w:p>
    <w:p>
      <w:pPr>
        <w:ind w:firstLine="709"/>
        <w:jc w:val="both"/>
        <w:rPr>
          <w:highlight w:val="none"/>
        </w:rPr>
      </w:pPr>
      <w:r>
        <w:t xml:space="preserve">6.</w:t>
      </w:r>
      <w:r>
        <w:t xml:space="preserve"> </w:t>
      </w:r>
      <w:r>
        <w:rPr>
          <w:rFonts w:eastAsia="Calibri"/>
          <w:lang w:eastAsia="ar-SA"/>
        </w:rPr>
        <w:t xml:space="preserve">Настоящее постановление вступает в силу после его подписания.</w:t>
      </w:r>
      <w:r>
        <w:t xml:space="preserve"> </w:t>
      </w: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</w:pPr>
      <w:r>
        <w:rPr>
          <w:rFonts w:eastAsia="Calibri"/>
          <w:lang w:eastAsia="ar-SA"/>
        </w:rPr>
        <w:t xml:space="preserve">7</w:t>
      </w:r>
      <w:r>
        <w:rPr>
          <w:rFonts w:eastAsia="Calibri"/>
          <w:lang w:eastAsia="ar-SA"/>
        </w:rPr>
        <w:t xml:space="preserve">. </w:t>
      </w:r>
      <w:r>
        <w:t xml:space="preserve">Настоящее постановление разместить на </w:t>
      </w:r>
      <w:r>
        <w:t xml:space="preserve">с</w:t>
      </w:r>
      <w:r>
        <w:t xml:space="preserve">айте Печенгского муниципального округа </w:t>
      </w:r>
      <w:hyperlink r:id="rId11" w:tooltip="https://pechengamr.gov-murman.ru/" w:history="1">
        <w:r>
          <w:rPr>
            <w:rStyle w:val="894"/>
          </w:rPr>
          <w:t xml:space="preserve">https://pechengamr.gov-murman.ru/</w:t>
        </w:r>
      </w:hyperlink>
      <w:r>
        <w:t xml:space="preserve">.</w:t>
      </w:r>
      <w:r/>
    </w:p>
    <w:p>
      <w:pPr>
        <w:ind w:firstLine="709"/>
        <w:jc w:val="both"/>
      </w:pPr>
      <w:r>
        <w:t xml:space="preserve">8</w:t>
      </w:r>
      <w:r>
        <w:t xml:space="preserve">.</w:t>
      </w:r>
      <w:r>
        <w:t xml:space="preserve"> </w:t>
      </w:r>
      <w:r>
        <w:t xml:space="preserve">Контроль за исполнением настоящего постановления </w:t>
      </w:r>
      <w:r>
        <w:t xml:space="preserve">оставляю за собой</w:t>
      </w:r>
      <w:r>
        <w:t xml:space="preserve">.</w:t>
      </w:r>
      <w:r/>
    </w:p>
    <w:p>
      <w:pPr>
        <w:ind w:firstLine="709"/>
        <w:jc w:val="both"/>
      </w:pPr>
      <w:r/>
      <w:r/>
    </w:p>
    <w:p>
      <w:pPr>
        <w:ind w:firstLine="709"/>
        <w:jc w:val="both"/>
      </w:pPr>
      <w:r/>
      <w:r/>
    </w:p>
    <w:p>
      <w:pPr>
        <w:jc w:val="both"/>
      </w:pPr>
      <w:r>
        <w:t xml:space="preserve">Глава Печенгского муниципального округа     </w:t>
      </w:r>
      <w:r>
        <w:t xml:space="preserve">   </w:t>
      </w:r>
      <w:r>
        <w:t xml:space="preserve">                                                А.В. Кузнецов</w:t>
      </w:r>
      <w:r/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Веверица В.А</w:t>
      </w:r>
      <w:r>
        <w:rPr>
          <w:sz w:val="20"/>
          <w:szCs w:val="20"/>
        </w:rPr>
        <w:t xml:space="preserve">.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widowControl/>
        <w:sectPr>
          <w:footnotePr/>
          <w:endnotePr/>
          <w:type w:val="nextPage"/>
          <w:pgSz w:w="11906" w:h="16838" w:orient="portrait"/>
          <w:pgMar w:top="425" w:right="850" w:bottom="397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5529"/>
        <w:widowControl/>
      </w:pPr>
      <w:r>
        <w:t xml:space="preserve">Приложение </w:t>
      </w:r>
      <w:r>
        <w:t xml:space="preserve">№ </w:t>
      </w:r>
      <w:r>
        <w:t xml:space="preserve">1 </w:t>
      </w:r>
      <w:r/>
    </w:p>
    <w:p>
      <w:pPr>
        <w:ind w:left="5529"/>
        <w:widowControl/>
      </w:pPr>
      <w:r>
        <w:t xml:space="preserve">к </w:t>
      </w:r>
      <w:r>
        <w:t xml:space="preserve">п</w:t>
      </w:r>
      <w:r>
        <w:t xml:space="preserve">остановлени</w:t>
      </w:r>
      <w:r>
        <w:t xml:space="preserve">ю</w:t>
      </w:r>
      <w:r>
        <w:t xml:space="preserve"> администрации </w:t>
      </w:r>
      <w:r/>
    </w:p>
    <w:p>
      <w:pPr>
        <w:ind w:left="5529"/>
        <w:widowControl/>
      </w:pPr>
      <w:r>
        <w:t xml:space="preserve">Печенгского</w:t>
      </w:r>
      <w:r>
        <w:t xml:space="preserve"> </w:t>
      </w:r>
      <w:r>
        <w:t xml:space="preserve">муниципального</w:t>
      </w:r>
      <w:r>
        <w:t xml:space="preserve"> округ</w:t>
      </w:r>
      <w:r>
        <w:t xml:space="preserve">а</w:t>
      </w:r>
      <w:r/>
    </w:p>
    <w:p>
      <w:pPr>
        <w:ind w:left="5529"/>
        <w:widowControl/>
      </w:pPr>
      <w:r>
        <w:t xml:space="preserve">от </w:t>
      </w:r>
      <w:r>
        <w:t xml:space="preserve">13.01.2026 № 11</w:t>
      </w:r>
      <w:r/>
    </w:p>
    <w:p>
      <w:pPr>
        <w:pStyle w:val="883"/>
        <w:jc w:val="left"/>
        <w:spacing w:line="240" w:lineRule="auto"/>
        <w:widowControl/>
      </w:pPr>
      <w:r/>
      <w:r/>
    </w:p>
    <w:p>
      <w:pPr>
        <w:pStyle w:val="883"/>
        <w:jc w:val="left"/>
        <w:spacing w:line="240" w:lineRule="auto"/>
        <w:widowControl/>
      </w:pPr>
      <w:r/>
      <w:r/>
    </w:p>
    <w:p>
      <w:pPr>
        <w:jc w:val="center"/>
        <w:widowControl/>
        <w:rPr>
          <w:b/>
          <w:color w:val="000000"/>
        </w:rPr>
      </w:pPr>
      <w:r>
        <w:rPr>
          <w:b/>
          <w:color w:val="000000"/>
        </w:rPr>
        <w:t xml:space="preserve">СОСТАВ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/>
        <w:rPr>
          <w:color w:val="000000"/>
        </w:rPr>
      </w:pPr>
      <w:r>
        <w:rPr>
          <w:color w:val="000000"/>
        </w:rPr>
        <w:t xml:space="preserve">ликвидационной комиссии ликвидируемого</w:t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/>
        <w:rPr>
          <w:color w:val="000000"/>
        </w:rPr>
      </w:pPr>
      <w:r>
        <w:t xml:space="preserve">муниципального </w:t>
      </w:r>
      <w:r>
        <w:t xml:space="preserve">казенного </w:t>
      </w:r>
      <w:r>
        <w:t xml:space="preserve">предприяти</w:t>
      </w:r>
      <w:r>
        <w:t xml:space="preserve">я</w:t>
      </w:r>
      <w:r>
        <w:t xml:space="preserve"> </w:t>
      </w:r>
      <w:r>
        <w:t xml:space="preserve">«</w:t>
      </w:r>
      <w:r>
        <w:t xml:space="preserve">Жилищное хозяйство» Печенгского муниципального округа Мурманской области</w:t>
      </w:r>
      <w: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/>
      </w:pPr>
      <w:r/>
      <w:r/>
    </w:p>
    <w:p>
      <w:pPr>
        <w:jc w:val="both"/>
        <w:widowControl/>
      </w:pPr>
      <w:r/>
      <w:r/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425"/>
        <w:gridCol w:w="6486"/>
      </w:tblGrid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</w:t>
            </w:r>
            <w:r/>
          </w:p>
          <w:p>
            <w:pPr>
              <w:jc w:val="both"/>
            </w:pPr>
            <w:r>
              <w:t xml:space="preserve">Варвара Андреевна 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</w:pPr>
            <w:r>
              <w:t xml:space="preserve">председатель Комитета по управлению имуществом администрации Печенгского муниципального округа, председатель ликвидационной комиссии;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</w:pPr>
            <w:r>
              <w:t xml:space="preserve">Лаврущик</w:t>
            </w:r>
            <w:r>
              <w:t xml:space="preserve"> </w:t>
            </w:r>
            <w:r/>
          </w:p>
          <w:p>
            <w:pPr>
              <w:jc w:val="both"/>
            </w:pPr>
            <w:r>
              <w:t xml:space="preserve">Светлана Сергеевна</w:t>
            </w:r>
            <w:r/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</w:pPr>
            <w:r>
              <w:t xml:space="preserve">з</w:t>
            </w:r>
            <w:r>
              <w:t xml:space="preserve">аместитель председателя – начальник отдела управления имуществом </w:t>
            </w:r>
            <w:r>
              <w:t xml:space="preserve">Комитета по управлению имуществом </w:t>
            </w:r>
            <w:r>
              <w:t xml:space="preserve">администрации Печенгского </w:t>
            </w:r>
            <w:r>
              <w:t xml:space="preserve">муниципального округа,</w:t>
            </w:r>
            <w:r>
              <w:t xml:space="preserve"> </w:t>
            </w:r>
            <w:r>
              <w:t xml:space="preserve">секретарь</w:t>
            </w:r>
            <w:r>
              <w:t xml:space="preserve"> ликвидационной комиссии;</w:t>
            </w:r>
            <w:r/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</w:pPr>
            <w:r>
              <w:t xml:space="preserve">Члены Комиссии:</w:t>
            </w:r>
            <w:r/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t xml:space="preserve">Пивоварова</w:t>
              <w:br/>
              <w:t xml:space="preserve">Ирина Вячеславовна</w:t>
            </w:r>
            <w:r>
              <w:rPr>
                <w:highlight w:val="none"/>
              </w:rPr>
            </w:r>
          </w:p>
          <w:p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</w:pPr>
            <w:r>
              <w:t xml:space="preserve">руководитель</w:t>
            </w:r>
            <w:r>
              <w:t xml:space="preserve"> МБУ «Централизованная бухгалтерия»;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</w:pPr>
            <w:r>
              <w:t xml:space="preserve">Ионова</w:t>
            </w:r>
            <w:r>
              <w:t xml:space="preserve"> </w:t>
            </w:r>
            <w:r/>
          </w:p>
          <w:p>
            <w:pPr>
              <w:jc w:val="both"/>
            </w:pPr>
            <w:r>
              <w:t xml:space="preserve">Ольга Валерьевна</w:t>
            </w:r>
            <w:r/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</w:pPr>
            <w:r>
              <w:t xml:space="preserve">начальник</w:t>
            </w:r>
            <w:r>
              <w:t xml:space="preserve"> </w:t>
            </w:r>
            <w:r>
              <w:t xml:space="preserve">финансового управления </w:t>
            </w:r>
            <w:r>
              <w:t xml:space="preserve">администрации Печенгского </w:t>
            </w:r>
            <w:r>
              <w:t xml:space="preserve">муниципального округа;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Морозова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Марина Евгеньевна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</w:pPr>
            <w:r>
              <w:t xml:space="preserve">заведующий сектором муниципальной службы и кадров администрации Печенгского муниципального округа;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Самойлов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Сергей Анатольевич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</w:pPr>
            <w:r>
              <w:t xml:space="preserve">начальник юридического отдела администрации Пе</w:t>
            </w:r>
            <w:r>
              <w:t xml:space="preserve">ченгского муниципального округа.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6486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</w:tbl>
    <w:p>
      <w:pPr>
        <w:jc w:val="both"/>
        <w:widowControl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883"/>
        <w:jc w:val="left"/>
        <w:spacing w:line="240" w:lineRule="auto"/>
        <w:widowControl/>
        <w:rPr>
          <w:sz w:val="22"/>
          <w:szCs w:val="22"/>
        </w:rPr>
      </w:pPr>
      <w:r>
        <w:rPr>
          <w:rFonts w:ascii="Arial" w:hAnsi="Arial" w:cs="Arial"/>
          <w:sz w:val="20"/>
          <w:szCs w:val="20"/>
        </w:rPr>
        <w:br w:type="page" w:clear="all"/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529"/>
        <w:widowControl/>
      </w:pPr>
      <w:r>
        <w:t xml:space="preserve">Приложение </w:t>
      </w:r>
      <w:r>
        <w:t xml:space="preserve">№ </w:t>
      </w:r>
      <w:r>
        <w:t xml:space="preserve">2 </w:t>
      </w:r>
      <w:r/>
    </w:p>
    <w:p>
      <w:pPr>
        <w:ind w:left="5529"/>
        <w:widowControl/>
      </w:pPr>
      <w:r>
        <w:t xml:space="preserve">к </w:t>
      </w:r>
      <w:r>
        <w:t xml:space="preserve">п</w:t>
      </w:r>
      <w:r>
        <w:t xml:space="preserve">остановлени</w:t>
      </w:r>
      <w:r>
        <w:t xml:space="preserve">ю</w:t>
      </w:r>
      <w:r>
        <w:t xml:space="preserve"> администрации </w:t>
      </w:r>
      <w:r/>
    </w:p>
    <w:p>
      <w:pPr>
        <w:ind w:left="5529"/>
        <w:widowControl/>
      </w:pPr>
      <w:r>
        <w:t xml:space="preserve">Печенгского</w:t>
      </w:r>
      <w:r>
        <w:t xml:space="preserve"> </w:t>
      </w:r>
      <w:r>
        <w:t xml:space="preserve">муниципального округа</w:t>
      </w:r>
      <w:r/>
    </w:p>
    <w:p>
      <w:pPr>
        <w:ind w:left="5529"/>
        <w:widowControl/>
      </w:pPr>
      <w:r>
        <w:t xml:space="preserve">от </w:t>
      </w:r>
      <w:r>
        <w:t xml:space="preserve">13.01.2026</w:t>
      </w:r>
      <w:r>
        <w:t xml:space="preserve"> </w:t>
      </w:r>
      <w:r>
        <w:t xml:space="preserve">№ 11</w:t>
      </w:r>
      <w:r/>
    </w:p>
    <w:p>
      <w:pPr>
        <w:pStyle w:val="883"/>
        <w:jc w:val="left"/>
        <w:spacing w:line="240" w:lineRule="auto"/>
        <w:widowControl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3"/>
        <w:jc w:val="left"/>
        <w:spacing w:line="240" w:lineRule="auto"/>
        <w:widowControl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83"/>
        <w:spacing w:line="240" w:lineRule="auto"/>
        <w:widowControl/>
        <w:rPr>
          <w:b/>
        </w:rPr>
      </w:pPr>
      <w:r>
        <w:rPr>
          <w:b/>
        </w:rPr>
        <w:t xml:space="preserve">ПЛАН МЕРОПРИЯТИЙ</w:t>
      </w:r>
      <w:r>
        <w:rPr>
          <w:b/>
        </w:rPr>
      </w:r>
      <w:r>
        <w:rPr>
          <w:b/>
        </w:rPr>
      </w:r>
    </w:p>
    <w:p>
      <w:pPr>
        <w:pStyle w:val="883"/>
        <w:spacing w:line="240" w:lineRule="auto"/>
        <w:widowControl/>
      </w:pPr>
      <w:r>
        <w:t xml:space="preserve">по ликвидации </w:t>
      </w:r>
      <w:r>
        <w:t xml:space="preserve">муниципального </w:t>
      </w:r>
      <w:r>
        <w:t xml:space="preserve">казенного </w:t>
      </w:r>
      <w:r>
        <w:t xml:space="preserve">предприяти</w:t>
      </w:r>
      <w:r>
        <w:t xml:space="preserve">я</w:t>
      </w:r>
      <w:r>
        <w:t xml:space="preserve"> </w:t>
      </w:r>
      <w:r>
        <w:t xml:space="preserve">«</w:t>
      </w:r>
      <w:r>
        <w:t xml:space="preserve">Жилищное хозяйство» Печенгского муниципального округа Мурманской области</w:t>
      </w:r>
      <w:r/>
    </w:p>
    <w:p>
      <w:pPr>
        <w:pStyle w:val="883"/>
        <w:jc w:val="left"/>
        <w:spacing w:line="240" w:lineRule="auto"/>
        <w:widowControl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tbl>
      <w:tblPr>
        <w:tblW w:w="0" w:type="auto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2681"/>
        <w:gridCol w:w="1985"/>
        <w:gridCol w:w="2268"/>
        <w:gridCol w:w="2375"/>
      </w:tblGrid>
      <w:tr>
        <w:tblPrEx/>
        <w:trPr>
          <w:trHeight w:val="1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№</w:t>
            </w:r>
            <w:r/>
          </w:p>
          <w:p>
            <w:pPr>
              <w:jc w:val="both"/>
            </w:pPr>
            <w:r>
              <w:t xml:space="preserve">п/п</w:t>
            </w:r>
            <w:r/>
          </w:p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center"/>
            </w:pPr>
            <w:r>
              <w:t xml:space="preserve">Наименование мероприятия</w:t>
            </w:r>
            <w:r/>
          </w:p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Ответственные исполнители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Сроки  исполнения</w:t>
            </w:r>
            <w:r/>
          </w:p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Примечание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</w:t>
            </w:r>
            <w:r>
              <w:t xml:space="preserve">ведом</w:t>
            </w:r>
            <w:r>
              <w:t xml:space="preserve">ления</w:t>
            </w:r>
            <w:r>
              <w:t xml:space="preserve"> </w:t>
            </w:r>
            <w:r>
              <w:t xml:space="preserve">в </w:t>
            </w:r>
            <w:r>
              <w:t xml:space="preserve">уполномоченный государственный орган, осуществляющий государственную регистрацию юридических лиц</w:t>
            </w:r>
            <w:r>
              <w:t xml:space="preserve"> </w:t>
            </w:r>
            <w:r>
              <w:t xml:space="preserve">(форма </w:t>
            </w:r>
            <w:r>
              <w:t xml:space="preserve">15016</w:t>
            </w:r>
            <w: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</w:t>
            </w:r>
            <w:r>
              <w:t xml:space="preserve">.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 течение 3 рабочих дней со дня принятия постановления о ликвидации М</w:t>
            </w:r>
            <w:r>
              <w:t xml:space="preserve">КП «Жилищное хозяйство»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</w:t>
            </w:r>
            <w:r>
              <w:t xml:space="preserve">. 1 ст. 62 ГК РФ</w:t>
            </w:r>
            <w:r/>
          </w:p>
        </w:tc>
      </w:tr>
      <w:tr>
        <w:tblPrEx/>
        <w:trPr>
          <w:trHeight w:val="1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Размещение в Едином федеральном реестре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ликвидации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 течение 3 рабочих дней </w:t>
            </w:r>
            <w:r>
              <w:t xml:space="preserve">со дня внесения записи в ЕГРЮЛ </w:t>
            </w:r>
            <w:r>
              <w:t xml:space="preserve">о ликвидации М</w:t>
            </w:r>
            <w:r>
              <w:t xml:space="preserve">КП «Жилищное хозяйство»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п. 9 ст. 7.1 Федерального закона от 08.08.2001 № 129-ФЗ «О государственной регистрации юридических лиц и индивидуальных предпринимателей»</w:t>
            </w:r>
            <w:r>
              <w:t xml:space="preserve"> (далее – 129-ФЗ)</w:t>
            </w:r>
            <w:r>
              <w:t xml:space="preserve"> </w:t>
            </w:r>
            <w:r/>
          </w:p>
        </w:tc>
      </w:tr>
      <w:tr>
        <w:tblPrEx/>
        <w:trPr>
          <w:trHeight w:val="8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Опубликование в средствах массовой информации, в которых опубликовываются данные о государственной регистрации юридического лица (Вестник государственной регистрации) сообщения </w:t>
            </w:r>
            <w:r>
              <w:t xml:space="preserve">о ликвидации </w:t>
            </w:r>
            <w:r>
              <w:t xml:space="preserve">МКП «Жилищное хозяйство»</w:t>
            </w:r>
            <w:r>
              <w:t xml:space="preserve"> </w:t>
            </w:r>
            <w:r>
              <w:t xml:space="preserve">и о порядке и сроке заявления требований его кредиторами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После внесения записи в ЕГРЮЛ и размещении уведомления о ликвидации в Едином федеральном реестре юридически значимых сведений о фактах деятельности юридических лиц, индивидуальных </w:t>
            </w:r>
            <w:r>
              <w:t xml:space="preserve">предпринимателей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</w:t>
            </w:r>
            <w:r>
              <w:t xml:space="preserve">. 1 ст. 63 ГК РФ</w:t>
            </w:r>
            <w:r/>
          </w:p>
        </w:tc>
      </w:tr>
      <w:tr>
        <w:tblPrEx/>
        <w:trPr>
          <w:trHeight w:val="8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письменной форме </w:t>
            </w:r>
            <w:r>
              <w:t xml:space="preserve">уведомлений </w:t>
            </w:r>
            <w:r>
              <w:t xml:space="preserve">кредиторам Предприятия о его ликвидации, а также принятие мер по </w:t>
            </w:r>
            <w:r>
              <w:t xml:space="preserve">получению дебиторской задолженности</w:t>
            </w:r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 течении 10 рабочих дней после внесения в ЕГРЮЛ записи о ликвидации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п. 1 ст. 63 ГК РФ</w:t>
            </w:r>
            <w:r/>
          </w:p>
        </w:tc>
      </w:tr>
      <w:tr>
        <w:tblPrEx/>
        <w:trPr>
          <w:trHeight w:val="14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</w:t>
            </w:r>
            <w:r>
              <w:t xml:space="preserve"> организационно-штатны</w:t>
            </w:r>
            <w:r>
              <w:t xml:space="preserve">х</w:t>
            </w:r>
            <w:r>
              <w:t xml:space="preserve"> мероприяти</w:t>
            </w:r>
            <w:r>
              <w:t xml:space="preserve">й</w:t>
            </w:r>
            <w:r>
              <w:t xml:space="preserve">, связанны</w:t>
            </w:r>
            <w:r>
              <w:t xml:space="preserve">х</w:t>
            </w:r>
            <w:r>
              <w:t xml:space="preserve"> с ликвидацией </w:t>
            </w:r>
            <w:r>
              <w:t xml:space="preserve">МКП «Жилищное хозяйство»</w:t>
            </w:r>
            <w:r>
              <w:t xml:space="preserve"> и уведомление работников о предстоящем увольнении с соблюдением трудовых и социальных гарантий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До </w:t>
            </w:r>
            <w:r>
              <w:rPr>
                <w:lang w:val="en-US"/>
              </w:rPr>
              <w:t xml:space="preserve">11</w:t>
            </w:r>
            <w:r>
              <w:t xml:space="preserve">.0</w:t>
            </w:r>
            <w:r>
              <w:rPr>
                <w:lang w:val="en-US"/>
              </w:rPr>
              <w:t xml:space="preserve">3</w:t>
            </w:r>
            <w:r>
              <w:t xml:space="preserve">.2026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Трудовой кодекс РФ</w:t>
            </w:r>
            <w:r/>
          </w:p>
        </w:tc>
      </w:tr>
      <w:tr>
        <w:tblPrEx/>
        <w:trPr>
          <w:trHeight w:val="8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Прове</w:t>
            </w:r>
            <w:r>
              <w:t xml:space="preserve">дение</w:t>
            </w:r>
            <w:r>
              <w:t xml:space="preserve"> инвентаризаци</w:t>
            </w:r>
            <w:r>
              <w:t xml:space="preserve">и</w:t>
            </w:r>
            <w:r>
              <w:t xml:space="preserve"> иму</w:t>
            </w:r>
            <w:r>
              <w:t xml:space="preserve">щества ликвидируемого Предприятия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Ликвидационная комиссия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До </w:t>
            </w:r>
            <w:r>
              <w:rPr>
                <w:lang w:val="en-US"/>
              </w:rPr>
              <w:t xml:space="preserve">01</w:t>
            </w:r>
            <w:r>
              <w:t xml:space="preserve">.</w:t>
            </w:r>
            <w:r>
              <w:rPr>
                <w:lang w:val="en-US"/>
              </w:rPr>
              <w:t xml:space="preserve">03</w:t>
            </w:r>
            <w:r>
              <w:t xml:space="preserve">.202</w:t>
            </w:r>
            <w:r>
              <w:rPr>
                <w:lang w:val="en-US"/>
              </w:rPr>
              <w:t xml:space="preserve">6</w:t>
            </w:r>
            <w:bookmarkStart w:id="0" w:name="_GoBack"/>
            <w:r/>
            <w:bookmarkEnd w:id="0"/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с</w:t>
            </w:r>
            <w:r>
              <w:t xml:space="preserve">т. 17 ФЗ «О бухгалтерском учете»</w:t>
            </w:r>
            <w:r/>
          </w:p>
        </w:tc>
      </w:tr>
      <w:tr>
        <w:tblPrEx/>
        <w:trPr>
          <w:trHeight w:val="19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органов службы занятости о</w:t>
            </w:r>
            <w:r>
              <w:t xml:space="preserve"> принятии решения о ликвидации предприятия</w:t>
            </w:r>
            <w:r>
              <w:t xml:space="preserve"> и расторжения трудовых договоров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Морозова М.Е.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 течение 5 рабочих дней со дня вступления в силу </w:t>
            </w:r>
            <w:r>
              <w:t xml:space="preserve">настоящего </w:t>
            </w:r>
            <w:r>
              <w:t xml:space="preserve">Постановления и сроки, предусмотренные действующим законодательством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</w:t>
            </w:r>
            <w:r>
              <w:t xml:space="preserve">. 2 ст. 25 Закона РФ от 19.04.1991 </w:t>
              <w:br/>
              <w:t xml:space="preserve">№ 1032-1 «О занятости населения в РФ»</w:t>
            </w:r>
            <w:r/>
          </w:p>
        </w:tc>
      </w:tr>
      <w:tr>
        <w:tblPrEx/>
        <w:trPr>
          <w:trHeight w:val="19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</w:t>
            </w:r>
            <w:r>
              <w:t xml:space="preserve">сведений</w:t>
            </w:r>
            <w:r>
              <w:t xml:space="preserve"> в</w:t>
            </w:r>
            <w:r>
              <w:t xml:space="preserve"> </w:t>
            </w:r>
            <w:r>
              <w:t xml:space="preserve">органы Пенсионного Фонда РФ</w:t>
            </w:r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</w:t>
            </w:r>
            <w:r>
              <w:t xml:space="preserve">.</w:t>
            </w:r>
            <w:r>
              <w:t xml:space="preserve">,</w:t>
            </w:r>
            <w:r/>
          </w:p>
          <w:p>
            <w:pPr>
              <w:jc w:val="both"/>
            </w:pPr>
            <w:r>
              <w:t xml:space="preserve">Алексеева Ю.В.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 течение 1 месяца со дня утверждения промежуточного ликвидационного баланса, но не позднее дня представления в ИФНС документов для государственной регистрации при ликвидации юридического лица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</w:t>
            </w:r>
            <w:r>
              <w:t xml:space="preserve">. 2 ст. 9, </w:t>
            </w:r>
            <w:r>
              <w:t xml:space="preserve">п.п</w:t>
            </w:r>
            <w:r>
              <w:t xml:space="preserve">. 2,3 ст. 11 </w:t>
            </w:r>
            <w:r>
              <w:t xml:space="preserve">ФЗ</w:t>
            </w:r>
            <w:r>
              <w:t xml:space="preserve"> </w:t>
            </w:r>
            <w:r>
              <w:t xml:space="preserve">от 01.04.1996             № 27-ФЗ </w:t>
            </w:r>
            <w:r>
              <w:t xml:space="preserve">«</w:t>
            </w:r>
            <w:r>
              <w:t xml:space="preserve">Об индивидуальном (персонифицированном) учете в системе обязательного пенсионного страхования</w:t>
            </w:r>
            <w:r>
              <w:t xml:space="preserve">»</w:t>
            </w:r>
            <w:r/>
          </w:p>
        </w:tc>
      </w:tr>
      <w:tr>
        <w:tblPrEx/>
        <w:trPr>
          <w:trHeight w:val="7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Увольнение работников </w:t>
            </w:r>
            <w:r>
              <w:t xml:space="preserve">Предприятия</w:t>
            </w:r>
            <w:r>
              <w:t xml:space="preserve"> в связи с ликвидацией </w:t>
            </w:r>
            <w:r>
              <w:t xml:space="preserve">М</w:t>
            </w:r>
            <w:r>
              <w:t xml:space="preserve">КП «Жилищное хозяйство»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</w:t>
            </w:r>
            <w:r>
              <w:t xml:space="preserve">., Морозова М.Е</w:t>
            </w:r>
            <w:r>
              <w:t xml:space="preserve">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Не ранее двух месяцев со дня уведомления работников </w:t>
            </w:r>
            <w:r>
              <w:t xml:space="preserve">Предприятия </w:t>
            </w:r>
            <w:r>
              <w:t xml:space="preserve">о предстоящем увольнении, за исключением случаев, предусмотренных частью 3 статьи 180 ТК РФ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с</w:t>
            </w:r>
            <w:r>
              <w:t xml:space="preserve">т. 180 ТК РФ</w:t>
            </w:r>
            <w:r/>
          </w:p>
        </w:tc>
      </w:tr>
      <w:tr>
        <w:tblPrEx/>
        <w:trPr>
          <w:trHeight w:val="19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промежуточного баланса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rPr>
                <w:color w:val="000000"/>
              </w:rPr>
              <w:t xml:space="preserve">Алексеева Ю.В.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 течение 2 месяцев после публикации сведений </w:t>
            </w:r>
            <w:r>
              <w:t xml:space="preserve">о</w:t>
            </w:r>
            <w:r>
              <w:t xml:space="preserve"> начале процедуры ликвидации в журнале «Вестник государственной регистрации»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</w:t>
            </w:r>
            <w:r>
              <w:t xml:space="preserve">. 2 ст. 63 ГК РФ, </w:t>
              <w:br/>
              <w:t xml:space="preserve">ст. 20 ФЗ № 129-ФЗ</w:t>
            </w:r>
            <w:r/>
          </w:p>
        </w:tc>
      </w:tr>
      <w:tr>
        <w:tblPrEx/>
        <w:trPr>
          <w:trHeight w:val="19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Утверждение промежут</w:t>
            </w:r>
            <w:r>
              <w:t xml:space="preserve">очного ликвидационного баланса</w:t>
            </w:r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Администрация Печенгского муниципального округа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Через 2 месяца после публикации сведений о начале процедуры ликвидации в журнале «Вестник государственной регистрации»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</w:t>
            </w:r>
            <w:r>
              <w:t xml:space="preserve">. 2 ст. 63 ГК РФ, </w:t>
              <w:br/>
              <w:t xml:space="preserve">ст. 20 ФЗ № 129-ФЗ</w:t>
            </w:r>
            <w:r/>
          </w:p>
        </w:tc>
      </w:tr>
      <w:tr>
        <w:tblPrEx/>
        <w:trPr>
          <w:trHeight w:val="19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>
              <w:t xml:space="preserve">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уведомления в  уполномоченный государственный орган, осуществляющий государственную регистрацию юридических лиц, о составлении промежуточного ликвидационного баланса</w:t>
            </w:r>
            <w:r>
              <w:t xml:space="preserve"> (форма 15016)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В.А.</w:t>
            </w:r>
            <w:r>
              <w:t xml:space="preserve">, Самойлов С.А</w:t>
            </w:r>
            <w:r>
              <w:t xml:space="preserve">.</w:t>
            </w:r>
            <w:r/>
          </w:p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Через 2 месяца после публикации сведений о начале процедуры ликвидации в журнале «Вестник государственной регистрации»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п. 3 ст. 20 ФЗ № 129-ФЗ</w:t>
            </w:r>
            <w:r/>
          </w:p>
        </w:tc>
      </w:tr>
      <w:tr>
        <w:tblPrEx/>
        <w:trPr>
          <w:trHeight w:val="19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</w:t>
            </w: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расчетов с кредиторами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</w:t>
            </w:r>
            <w:r>
              <w:t xml:space="preserve">.</w:t>
            </w:r>
            <w:r>
              <w:t xml:space="preserve">,</w:t>
            </w:r>
            <w:r/>
          </w:p>
          <w:p>
            <w:pPr>
              <w:jc w:val="both"/>
            </w:pPr>
            <w:r>
              <w:t xml:space="preserve">Алексеева Ю.В.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 порядке очередности</w:t>
            </w:r>
            <w:r>
              <w:t xml:space="preserve">, установленной</w:t>
            </w:r>
            <w:r>
              <w:t xml:space="preserve"> ст. 64 ГК РФ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</w:t>
            </w:r>
            <w:r>
              <w:t xml:space="preserve">. 5 ст. 63, ст. 64 ГК РФ</w:t>
            </w:r>
            <w:r/>
          </w:p>
        </w:tc>
      </w:tr>
      <w:tr>
        <w:tblPrEx/>
        <w:trPr>
          <w:trHeight w:val="19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both"/>
            </w:pPr>
            <w:r>
              <w:t xml:space="preserve">14</w:t>
            </w:r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ликвидационного баланса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rPr>
                <w:color w:val="000000"/>
              </w:rPr>
              <w:t xml:space="preserve">Алексеева Ю.В.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 10-ти </w:t>
            </w:r>
            <w:r>
              <w:t xml:space="preserve">дневный</w:t>
            </w:r>
            <w:r>
              <w:t xml:space="preserve"> срок после завершения расчетов с кредиторами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</w:t>
            </w:r>
            <w:r>
              <w:t xml:space="preserve">. 6 ст. 63 ГК РФ</w:t>
            </w:r>
            <w:r/>
          </w:p>
        </w:tc>
      </w:tr>
      <w:tr>
        <w:tblPrEx/>
        <w:trPr>
          <w:trHeight w:val="19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both"/>
            </w:pPr>
            <w:r>
              <w:t xml:space="preserve">1</w:t>
            </w: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Утверждение ликвидационного баланса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Администрация Печенгского муниципального округа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 10-ти </w:t>
            </w:r>
            <w:r>
              <w:t xml:space="preserve">дневный</w:t>
            </w:r>
            <w:r>
              <w:t xml:space="preserve"> срок после </w:t>
            </w:r>
            <w:r>
              <w:t xml:space="preserve">представления баланса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п</w:t>
            </w:r>
            <w:r>
              <w:t xml:space="preserve">. 6 ст. 63 ГК РФ</w:t>
            </w:r>
            <w:r/>
          </w:p>
        </w:tc>
      </w:tr>
      <w:tr>
        <w:tblPrEx/>
        <w:trPr>
          <w:trHeight w:val="15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both"/>
            </w:pPr>
            <w:r>
              <w:t xml:space="preserve">16</w:t>
            </w:r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Сдача документов постоянного срока хранения и по личному составу на архивное хранение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</w:t>
            </w:r>
            <w:r>
              <w:t xml:space="preserve">.</w:t>
            </w:r>
            <w:r/>
          </w:p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В течение 7 рабочих дней со дня утверждения ликвидационного баланса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с</w:t>
            </w:r>
            <w:r>
              <w:t xml:space="preserve">т. 23 ФЗ </w:t>
              <w:br/>
              <w:t xml:space="preserve">от 22.10.2004 № 125-ФЗ «Об архивном деле в РФ»</w:t>
            </w:r>
            <w:r/>
          </w:p>
        </w:tc>
      </w:tr>
      <w:tr>
        <w:tblPrEx/>
        <w:trPr>
          <w:trHeight w:val="19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both"/>
            </w:pPr>
            <w:r>
              <w:t xml:space="preserve">1</w:t>
            </w: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У</w:t>
            </w:r>
            <w:r>
              <w:t xml:space="preserve">ведомлени</w:t>
            </w:r>
            <w:r>
              <w:t xml:space="preserve">е</w:t>
            </w:r>
            <w:r>
              <w:t xml:space="preserve">  уполномоченн</w:t>
            </w:r>
            <w:r>
              <w:t xml:space="preserve">ого </w:t>
            </w:r>
            <w:r>
              <w:t xml:space="preserve">государственн</w:t>
            </w:r>
            <w:r>
              <w:t xml:space="preserve">ого</w:t>
            </w:r>
            <w:r>
              <w:t xml:space="preserve"> орган</w:t>
            </w:r>
            <w:r>
              <w:t xml:space="preserve">а</w:t>
            </w:r>
            <w:r>
              <w:t xml:space="preserve">, осуществляющ</w:t>
            </w:r>
            <w:r>
              <w:t xml:space="preserve">его</w:t>
            </w:r>
            <w:r>
              <w:t xml:space="preserve"> государственную регистрацию юридических лиц</w:t>
            </w:r>
            <w:r>
              <w:t xml:space="preserve">,</w:t>
            </w:r>
            <w:r>
              <w:t xml:space="preserve"> </w:t>
            </w:r>
            <w:r>
              <w:t xml:space="preserve">о завершении процесса ликвидации </w:t>
            </w:r>
            <w:r>
              <w:t xml:space="preserve">Предприятия</w:t>
            </w:r>
            <w:r>
              <w:t xml:space="preserve"> с подачей заявления по форме </w:t>
              <w:br/>
              <w:t xml:space="preserve">№ </w:t>
            </w:r>
            <w:r>
              <w:t xml:space="preserve">15016</w:t>
            </w:r>
            <w:r>
              <w:t xml:space="preserve"> </w:t>
            </w:r>
            <w:r>
              <w:t xml:space="preserve">с</w:t>
            </w:r>
            <w:r>
              <w:t xml:space="preserve"> </w:t>
            </w:r>
            <w:r>
              <w:t xml:space="preserve">приложением</w:t>
            </w:r>
            <w:r>
              <w:t xml:space="preserve"> необходимых документов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В.А., Самойлов С.А</w:t>
            </w:r>
            <w:r>
              <w:t xml:space="preserve">.</w:t>
            </w:r>
            <w:r/>
          </w:p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>
              <w:t xml:space="preserve">После завершения процесса ликвидации, в течени</w:t>
            </w:r>
            <w:r>
              <w:t xml:space="preserve">е</w:t>
            </w:r>
            <w:r>
              <w:t xml:space="preserve"> 10 календарных дней после утверждения ликвидационного баланса, но не ранее чем через два месяца с момента помещения в </w:t>
            </w:r>
            <w:r>
              <w:t xml:space="preserve">журнале «Вестник государственной регистрации»</w:t>
            </w:r>
            <w:r>
              <w:t xml:space="preserve"> </w:t>
            </w:r>
            <w:r>
              <w:t xml:space="preserve">ликвидационной комиссией публикации о ликвидации юридического лица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>
              <w:t xml:space="preserve">с</w:t>
            </w:r>
            <w:r>
              <w:t xml:space="preserve">т. 21,22 ФЗ № 129-ФЗ</w:t>
            </w:r>
            <w:r/>
          </w:p>
        </w:tc>
      </w:tr>
      <w:tr>
        <w:tblPrEx/>
        <w:trPr>
          <w:trHeight w:val="19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0" w:type="dxa"/>
            <w:textDirection w:val="lrTb"/>
            <w:noWrap w:val="false"/>
          </w:tcPr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1</w:t>
            </w:r>
            <w:r>
              <w:t xml:space="preserve">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81" w:type="dxa"/>
            <w:textDirection w:val="lrTb"/>
            <w:noWrap w:val="false"/>
          </w:tcPr>
          <w:p>
            <w:pPr>
              <w:jc w:val="both"/>
            </w:pPr>
            <w:r>
              <w:t xml:space="preserve">Представление Учредителю листа записи ЕГРЮЛ об исключении М</w:t>
            </w:r>
            <w:r>
              <w:t xml:space="preserve">КП «Жилищное хозяйство» Печенгского муниципального округа </w:t>
            </w:r>
            <w:r>
              <w:t xml:space="preserve">из Единого государственного реестра юридических лиц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</w:pPr>
            <w:r>
              <w:t xml:space="preserve">Веверица В.А</w:t>
            </w:r>
            <w:r>
              <w:t xml:space="preserve">.</w:t>
            </w:r>
            <w:r/>
          </w:p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</w:tbl>
    <w:p>
      <w:pPr>
        <w:jc w:val="both"/>
      </w:pPr>
      <w:r/>
      <w:r/>
    </w:p>
    <w:p>
      <w:pPr>
        <w:widowControl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571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1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4815" w:hanging="1395"/>
      </w:pPr>
    </w:lvl>
    <w:lvl w:ilvl="2">
      <w:start w:val="1"/>
      <w:numFmt w:val="decimal"/>
      <w:isLgl/>
      <w:suff w:val="tab"/>
      <w:lvlText w:val="%1.%2.%3."/>
      <w:lvlJc w:val="left"/>
      <w:pPr>
        <w:ind w:left="2388" w:hanging="1395"/>
      </w:pPr>
    </w:lvl>
    <w:lvl w:ilvl="3">
      <w:start w:val="1"/>
      <w:numFmt w:val="decimal"/>
      <w:isLgl/>
      <w:suff w:val="tab"/>
      <w:lvlText w:val="%1.%2.%3.%4."/>
      <w:lvlJc w:val="left"/>
      <w:pPr>
        <w:ind w:left="2865" w:hanging="1395"/>
      </w:pPr>
    </w:lvl>
    <w:lvl w:ilvl="4">
      <w:start w:val="1"/>
      <w:numFmt w:val="decimal"/>
      <w:isLgl/>
      <w:suff w:val="tab"/>
      <w:lvlText w:val="%1.%2.%3.%4.%5."/>
      <w:lvlJc w:val="left"/>
      <w:pPr>
        <w:ind w:left="3235" w:hanging="1395"/>
      </w:pPr>
    </w:lvl>
    <w:lvl w:ilvl="5">
      <w:start w:val="1"/>
      <w:numFmt w:val="decimal"/>
      <w:isLgl/>
      <w:suff w:val="tab"/>
      <w:lvlText w:val="%1.%2.%3.%4.%5.%6."/>
      <w:lvlJc w:val="left"/>
      <w:pPr>
        <w:ind w:left="3605" w:hanging="1395"/>
      </w:pPr>
    </w:lvl>
    <w:lvl w:ilvl="6">
      <w:start w:val="1"/>
      <w:numFmt w:val="decimal"/>
      <w:isLgl/>
      <w:suff w:val="tab"/>
      <w:lvlText w:val="%1.%2.%3.%4.%5.%6.%7."/>
      <w:lvlJc w:val="left"/>
      <w:pPr>
        <w:ind w:left="402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439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5120" w:hanging="180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4815" w:hanging="1395"/>
      </w:pPr>
    </w:lvl>
    <w:lvl w:ilvl="2">
      <w:start w:val="1"/>
      <w:numFmt w:val="decimal"/>
      <w:isLgl/>
      <w:suff w:val="tab"/>
      <w:lvlText w:val="%1.%2.%3."/>
      <w:lvlJc w:val="left"/>
      <w:pPr>
        <w:ind w:left="2388" w:hanging="1395"/>
      </w:pPr>
    </w:lvl>
    <w:lvl w:ilvl="3">
      <w:start w:val="1"/>
      <w:numFmt w:val="decimal"/>
      <w:isLgl/>
      <w:suff w:val="tab"/>
      <w:lvlText w:val="%1.%2.%3.%4."/>
      <w:lvlJc w:val="left"/>
      <w:pPr>
        <w:ind w:left="2865" w:hanging="1395"/>
      </w:pPr>
    </w:lvl>
    <w:lvl w:ilvl="4">
      <w:start w:val="1"/>
      <w:numFmt w:val="decimal"/>
      <w:isLgl/>
      <w:suff w:val="tab"/>
      <w:lvlText w:val="%1.%2.%3.%4.%5."/>
      <w:lvlJc w:val="left"/>
      <w:pPr>
        <w:ind w:left="3235" w:hanging="1395"/>
      </w:pPr>
    </w:lvl>
    <w:lvl w:ilvl="5">
      <w:start w:val="1"/>
      <w:numFmt w:val="decimal"/>
      <w:isLgl/>
      <w:suff w:val="tab"/>
      <w:lvlText w:val="%1.%2.%3.%4.%5.%6."/>
      <w:lvlJc w:val="left"/>
      <w:pPr>
        <w:ind w:left="3605" w:hanging="1395"/>
      </w:pPr>
    </w:lvl>
    <w:lvl w:ilvl="6">
      <w:start w:val="1"/>
      <w:numFmt w:val="decimal"/>
      <w:isLgl/>
      <w:suff w:val="tab"/>
      <w:lvlText w:val="%1.%2.%3.%4.%5.%6.%7."/>
      <w:lvlJc w:val="left"/>
      <w:pPr>
        <w:ind w:left="402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439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5120" w:hanging="180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5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7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9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1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3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5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7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9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1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1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571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-"/>
      <w:lvlJc w:val="left"/>
      <w:pPr>
        <w:ind w:left="2291" w:hanging="360"/>
      </w:pPr>
      <w:rPr>
        <w:rFonts w:hint="default" w:ascii="Times New Roman" w:hAnsi="Times New Roman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8.%1."/>
      <w:legacy w:legacy="1" w:legacyIndent="614" w:legacySpace="0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2.3.%1."/>
      <w:lvlJc w:val="left"/>
      <w:pPr>
        <w:ind w:left="1495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1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3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5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7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9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1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3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55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</w:num>
  <w:num w:numId="4">
    <w:abstractNumId w:val="1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1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3"/>
  </w:num>
  <w:num w:numId="9">
    <w:abstractNumId w:val="0"/>
  </w:num>
  <w:num w:numId="10">
    <w:abstractNumId w:val="16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4"/>
  </w:num>
  <w:num w:numId="14">
    <w:abstractNumId w:val="9"/>
  </w:num>
  <w:num w:numId="15">
    <w:abstractNumId w:val="1"/>
  </w:num>
  <w:num w:numId="16">
    <w:abstractNumId w:val="20"/>
  </w:num>
  <w:num w:numId="17">
    <w:abstractNumId w:val="22"/>
  </w:num>
  <w:num w:numId="18">
    <w:abstractNumId w:val="5"/>
  </w:num>
  <w:num w:numId="19">
    <w:abstractNumId w:val="18"/>
  </w:num>
  <w:num w:numId="20">
    <w:abstractNumId w:val="19"/>
  </w:num>
  <w:num w:numId="21">
    <w:abstractNumId w:val="0"/>
  </w:num>
  <w:num w:numId="22">
    <w:abstractNumId w:val="12"/>
  </w:num>
  <w:num w:numId="23">
    <w:abstractNumId w:val="15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1">
    <w:name w:val="Heading 1 Char"/>
    <w:basedOn w:val="877"/>
    <w:link w:val="875"/>
    <w:uiPriority w:val="9"/>
    <w:rPr>
      <w:rFonts w:ascii="Arial" w:hAnsi="Arial" w:eastAsia="Arial" w:cs="Arial"/>
      <w:sz w:val="40"/>
      <w:szCs w:val="40"/>
    </w:rPr>
  </w:style>
  <w:style w:type="paragraph" w:styleId="702">
    <w:name w:val="Heading 2"/>
    <w:basedOn w:val="874"/>
    <w:next w:val="874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3">
    <w:name w:val="Heading 2 Char"/>
    <w:basedOn w:val="877"/>
    <w:link w:val="702"/>
    <w:uiPriority w:val="9"/>
    <w:rPr>
      <w:rFonts w:ascii="Arial" w:hAnsi="Arial" w:eastAsia="Arial" w:cs="Arial"/>
      <w:sz w:val="34"/>
    </w:rPr>
  </w:style>
  <w:style w:type="paragraph" w:styleId="704">
    <w:name w:val="Heading 3"/>
    <w:basedOn w:val="874"/>
    <w:next w:val="874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5">
    <w:name w:val="Heading 3 Char"/>
    <w:basedOn w:val="877"/>
    <w:link w:val="704"/>
    <w:uiPriority w:val="9"/>
    <w:rPr>
      <w:rFonts w:ascii="Arial" w:hAnsi="Arial" w:eastAsia="Arial" w:cs="Arial"/>
      <w:sz w:val="30"/>
      <w:szCs w:val="30"/>
    </w:rPr>
  </w:style>
  <w:style w:type="character" w:styleId="706">
    <w:name w:val="Heading 4 Char"/>
    <w:basedOn w:val="877"/>
    <w:link w:val="876"/>
    <w:uiPriority w:val="9"/>
    <w:rPr>
      <w:rFonts w:ascii="Arial" w:hAnsi="Arial" w:eastAsia="Arial" w:cs="Arial"/>
      <w:b/>
      <w:bCs/>
      <w:sz w:val="26"/>
      <w:szCs w:val="26"/>
    </w:rPr>
  </w:style>
  <w:style w:type="paragraph" w:styleId="707">
    <w:name w:val="Heading 5"/>
    <w:basedOn w:val="874"/>
    <w:next w:val="874"/>
    <w:link w:val="70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8">
    <w:name w:val="Heading 5 Char"/>
    <w:basedOn w:val="877"/>
    <w:link w:val="707"/>
    <w:uiPriority w:val="9"/>
    <w:rPr>
      <w:rFonts w:ascii="Arial" w:hAnsi="Arial" w:eastAsia="Arial" w:cs="Arial"/>
      <w:b/>
      <w:bCs/>
      <w:sz w:val="24"/>
      <w:szCs w:val="24"/>
    </w:rPr>
  </w:style>
  <w:style w:type="paragraph" w:styleId="709">
    <w:name w:val="Heading 6"/>
    <w:basedOn w:val="874"/>
    <w:next w:val="874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0">
    <w:name w:val="Heading 6 Char"/>
    <w:basedOn w:val="877"/>
    <w:link w:val="709"/>
    <w:uiPriority w:val="9"/>
    <w:rPr>
      <w:rFonts w:ascii="Arial" w:hAnsi="Arial" w:eastAsia="Arial" w:cs="Arial"/>
      <w:b/>
      <w:bCs/>
      <w:sz w:val="22"/>
      <w:szCs w:val="22"/>
    </w:rPr>
  </w:style>
  <w:style w:type="paragraph" w:styleId="711">
    <w:name w:val="Heading 7"/>
    <w:basedOn w:val="874"/>
    <w:next w:val="874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7 Char"/>
    <w:basedOn w:val="877"/>
    <w:link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3">
    <w:name w:val="Heading 8"/>
    <w:basedOn w:val="874"/>
    <w:next w:val="874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4">
    <w:name w:val="Heading 8 Char"/>
    <w:basedOn w:val="877"/>
    <w:link w:val="713"/>
    <w:uiPriority w:val="9"/>
    <w:rPr>
      <w:rFonts w:ascii="Arial" w:hAnsi="Arial" w:eastAsia="Arial" w:cs="Arial"/>
      <w:i/>
      <w:iCs/>
      <w:sz w:val="22"/>
      <w:szCs w:val="22"/>
    </w:rPr>
  </w:style>
  <w:style w:type="paragraph" w:styleId="715">
    <w:name w:val="Heading 9"/>
    <w:basedOn w:val="874"/>
    <w:next w:val="874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>
    <w:name w:val="Heading 9 Char"/>
    <w:basedOn w:val="877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17">
    <w:name w:val="No Spacing"/>
    <w:uiPriority w:val="1"/>
    <w:qFormat/>
    <w:pPr>
      <w:spacing w:before="0" w:after="0" w:line="240" w:lineRule="auto"/>
    </w:pPr>
  </w:style>
  <w:style w:type="paragraph" w:styleId="718">
    <w:name w:val="Title"/>
    <w:basedOn w:val="874"/>
    <w:next w:val="874"/>
    <w:link w:val="7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9">
    <w:name w:val="Title Char"/>
    <w:basedOn w:val="877"/>
    <w:link w:val="718"/>
    <w:uiPriority w:val="10"/>
    <w:rPr>
      <w:sz w:val="48"/>
      <w:szCs w:val="48"/>
    </w:rPr>
  </w:style>
  <w:style w:type="paragraph" w:styleId="720">
    <w:name w:val="Subtitle"/>
    <w:basedOn w:val="874"/>
    <w:next w:val="874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>
    <w:name w:val="Subtitle Char"/>
    <w:basedOn w:val="877"/>
    <w:link w:val="720"/>
    <w:uiPriority w:val="11"/>
    <w:rPr>
      <w:sz w:val="24"/>
      <w:szCs w:val="24"/>
    </w:rPr>
  </w:style>
  <w:style w:type="paragraph" w:styleId="722">
    <w:name w:val="Quote"/>
    <w:basedOn w:val="874"/>
    <w:next w:val="874"/>
    <w:link w:val="723"/>
    <w:uiPriority w:val="29"/>
    <w:qFormat/>
    <w:pPr>
      <w:ind w:left="720" w:right="720"/>
    </w:pPr>
    <w:rPr>
      <w:i/>
    </w:rPr>
  </w:style>
  <w:style w:type="character" w:styleId="723">
    <w:name w:val="Quote Char"/>
    <w:link w:val="722"/>
    <w:uiPriority w:val="29"/>
    <w:rPr>
      <w:i/>
    </w:rPr>
  </w:style>
  <w:style w:type="paragraph" w:styleId="724">
    <w:name w:val="Intense Quote"/>
    <w:basedOn w:val="874"/>
    <w:next w:val="874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>
    <w:name w:val="Intense Quote Char"/>
    <w:link w:val="724"/>
    <w:uiPriority w:val="30"/>
    <w:rPr>
      <w:i/>
    </w:rPr>
  </w:style>
  <w:style w:type="paragraph" w:styleId="726">
    <w:name w:val="Header"/>
    <w:basedOn w:val="874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877"/>
    <w:link w:val="726"/>
    <w:uiPriority w:val="99"/>
  </w:style>
  <w:style w:type="paragraph" w:styleId="728">
    <w:name w:val="Footer"/>
    <w:basedOn w:val="874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877"/>
    <w:link w:val="728"/>
    <w:uiPriority w:val="99"/>
  </w:style>
  <w:style w:type="paragraph" w:styleId="730">
    <w:name w:val="Caption"/>
    <w:basedOn w:val="874"/>
    <w:next w:val="8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basedOn w:val="730"/>
    <w:link w:val="728"/>
    <w:uiPriority w:val="99"/>
  </w:style>
  <w:style w:type="table" w:styleId="732">
    <w:name w:val="Table Grid Light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Plain Table 1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2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>
    <w:name w:val="Grid Table 4 - Accent 1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1">
    <w:name w:val="Grid Table 4 - Accent 2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Grid Table 4 - Accent 3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3">
    <w:name w:val="Grid Table 4 - Accent 4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Grid Table 4 - Accent 5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5">
    <w:name w:val="Grid Table 4 - Accent 6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6">
    <w:name w:val="Grid Table 5 Dark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3">
    <w:name w:val="Grid Table 6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4">
    <w:name w:val="Grid Table 6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5">
    <w:name w:val="Grid Table 6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6">
    <w:name w:val="Grid Table 6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7">
    <w:name w:val="Grid Table 6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8">
    <w:name w:val="Grid Table 6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6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7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2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6">
    <w:name w:val="List Table 2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7">
    <w:name w:val="List Table 2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8">
    <w:name w:val="List Table 2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9">
    <w:name w:val="List Table 2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0">
    <w:name w:val="List Table 2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6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3">
    <w:name w:val="List Table 6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4">
    <w:name w:val="List Table 6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List Table 6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6">
    <w:name w:val="List Table 6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List Table 6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8">
    <w:name w:val="List Table 6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9">
    <w:name w:val="List Table 7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0">
    <w:name w:val="List Table 7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1">
    <w:name w:val="List Table 7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2">
    <w:name w:val="List Table 7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3">
    <w:name w:val="List Table 7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4">
    <w:name w:val="List Table 7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5">
    <w:name w:val="List Table 7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6">
    <w:name w:val="Lined - Accent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Lined - Accent 1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Lined - Accent 2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Lined - Accent 3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Lined - Accent 4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Lined - Accent 5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Lined - Accent 6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 &amp; Lined - Accent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Bordered &amp; Lined - Accent 1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Bordered &amp; Lined - Accent 2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Bordered &amp; Lined - Accent 3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Bordered &amp; Lined - Accent 4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Bordered &amp; Lined - Accent 5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Bordered &amp; Lined - Accent 6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1">
    <w:name w:val="Bordered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2">
    <w:name w:val="Bordered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3">
    <w:name w:val="Bordered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4">
    <w:name w:val="Bordered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5">
    <w:name w:val="Bordered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6">
    <w:name w:val="Bordered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7">
    <w:name w:val="footnote text"/>
    <w:basedOn w:val="874"/>
    <w:link w:val="858"/>
    <w:uiPriority w:val="99"/>
    <w:semiHidden/>
    <w:unhideWhenUsed/>
    <w:pPr>
      <w:spacing w:after="40" w:line="240" w:lineRule="auto"/>
    </w:pPr>
    <w:rPr>
      <w:sz w:val="18"/>
    </w:rPr>
  </w:style>
  <w:style w:type="character" w:styleId="858">
    <w:name w:val="Footnote Text Char"/>
    <w:link w:val="857"/>
    <w:uiPriority w:val="99"/>
    <w:rPr>
      <w:sz w:val="18"/>
    </w:rPr>
  </w:style>
  <w:style w:type="character" w:styleId="859">
    <w:name w:val="footnote reference"/>
    <w:basedOn w:val="877"/>
    <w:uiPriority w:val="99"/>
    <w:unhideWhenUsed/>
    <w:rPr>
      <w:vertAlign w:val="superscript"/>
    </w:rPr>
  </w:style>
  <w:style w:type="paragraph" w:styleId="860">
    <w:name w:val="endnote text"/>
    <w:basedOn w:val="874"/>
    <w:link w:val="861"/>
    <w:uiPriority w:val="99"/>
    <w:semiHidden/>
    <w:unhideWhenUsed/>
    <w:pPr>
      <w:spacing w:after="0" w:line="240" w:lineRule="auto"/>
    </w:pPr>
    <w:rPr>
      <w:sz w:val="20"/>
    </w:rPr>
  </w:style>
  <w:style w:type="character" w:styleId="861">
    <w:name w:val="Endnote Text Char"/>
    <w:link w:val="860"/>
    <w:uiPriority w:val="99"/>
    <w:rPr>
      <w:sz w:val="20"/>
    </w:rPr>
  </w:style>
  <w:style w:type="character" w:styleId="862">
    <w:name w:val="endnote reference"/>
    <w:basedOn w:val="877"/>
    <w:uiPriority w:val="99"/>
    <w:semiHidden/>
    <w:unhideWhenUsed/>
    <w:rPr>
      <w:vertAlign w:val="superscript"/>
    </w:rPr>
  </w:style>
  <w:style w:type="paragraph" w:styleId="863">
    <w:name w:val="toc 1"/>
    <w:basedOn w:val="874"/>
    <w:next w:val="874"/>
    <w:uiPriority w:val="39"/>
    <w:unhideWhenUsed/>
    <w:pPr>
      <w:ind w:left="0" w:right="0" w:firstLine="0"/>
      <w:spacing w:after="57"/>
    </w:pPr>
  </w:style>
  <w:style w:type="paragraph" w:styleId="864">
    <w:name w:val="toc 2"/>
    <w:basedOn w:val="874"/>
    <w:next w:val="874"/>
    <w:uiPriority w:val="39"/>
    <w:unhideWhenUsed/>
    <w:pPr>
      <w:ind w:left="283" w:right="0" w:firstLine="0"/>
      <w:spacing w:after="57"/>
    </w:pPr>
  </w:style>
  <w:style w:type="paragraph" w:styleId="865">
    <w:name w:val="toc 3"/>
    <w:basedOn w:val="874"/>
    <w:next w:val="874"/>
    <w:uiPriority w:val="39"/>
    <w:unhideWhenUsed/>
    <w:pPr>
      <w:ind w:left="567" w:right="0" w:firstLine="0"/>
      <w:spacing w:after="57"/>
    </w:pPr>
  </w:style>
  <w:style w:type="paragraph" w:styleId="866">
    <w:name w:val="toc 4"/>
    <w:basedOn w:val="874"/>
    <w:next w:val="874"/>
    <w:uiPriority w:val="39"/>
    <w:unhideWhenUsed/>
    <w:pPr>
      <w:ind w:left="850" w:right="0" w:firstLine="0"/>
      <w:spacing w:after="57"/>
    </w:pPr>
  </w:style>
  <w:style w:type="paragraph" w:styleId="867">
    <w:name w:val="toc 5"/>
    <w:basedOn w:val="874"/>
    <w:next w:val="874"/>
    <w:uiPriority w:val="39"/>
    <w:unhideWhenUsed/>
    <w:pPr>
      <w:ind w:left="1134" w:right="0" w:firstLine="0"/>
      <w:spacing w:after="57"/>
    </w:pPr>
  </w:style>
  <w:style w:type="paragraph" w:styleId="868">
    <w:name w:val="toc 6"/>
    <w:basedOn w:val="874"/>
    <w:next w:val="874"/>
    <w:uiPriority w:val="39"/>
    <w:unhideWhenUsed/>
    <w:pPr>
      <w:ind w:left="1417" w:right="0" w:firstLine="0"/>
      <w:spacing w:after="57"/>
    </w:pPr>
  </w:style>
  <w:style w:type="paragraph" w:styleId="869">
    <w:name w:val="toc 7"/>
    <w:basedOn w:val="874"/>
    <w:next w:val="874"/>
    <w:uiPriority w:val="39"/>
    <w:unhideWhenUsed/>
    <w:pPr>
      <w:ind w:left="1701" w:right="0" w:firstLine="0"/>
      <w:spacing w:after="57"/>
    </w:pPr>
  </w:style>
  <w:style w:type="paragraph" w:styleId="870">
    <w:name w:val="toc 8"/>
    <w:basedOn w:val="874"/>
    <w:next w:val="874"/>
    <w:uiPriority w:val="39"/>
    <w:unhideWhenUsed/>
    <w:pPr>
      <w:ind w:left="1984" w:right="0" w:firstLine="0"/>
      <w:spacing w:after="57"/>
    </w:pPr>
  </w:style>
  <w:style w:type="paragraph" w:styleId="871">
    <w:name w:val="toc 9"/>
    <w:basedOn w:val="874"/>
    <w:next w:val="874"/>
    <w:uiPriority w:val="39"/>
    <w:unhideWhenUsed/>
    <w:pPr>
      <w:ind w:left="2268" w:right="0" w:firstLine="0"/>
      <w:spacing w:after="57"/>
    </w:pPr>
  </w:style>
  <w:style w:type="paragraph" w:styleId="872">
    <w:name w:val="TOC Heading"/>
    <w:uiPriority w:val="39"/>
    <w:unhideWhenUsed/>
  </w:style>
  <w:style w:type="paragraph" w:styleId="873">
    <w:name w:val="table of figures"/>
    <w:basedOn w:val="874"/>
    <w:next w:val="874"/>
    <w:uiPriority w:val="99"/>
    <w:unhideWhenUsed/>
    <w:pPr>
      <w:spacing w:after="0" w:afterAutospacing="0"/>
    </w:pPr>
  </w:style>
  <w:style w:type="paragraph" w:styleId="874" w:default="1">
    <w:name w:val="Normal"/>
    <w:qFormat/>
    <w:pPr>
      <w:widowControl w:val="off"/>
    </w:pPr>
    <w:rPr>
      <w:rFonts w:ascii="Times New Roman" w:hAnsi="Times New Roman" w:eastAsia="Times New Roman"/>
      <w:sz w:val="24"/>
      <w:szCs w:val="24"/>
    </w:rPr>
  </w:style>
  <w:style w:type="paragraph" w:styleId="875">
    <w:name w:val="Heading 1"/>
    <w:basedOn w:val="874"/>
    <w:next w:val="874"/>
    <w:link w:val="896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76">
    <w:name w:val="Heading 4"/>
    <w:basedOn w:val="874"/>
    <w:next w:val="874"/>
    <w:link w:val="893"/>
    <w:semiHidden/>
    <w:unhideWhenUsed/>
    <w:qFormat/>
    <w:pPr>
      <w:ind w:firstLine="709"/>
      <w:keepNext/>
      <w:widowControl/>
      <w:outlineLvl w:val="3"/>
    </w:pPr>
    <w:rPr>
      <w:color w:val="000000"/>
      <w:sz w:val="28"/>
      <w:szCs w:val="20"/>
    </w:rPr>
  </w:style>
  <w:style w:type="character" w:styleId="877" w:default="1">
    <w:name w:val="Default Paragraph Font"/>
    <w:uiPriority w:val="1"/>
    <w:semiHidden/>
    <w:unhideWhenUsed/>
  </w:style>
  <w:style w:type="table" w:styleId="8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9" w:default="1">
    <w:name w:val="No List"/>
    <w:uiPriority w:val="99"/>
    <w:semiHidden/>
    <w:unhideWhenUsed/>
  </w:style>
  <w:style w:type="paragraph" w:styleId="880" w:customStyle="1">
    <w:name w:val="Style6"/>
    <w:basedOn w:val="874"/>
    <w:pPr>
      <w:ind w:firstLine="730"/>
      <w:jc w:val="both"/>
      <w:spacing w:line="324" w:lineRule="exact"/>
    </w:pPr>
  </w:style>
  <w:style w:type="character" w:styleId="881" w:customStyle="1">
    <w:name w:val="Font Style12"/>
    <w:rPr>
      <w:rFonts w:hint="default" w:ascii="Times New Roman" w:hAnsi="Times New Roman" w:cs="Times New Roman"/>
      <w:b/>
      <w:bCs/>
      <w:sz w:val="24"/>
      <w:szCs w:val="24"/>
    </w:rPr>
  </w:style>
  <w:style w:type="paragraph" w:styleId="882" w:customStyle="1">
    <w:name w:val="Style1"/>
    <w:basedOn w:val="874"/>
    <w:pPr>
      <w:ind w:firstLine="432"/>
      <w:jc w:val="both"/>
      <w:spacing w:line="317" w:lineRule="exact"/>
    </w:pPr>
  </w:style>
  <w:style w:type="paragraph" w:styleId="883" w:customStyle="1">
    <w:name w:val="Style4"/>
    <w:basedOn w:val="874"/>
    <w:pPr>
      <w:jc w:val="center"/>
      <w:spacing w:line="324" w:lineRule="exact"/>
    </w:pPr>
  </w:style>
  <w:style w:type="paragraph" w:styleId="884" w:customStyle="1">
    <w:name w:val="Style5"/>
    <w:basedOn w:val="874"/>
    <w:pPr>
      <w:ind w:firstLine="1306"/>
      <w:jc w:val="both"/>
      <w:spacing w:line="322" w:lineRule="exact"/>
    </w:pPr>
  </w:style>
  <w:style w:type="paragraph" w:styleId="885" w:customStyle="1">
    <w:name w:val="Style7"/>
    <w:basedOn w:val="874"/>
    <w:pPr>
      <w:ind w:firstLine="701"/>
      <w:jc w:val="both"/>
      <w:spacing w:line="322" w:lineRule="exact"/>
    </w:pPr>
  </w:style>
  <w:style w:type="paragraph" w:styleId="886" w:customStyle="1">
    <w:name w:val="Style8"/>
    <w:basedOn w:val="874"/>
    <w:pPr>
      <w:ind w:firstLine="422"/>
      <w:spacing w:line="322" w:lineRule="exact"/>
    </w:pPr>
  </w:style>
  <w:style w:type="paragraph" w:styleId="887" w:customStyle="1">
    <w:name w:val="Style9"/>
    <w:basedOn w:val="874"/>
    <w:pPr>
      <w:ind w:firstLine="1133"/>
      <w:jc w:val="both"/>
      <w:spacing w:line="317" w:lineRule="exact"/>
    </w:pPr>
  </w:style>
  <w:style w:type="paragraph" w:styleId="888" w:customStyle="1">
    <w:name w:val="Style10"/>
    <w:basedOn w:val="874"/>
    <w:pPr>
      <w:ind w:firstLine="528"/>
      <w:spacing w:line="317" w:lineRule="exact"/>
    </w:pPr>
  </w:style>
  <w:style w:type="character" w:styleId="889" w:customStyle="1">
    <w:name w:val="Font Style13"/>
    <w:rPr>
      <w:rFonts w:hint="default" w:ascii="Times New Roman" w:hAnsi="Times New Roman" w:cs="Times New Roman"/>
      <w:sz w:val="24"/>
      <w:szCs w:val="24"/>
    </w:rPr>
  </w:style>
  <w:style w:type="paragraph" w:styleId="890">
    <w:name w:val="List Paragraph"/>
    <w:basedOn w:val="874"/>
    <w:uiPriority w:val="34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891">
    <w:name w:val="Balloon Text"/>
    <w:basedOn w:val="874"/>
    <w:link w:val="892"/>
    <w:uiPriority w:val="99"/>
    <w:semiHidden/>
    <w:unhideWhenUsed/>
    <w:rPr>
      <w:rFonts w:ascii="Tahoma" w:hAnsi="Tahoma" w:cs="Tahoma"/>
      <w:sz w:val="16"/>
      <w:szCs w:val="16"/>
    </w:rPr>
  </w:style>
  <w:style w:type="character" w:styleId="892" w:customStyle="1">
    <w:name w:val="Текст выноски Знак"/>
    <w:link w:val="89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3" w:customStyle="1">
    <w:name w:val="Заголовок 4 Знак"/>
    <w:link w:val="876"/>
    <w:semiHidden/>
    <w:rPr>
      <w:rFonts w:ascii="Times New Roman" w:hAnsi="Times New Roman" w:eastAsia="Times New Roman"/>
      <w:color w:val="000000"/>
      <w:sz w:val="28"/>
    </w:rPr>
  </w:style>
  <w:style w:type="character" w:styleId="894">
    <w:name w:val="Hyperlink"/>
    <w:uiPriority w:val="99"/>
    <w:unhideWhenUsed/>
    <w:rPr>
      <w:color w:val="0000ff"/>
      <w:u w:val="single"/>
    </w:rPr>
  </w:style>
  <w:style w:type="table" w:styleId="895">
    <w:name w:val="Table Grid"/>
    <w:basedOn w:val="87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6" w:customStyle="1">
    <w:name w:val="Заголовок 1 Знак"/>
    <w:basedOn w:val="877"/>
    <w:link w:val="87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97" w:customStyle="1">
    <w:name w:val="ConsPlusCell"/>
    <w:pPr>
      <w:widowControl w:val="off"/>
    </w:pPr>
    <w:rPr>
      <w:rFonts w:ascii="Arial" w:hAnsi="Arial" w:eastAsia="Times New Roman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3135C-4A6B-4C3D-AED1-DF29C29CD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Лобанова Марина Александровна</dc:creator>
  <cp:revision>10</cp:revision>
  <dcterms:created xsi:type="dcterms:W3CDTF">2025-11-28T12:52:00Z</dcterms:created>
  <dcterms:modified xsi:type="dcterms:W3CDTF">2026-01-14T11:24:00Z</dcterms:modified>
</cp:coreProperties>
</file>