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rPr>
      </w:r>
      <w:r>
        <w:rPr>
          <w:b/>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44"/>
          <w:szCs w:val="44"/>
        </w:rPr>
      </w:pPr>
      <w:r>
        <w:rPr>
          <w:b/>
          <w:sz w:val="44"/>
          <w:szCs w:val="44"/>
        </w:rPr>
        <w:t xml:space="preserve">АДМИНИСТРАЦИЯ </w:t>
      </w:r>
      <w:r>
        <w:rPr>
          <w:b/>
          <w:sz w:val="44"/>
          <w:szCs w:val="44"/>
        </w:rPr>
      </w:r>
      <w:r>
        <w:rPr>
          <w:b/>
          <w:sz w:val="44"/>
          <w:szCs w:val="44"/>
        </w:rPr>
      </w:r>
    </w:p>
    <w:p>
      <w:pPr>
        <w:jc w:val="center"/>
        <w:rPr>
          <w:b/>
          <w:sz w:val="28"/>
        </w:rPr>
      </w:pPr>
      <w:r>
        <w:rPr>
          <w:b/>
          <w:sz w:val="28"/>
        </w:rPr>
        <w:t xml:space="preserve">ПЕЧЕНГСКОГО МУНИЦИПАЛЬНОГО ОКРУГА</w:t>
      </w:r>
      <w:r>
        <w:rPr>
          <w:b/>
          <w:sz w:val="28"/>
        </w:rPr>
      </w:r>
      <w:r>
        <w:rPr>
          <w:b/>
          <w:sz w:val="28"/>
        </w:rPr>
      </w:r>
    </w:p>
    <w:p>
      <w:pPr>
        <w:jc w:val="center"/>
        <w:rPr>
          <w:b/>
          <w:sz w:val="28"/>
        </w:rPr>
      </w:pPr>
      <w:r>
        <w:rPr>
          <w:b/>
          <w:sz w:val="28"/>
        </w:rPr>
        <w:t xml:space="preserve">МУРМАНСКОЙ ОБЛАСТИ</w:t>
      </w:r>
      <w:r>
        <w:rPr>
          <w:b/>
          <w:sz w:val="28"/>
        </w:rPr>
      </w:r>
      <w:r>
        <w:rPr>
          <w:b/>
          <w:sz w:val="28"/>
        </w:rPr>
      </w:r>
    </w:p>
    <w:p>
      <w:pPr>
        <w:jc w:val="center"/>
        <w:rPr>
          <w:b/>
          <w:sz w:val="16"/>
          <w:szCs w:val="16"/>
        </w:rPr>
      </w:pPr>
      <w:r>
        <w:rPr>
          <w:b/>
          <w:sz w:val="16"/>
          <w:szCs w:val="16"/>
        </w:rPr>
      </w:r>
      <w:r>
        <w:rPr>
          <w:b/>
          <w:sz w:val="16"/>
          <w:szCs w:val="16"/>
        </w:rPr>
      </w:r>
      <w:r>
        <w:rPr>
          <w:b/>
          <w:sz w:val="16"/>
          <w:szCs w:val="16"/>
        </w:rPr>
      </w:r>
    </w:p>
    <w:p>
      <w:pPr>
        <w:jc w:val="center"/>
        <w:rPr>
          <w:b/>
          <w:sz w:val="44"/>
          <w:szCs w:val="44"/>
        </w:rPr>
      </w:pPr>
      <w:r>
        <w:rPr>
          <w:b/>
          <w:sz w:val="44"/>
          <w:szCs w:val="44"/>
        </w:rPr>
        <w:t xml:space="preserve">ПОСТАНОВЛЕНИЕ</w:t>
      </w:r>
      <w:r>
        <w:rPr>
          <w:b/>
          <w:sz w:val="44"/>
          <w:szCs w:val="44"/>
        </w:rPr>
      </w:r>
      <w:r>
        <w:rPr>
          <w:b/>
          <w:sz w:val="44"/>
          <w:szCs w:val="44"/>
        </w:rPr>
      </w:r>
    </w:p>
    <w:p>
      <w:pPr>
        <w:jc w:val="center"/>
      </w:pPr>
      <w:r/>
      <w:r/>
    </w:p>
    <w:p>
      <w:pPr>
        <w:jc w:val="center"/>
      </w:pPr>
      <w:r/>
      <w:r/>
    </w:p>
    <w:p>
      <w:pPr>
        <w:jc w:val="both"/>
        <w:rPr>
          <w:b/>
          <w:color w:val="000000"/>
          <w:szCs w:val="20"/>
        </w:rPr>
      </w:pPr>
      <w:r>
        <w:rPr>
          <w:b/>
          <w:color w:val="000000"/>
          <w:szCs w:val="20"/>
        </w:rPr>
        <w:t xml:space="preserve">о</w:t>
      </w:r>
      <w:r>
        <w:rPr>
          <w:b/>
          <w:color w:val="000000"/>
          <w:szCs w:val="20"/>
        </w:rPr>
        <w:t xml:space="preserve">т</w:t>
      </w:r>
      <w:r>
        <w:rPr>
          <w:b/>
          <w:color w:val="000000"/>
          <w:szCs w:val="20"/>
        </w:rPr>
        <w:t xml:space="preserve"> 03.01.2026</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 xml:space="preserve">             </w:t>
      </w:r>
      <w:r>
        <w:rPr>
          <w:b/>
          <w:color w:val="000000"/>
          <w:szCs w:val="20"/>
        </w:rPr>
        <w:tab/>
      </w:r>
      <w:r>
        <w:rPr>
          <w:b/>
          <w:color w:val="000000"/>
          <w:szCs w:val="20"/>
        </w:rPr>
        <w:t xml:space="preserve">   </w:t>
      </w:r>
      <w:r>
        <w:rPr>
          <w:b/>
          <w:color w:val="000000"/>
          <w:szCs w:val="20"/>
        </w:rPr>
        <w:t xml:space="preserve">  </w:t>
      </w:r>
      <w:r>
        <w:rPr>
          <w:b/>
          <w:color w:val="000000"/>
          <w:szCs w:val="20"/>
        </w:rPr>
        <w:t xml:space="preserve"> </w:t>
      </w:r>
      <w:r>
        <w:rPr>
          <w:b/>
          <w:color w:val="000000"/>
          <w:szCs w:val="20"/>
        </w:rPr>
        <w:t xml:space="preserve">№ </w:t>
      </w:r>
      <w:r>
        <w:rPr>
          <w:b/>
          <w:color w:val="000000"/>
          <w:szCs w:val="20"/>
        </w:rPr>
        <w:t xml:space="preserve">1</w:t>
      </w:r>
      <w:r>
        <w:rPr>
          <w:b/>
          <w:color w:val="000000"/>
          <w:szCs w:val="20"/>
        </w:rPr>
      </w:r>
      <w:r>
        <w:rPr>
          <w:b/>
          <w:color w:val="000000"/>
          <w:szCs w:val="20"/>
        </w:rPr>
      </w:r>
    </w:p>
    <w:p>
      <w:pPr>
        <w:jc w:val="center"/>
        <w:rPr>
          <w:b/>
          <w:color w:val="000000"/>
          <w:sz w:val="28"/>
          <w:szCs w:val="20"/>
        </w:rPr>
      </w:pPr>
      <w:r>
        <w:rPr>
          <w:b/>
          <w:color w:val="000000"/>
          <w:szCs w:val="20"/>
        </w:rPr>
        <w:t xml:space="preserve">п.г.т.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jc w:val="center"/>
        <w:widowControl/>
        <w:tabs>
          <w:tab w:val="left" w:pos="993" w:leader="none"/>
        </w:tabs>
        <w:rPr>
          <w:rFonts w:eastAsia="Calibri"/>
          <w:b/>
          <w:bCs/>
          <w:sz w:val="20"/>
          <w:szCs w:val="20"/>
        </w:rPr>
      </w:pPr>
      <w:r>
        <w:rPr>
          <w:rFonts w:eastAsia="Calibri"/>
          <w:b/>
          <w:bCs/>
          <w:sz w:val="20"/>
          <w:szCs w:val="20"/>
        </w:rPr>
        <w:t xml:space="preserve">О введении режима функционирования повышенной готовности для органов управления, сил</w:t>
      </w:r>
      <w:r>
        <w:rPr>
          <w:rFonts w:eastAsia="Calibri"/>
          <w:b/>
          <w:bCs/>
          <w:sz w:val="20"/>
          <w:szCs w:val="20"/>
        </w:rPr>
      </w:r>
      <w:r>
        <w:rPr>
          <w:rFonts w:eastAsia="Calibri"/>
          <w:b/>
          <w:bCs/>
          <w:sz w:val="20"/>
          <w:szCs w:val="20"/>
        </w:rPr>
      </w:r>
    </w:p>
    <w:p>
      <w:pPr>
        <w:jc w:val="center"/>
        <w:widowControl/>
        <w:tabs>
          <w:tab w:val="left" w:pos="993" w:leader="none"/>
        </w:tabs>
        <w:rPr>
          <w:rFonts w:eastAsia="Calibri"/>
          <w:b/>
          <w:bCs/>
          <w:sz w:val="20"/>
          <w:szCs w:val="20"/>
        </w:rPr>
      </w:pPr>
      <w:r>
        <w:rPr>
          <w:rFonts w:eastAsia="Calibri"/>
          <w:b/>
          <w:bCs/>
          <w:sz w:val="20"/>
          <w:szCs w:val="20"/>
        </w:rPr>
        <w:t xml:space="preserve">и средств Печенгского звена единой государственной системы предупреждения и ликвидации чрезвычайных ситуаций </w:t>
      </w:r>
      <w:r>
        <w:rPr>
          <w:rFonts w:eastAsia="Calibri"/>
          <w:b/>
          <w:bCs/>
          <w:sz w:val="20"/>
          <w:szCs w:val="20"/>
        </w:rPr>
        <w:t xml:space="preserve">на территории пгт. </w:t>
      </w:r>
      <w:r>
        <w:rPr>
          <w:rFonts w:eastAsia="Calibri"/>
          <w:b/>
          <w:bCs/>
          <w:sz w:val="20"/>
          <w:szCs w:val="20"/>
        </w:rPr>
        <w:t xml:space="preserve">Печенга</w:t>
      </w:r>
      <w:r>
        <w:rPr>
          <w:rFonts w:eastAsia="Calibri"/>
          <w:b/>
          <w:bCs/>
          <w:sz w:val="20"/>
          <w:szCs w:val="20"/>
        </w:rPr>
        <w:t xml:space="preserve">, ж/д ст.</w:t>
      </w:r>
      <w:r>
        <w:rPr>
          <w:rFonts w:eastAsia="Calibri"/>
          <w:b/>
          <w:bCs/>
          <w:sz w:val="20"/>
          <w:szCs w:val="20"/>
        </w:rPr>
        <w:t xml:space="preserve"> Печенга</w:t>
      </w:r>
      <w:r>
        <w:rPr>
          <w:rFonts w:eastAsia="Calibri"/>
          <w:b/>
          <w:bCs/>
          <w:sz w:val="20"/>
          <w:szCs w:val="20"/>
        </w:rPr>
        <w:t xml:space="preserve"> и </w:t>
      </w:r>
      <w:r>
        <w:rPr>
          <w:rFonts w:eastAsia="Calibri"/>
          <w:b/>
          <w:bCs/>
          <w:sz w:val="20"/>
          <w:szCs w:val="20"/>
        </w:rPr>
        <w:t xml:space="preserve">н.п. </w:t>
      </w:r>
      <w:r>
        <w:rPr>
          <w:rFonts w:eastAsia="Calibri"/>
          <w:b/>
          <w:bCs/>
          <w:sz w:val="20"/>
          <w:szCs w:val="20"/>
        </w:rPr>
        <w:t xml:space="preserve">Спутник</w:t>
      </w:r>
      <w:r>
        <w:rPr>
          <w:rFonts w:eastAsia="Calibri"/>
          <w:b/>
          <w:bCs/>
          <w:sz w:val="20"/>
          <w:szCs w:val="20"/>
        </w:rPr>
      </w:r>
      <w:r>
        <w:rPr>
          <w:rFonts w:eastAsia="Calibri"/>
          <w:b/>
          <w:bCs/>
          <w:sz w:val="20"/>
          <w:szCs w:val="20"/>
        </w:rPr>
      </w:r>
    </w:p>
    <w:p>
      <w:pPr>
        <w:jc w:val="center"/>
        <w:widowControl/>
        <w:tabs>
          <w:tab w:val="left" w:pos="993" w:leader="none"/>
        </w:tabs>
        <w:rPr>
          <w:rFonts w:eastAsia="Calibri"/>
          <w:bCs/>
          <w:sz w:val="20"/>
          <w:szCs w:val="20"/>
        </w:rPr>
      </w:pPr>
      <w:r>
        <w:rPr>
          <w:rFonts w:eastAsia="Calibri"/>
          <w:b/>
          <w:bCs/>
          <w:sz w:val="20"/>
          <w:szCs w:val="20"/>
        </w:rPr>
        <w:t xml:space="preserve">Печенгского муниципального округа</w:t>
      </w:r>
      <w:r>
        <w:rPr>
          <w:rFonts w:eastAsia="Calibri"/>
          <w:bCs/>
          <w:sz w:val="20"/>
          <w:szCs w:val="20"/>
        </w:rPr>
      </w:r>
      <w:r>
        <w:rPr>
          <w:rFonts w:eastAsia="Calibri"/>
          <w:bCs/>
          <w:sz w:val="20"/>
          <w:szCs w:val="20"/>
        </w:rPr>
      </w:r>
    </w:p>
    <w:p>
      <w:pPr>
        <w:ind w:firstLine="720"/>
        <w:jc w:val="both"/>
        <w:widowControl/>
        <w:tabs>
          <w:tab w:val="left" w:pos="993" w:leader="none"/>
        </w:tabs>
        <w:rPr>
          <w:rFonts w:eastAsia="Calibri"/>
          <w:bCs/>
          <w:sz w:val="20"/>
          <w:szCs w:val="20"/>
        </w:rPr>
      </w:pPr>
      <w:r>
        <w:rPr>
          <w:rFonts w:eastAsia="Calibri"/>
          <w:bCs/>
          <w:sz w:val="20"/>
          <w:szCs w:val="20"/>
        </w:rPr>
      </w:r>
      <w:r>
        <w:rPr>
          <w:rFonts w:eastAsia="Calibri"/>
          <w:bCs/>
          <w:sz w:val="20"/>
          <w:szCs w:val="20"/>
        </w:rPr>
      </w:r>
      <w:r>
        <w:rPr>
          <w:rFonts w:eastAsia="Calibri"/>
          <w:bCs/>
          <w:sz w:val="20"/>
          <w:szCs w:val="20"/>
        </w:rPr>
      </w:r>
    </w:p>
    <w:p>
      <w:pPr>
        <w:ind w:firstLine="720"/>
        <w:jc w:val="both"/>
        <w:widowControl/>
        <w:tabs>
          <w:tab w:val="left" w:pos="993" w:leader="none"/>
        </w:tabs>
        <w:rPr>
          <w:rFonts w:eastAsia="Calibri"/>
          <w:bCs/>
        </w:rPr>
      </w:pPr>
      <w:r>
        <w:rPr>
          <w:rFonts w:eastAsia="Calibri"/>
          <w:bCs/>
        </w:rPr>
        <w:t xml:space="preserve">Руководствуясь </w:t>
      </w:r>
      <w:r>
        <w:rPr>
          <w:rFonts w:eastAsia="Calibri"/>
          <w:bCs/>
        </w:rPr>
        <w:t xml:space="preserve">Федеральн</w:t>
      </w:r>
      <w:r>
        <w:rPr>
          <w:rFonts w:eastAsia="Calibri"/>
          <w:bCs/>
        </w:rPr>
        <w:t xml:space="preserve">ым</w:t>
      </w:r>
      <w:r>
        <w:rPr>
          <w:rFonts w:eastAsia="Calibri"/>
          <w:bCs/>
        </w:rPr>
        <w:t xml:space="preserve"> закон</w:t>
      </w:r>
      <w:r>
        <w:rPr>
          <w:rFonts w:eastAsia="Calibri"/>
          <w:bCs/>
        </w:rPr>
        <w:t xml:space="preserve">ом</w:t>
      </w:r>
      <w:r>
        <w:rPr>
          <w:rFonts w:eastAsia="Calibri"/>
          <w:bCs/>
        </w:rPr>
        <w:t xml:space="preserve"> от 27.07.2010 </w:t>
      </w:r>
      <w:r>
        <w:rPr>
          <w:rFonts w:eastAsia="Calibri"/>
          <w:bCs/>
        </w:rPr>
        <w:t xml:space="preserve">№</w:t>
      </w:r>
      <w:r>
        <w:rPr>
          <w:rFonts w:eastAsia="Calibri"/>
          <w:bCs/>
        </w:rPr>
        <w:t xml:space="preserve"> 190-ФЗ</w:t>
      </w:r>
      <w:r>
        <w:rPr>
          <w:rFonts w:eastAsia="Calibri"/>
          <w:bCs/>
        </w:rPr>
        <w:t xml:space="preserve"> «</w:t>
      </w:r>
      <w:r>
        <w:rPr>
          <w:rFonts w:eastAsia="Calibri"/>
          <w:bCs/>
        </w:rPr>
        <w:t xml:space="preserve">О теплоснабжении</w:t>
      </w:r>
      <w:r>
        <w:rPr>
          <w:rFonts w:eastAsia="Calibri"/>
          <w:bCs/>
        </w:rPr>
        <w:t xml:space="preserve">», </w:t>
      </w:r>
      <w:r>
        <w:rPr>
          <w:rFonts w:eastAsia="Calibri"/>
          <w:bCs/>
        </w:rPr>
        <w:t xml:space="preserve">Федеральн</w:t>
      </w:r>
      <w:r>
        <w:rPr>
          <w:rFonts w:eastAsia="Calibri"/>
          <w:bCs/>
        </w:rPr>
        <w:t xml:space="preserve">ым</w:t>
      </w:r>
      <w:r>
        <w:rPr>
          <w:rFonts w:eastAsia="Calibri"/>
          <w:bCs/>
        </w:rPr>
        <w:t xml:space="preserve"> закон</w:t>
      </w:r>
      <w:r>
        <w:rPr>
          <w:rFonts w:eastAsia="Calibri"/>
          <w:bCs/>
        </w:rPr>
        <w:t xml:space="preserve">ом</w:t>
      </w:r>
      <w:r>
        <w:rPr>
          <w:rFonts w:eastAsia="Calibri"/>
          <w:bCs/>
        </w:rPr>
        <w:t xml:space="preserve"> от 06.10.2003 </w:t>
      </w:r>
      <w:r>
        <w:rPr>
          <w:rFonts w:eastAsia="Calibri"/>
          <w:bCs/>
        </w:rPr>
        <w:t xml:space="preserve">№</w:t>
      </w:r>
      <w:r>
        <w:rPr>
          <w:rFonts w:eastAsia="Calibri"/>
          <w:bCs/>
        </w:rPr>
        <w:t xml:space="preserve"> 131-ФЗ</w:t>
      </w:r>
      <w:r>
        <w:rPr>
          <w:rFonts w:eastAsia="Calibri"/>
          <w:bCs/>
        </w:rPr>
        <w:t xml:space="preserve"> «</w:t>
      </w:r>
      <w:r>
        <w:rPr>
          <w:rFonts w:eastAsia="Calibri"/>
          <w:bCs/>
        </w:rPr>
        <w:t xml:space="preserve">Об общих принципах организации местного самоуправления в Российской Федерации</w:t>
      </w:r>
      <w:r>
        <w:rPr>
          <w:rFonts w:eastAsia="Calibri"/>
          <w:bCs/>
        </w:rPr>
        <w:t xml:space="preserve">», в</w:t>
      </w:r>
      <w:r>
        <w:rPr>
          <w:rFonts w:eastAsia="Calibri"/>
          <w:bCs/>
        </w:rPr>
        <w:t xml:space="preserve"> </w:t>
      </w:r>
      <w:r>
        <w:rPr>
          <w:rFonts w:eastAsia="Calibri"/>
          <w:bCs/>
        </w:rPr>
        <w:t xml:space="preserve">соответствии с </w:t>
      </w:r>
      <w:r>
        <w:rPr>
          <w:rFonts w:eastAsia="Calibri"/>
          <w:bCs/>
        </w:rPr>
        <w:t xml:space="preserve">Федеральным законом </w:t>
      </w:r>
      <w:r>
        <w:rPr>
          <w:rFonts w:eastAsia="Calibri"/>
          <w:bCs/>
        </w:rPr>
        <w:t xml:space="preserve">от 21.12.1994 № 68-ФЗ «О защите населения и территорий от чрезвычайных ситуаций природн</w:t>
      </w:r>
      <w:r>
        <w:rPr>
          <w:rFonts w:eastAsia="Calibri"/>
          <w:bCs/>
        </w:rPr>
        <w:t xml:space="preserve">ого и техногенного характера», П</w:t>
      </w:r>
      <w:r>
        <w:rPr>
          <w:rFonts w:eastAsia="Calibri"/>
          <w:bCs/>
        </w:rPr>
        <w:t xml:space="preserve">остановлением Правительства Российской Федерации от 30.12.2003 № 794 «О единой государственной </w:t>
      </w:r>
      <w:r>
        <w:rPr>
          <w:rFonts w:eastAsia="Calibri"/>
          <w:bCs/>
        </w:rPr>
        <w:t xml:space="preserve">системе предупреждения и ликвидации чрезвычайных ситуаций», </w:t>
      </w:r>
      <w:r>
        <w:rPr>
          <w:rFonts w:eastAsia="Calibri"/>
          <w:bCs/>
        </w:rPr>
        <w:t xml:space="preserve">протоколом заседания комиссии по предупреждению и ликвидации чрезвычайных ситуаций и обеспечения пожарной безопасности Печенгского муниципального округа от 03.01.2026 № 1, </w:t>
      </w:r>
      <w:r>
        <w:rPr>
          <w:rFonts w:eastAsia="Calibri"/>
          <w:bCs/>
        </w:rPr>
        <w:t xml:space="preserve">в целях </w:t>
      </w:r>
      <w:r>
        <w:rPr>
          <w:rFonts w:eastAsia="Calibri"/>
          <w:bCs/>
        </w:rPr>
        <w:t xml:space="preserve">приняти</w:t>
      </w:r>
      <w:r>
        <w:rPr>
          <w:rFonts w:eastAsia="Calibri"/>
          <w:bCs/>
        </w:rPr>
        <w:t xml:space="preserve">я</w:t>
      </w:r>
      <w:r>
        <w:rPr>
          <w:rFonts w:eastAsia="Calibri"/>
          <w:bCs/>
        </w:rPr>
        <w:t xml:space="preserve"> мер по организации обеспечения</w:t>
      </w:r>
      <w:r>
        <w:rPr>
          <w:rFonts w:eastAsia="Calibri"/>
          <w:bCs/>
        </w:rPr>
        <w:t xml:space="preserve"> </w:t>
      </w:r>
      <w:r>
        <w:rPr>
          <w:rFonts w:eastAsia="Calibri"/>
          <w:bCs/>
        </w:rPr>
        <w:t xml:space="preserve">теплоснабжения потребителей</w:t>
      </w:r>
      <w:r>
        <w:rPr>
          <w:rFonts w:eastAsia="Calibri"/>
          <w:bCs/>
        </w:rPr>
        <w:t xml:space="preserve"> в населенных пунктах Печенга</w:t>
      </w:r>
      <w:r>
        <w:rPr>
          <w:rFonts w:eastAsia="Calibri"/>
          <w:bCs/>
        </w:rPr>
        <w:t xml:space="preserve">, </w:t>
      </w:r>
      <w:r>
        <w:rPr>
          <w:rFonts w:eastAsia="Calibri"/>
          <w:bCs/>
        </w:rPr>
        <w:t xml:space="preserve">ж/д ст. Печенга </w:t>
      </w:r>
      <w:r>
        <w:rPr>
          <w:rFonts w:eastAsia="Calibri"/>
          <w:bCs/>
        </w:rPr>
        <w:t xml:space="preserve">и Спутник</w:t>
      </w:r>
      <w:r>
        <w:rPr>
          <w:rFonts w:eastAsia="Calibri"/>
          <w:bCs/>
        </w:rPr>
        <w:t xml:space="preserve"> </w:t>
      </w:r>
      <w:r>
        <w:rPr>
          <w:rFonts w:eastAsia="Calibri"/>
          <w:bCs/>
        </w:rPr>
        <w:t xml:space="preserve">в связи</w:t>
      </w:r>
      <w:r>
        <w:rPr>
          <w:rFonts w:eastAsia="Calibri"/>
          <w:bCs/>
        </w:rPr>
        <w:t xml:space="preserve"> </w:t>
      </w:r>
      <w:r>
        <w:rPr>
          <w:rFonts w:eastAsia="Calibri"/>
          <w:bCs/>
        </w:rPr>
        <w:t xml:space="preserve">неисполнением </w:t>
      </w:r>
      <w:r>
        <w:rPr>
          <w:rFonts w:eastAsia="Calibri"/>
          <w:bCs/>
        </w:rPr>
        <w:t xml:space="preserve">теп</w:t>
      </w:r>
      <w:r>
        <w:rPr>
          <w:rFonts w:eastAsia="Calibri"/>
          <w:bCs/>
        </w:rPr>
        <w:t xml:space="preserve">лоснабжающ</w:t>
      </w:r>
      <w:r>
        <w:rPr>
          <w:rFonts w:eastAsia="Calibri"/>
          <w:bCs/>
        </w:rPr>
        <w:t xml:space="preserve">ей</w:t>
      </w:r>
      <w:r>
        <w:rPr>
          <w:rFonts w:eastAsia="Calibri"/>
          <w:bCs/>
        </w:rPr>
        <w:t xml:space="preserve"> организаци</w:t>
      </w:r>
      <w:r>
        <w:rPr>
          <w:rFonts w:eastAsia="Calibri"/>
          <w:bCs/>
        </w:rPr>
        <w:t xml:space="preserve">ей ООО «ПромВоенСтрой» </w:t>
      </w:r>
      <w:r>
        <w:rPr>
          <w:rFonts w:eastAsia="Calibri"/>
          <w:bCs/>
        </w:rPr>
        <w:t xml:space="preserve">своих обязательств</w:t>
      </w:r>
      <w:r>
        <w:rPr>
          <w:rFonts w:eastAsia="Calibri"/>
          <w:bCs/>
        </w:rPr>
        <w:t xml:space="preserve"> </w:t>
      </w:r>
      <w:r>
        <w:rPr>
          <w:rFonts w:eastAsia="Calibri"/>
          <w:bCs/>
        </w:rPr>
        <w:t xml:space="preserve">по надлежащему теплоснабжению потребителей</w:t>
      </w:r>
      <w:r>
        <w:rPr>
          <w:rFonts w:eastAsia="Calibri"/>
          <w:bCs/>
        </w:rPr>
        <w:t xml:space="preserve">,</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900"/>
        <w:numPr>
          <w:ilvl w:val="0"/>
          <w:numId w:val="28"/>
        </w:numPr>
        <w:ind w:left="0" w:firstLine="720"/>
        <w:jc w:val="both"/>
        <w:widowControl/>
        <w:tabs>
          <w:tab w:val="left" w:pos="993" w:leader="none"/>
        </w:tabs>
        <w:rPr>
          <w:rFonts w:eastAsia="Calibri"/>
          <w:bCs/>
        </w:rPr>
      </w:pPr>
      <w:r>
        <w:rPr>
          <w:rFonts w:eastAsia="Calibri"/>
          <w:bCs/>
        </w:rPr>
        <w:t xml:space="preserve">Установить</w:t>
      </w:r>
      <w:r>
        <w:rPr>
          <w:rFonts w:eastAsia="Calibri"/>
          <w:bCs/>
        </w:rPr>
        <w:t xml:space="preserve"> на территории </w:t>
      </w:r>
      <w:r>
        <w:rPr>
          <w:rFonts w:eastAsia="Calibri"/>
          <w:bCs/>
        </w:rPr>
        <w:t xml:space="preserve">пгт. Печенга</w:t>
      </w:r>
      <w:r>
        <w:rPr>
          <w:rFonts w:eastAsia="Calibri"/>
          <w:bCs/>
        </w:rPr>
        <w:t xml:space="preserve">, ж/д ст. Печенга</w:t>
      </w:r>
      <w:r>
        <w:rPr>
          <w:rFonts w:eastAsia="Calibri"/>
          <w:bCs/>
        </w:rPr>
        <w:t xml:space="preserve"> </w:t>
      </w:r>
      <w:r>
        <w:rPr>
          <w:rFonts w:eastAsia="Calibri"/>
          <w:bCs/>
        </w:rPr>
        <w:t xml:space="preserve">и</w:t>
      </w:r>
      <w:r>
        <w:rPr>
          <w:rFonts w:eastAsia="Calibri"/>
          <w:bCs/>
        </w:rPr>
        <w:t xml:space="preserve"> н.п. Спутник</w:t>
      </w:r>
      <w:r>
        <w:rPr>
          <w:rFonts w:eastAsia="Calibri"/>
          <w:bCs/>
        </w:rPr>
        <w:t xml:space="preserve"> </w:t>
      </w:r>
      <w:r>
        <w:rPr>
          <w:rFonts w:eastAsia="Calibri"/>
          <w:bCs/>
        </w:rPr>
        <w:t xml:space="preserve">Печенгского муниципального округа</w:t>
      </w:r>
      <w:r>
        <w:rPr>
          <w:rFonts w:eastAsia="Calibri"/>
          <w:bCs/>
        </w:rPr>
        <w:t xml:space="preserve"> с </w:t>
      </w:r>
      <w:r>
        <w:rPr>
          <w:rFonts w:eastAsia="Calibri"/>
          <w:bCs/>
        </w:rPr>
        <w:t xml:space="preserve">19</w:t>
      </w:r>
      <w:r>
        <w:rPr>
          <w:rFonts w:eastAsia="Calibri"/>
          <w:bCs/>
        </w:rPr>
        <w:t xml:space="preserve">:00 час. </w:t>
      </w:r>
      <w:r>
        <w:rPr>
          <w:rFonts w:eastAsia="Calibri"/>
          <w:bCs/>
        </w:rPr>
        <w:t xml:space="preserve">0</w:t>
      </w:r>
      <w:r>
        <w:rPr>
          <w:rFonts w:eastAsia="Calibri"/>
          <w:bCs/>
        </w:rPr>
        <w:t xml:space="preserve">3</w:t>
      </w:r>
      <w:r>
        <w:rPr>
          <w:rFonts w:eastAsia="Calibri"/>
          <w:bCs/>
        </w:rPr>
        <w:t xml:space="preserve">.</w:t>
      </w:r>
      <w:r>
        <w:rPr>
          <w:rFonts w:eastAsia="Calibri"/>
          <w:bCs/>
        </w:rPr>
        <w:t xml:space="preserve">01</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особого решения</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900"/>
        <w:numPr>
          <w:ilvl w:val="0"/>
          <w:numId w:val="28"/>
        </w:numPr>
        <w:ind w:left="0" w:firstLine="720"/>
        <w:jc w:val="both"/>
        <w:widowControl/>
        <w:tabs>
          <w:tab w:val="left" w:pos="993" w:leader="none"/>
        </w:tabs>
        <w:rPr>
          <w:rFonts w:eastAsia="Calibri"/>
          <w:bCs/>
        </w:rPr>
      </w:pPr>
      <w:r>
        <w:rPr>
          <w:rFonts w:eastAsia="Calibri"/>
          <w:bCs/>
        </w:rPr>
        <w:t xml:space="preserve">ООО «ПромВоенСтрой» </w:t>
      </w:r>
      <w:r>
        <w:rPr>
          <w:rFonts w:eastAsia="Calibri"/>
          <w:bCs/>
        </w:rPr>
        <w:t xml:space="preserve">незамедлительно </w:t>
      </w:r>
      <w:r>
        <w:rPr>
          <w:rFonts w:eastAsia="Calibri"/>
          <w:bCs/>
        </w:rPr>
        <w:t xml:space="preserve">организовать работу </w:t>
      </w:r>
      <w:r>
        <w:rPr>
          <w:rFonts w:eastAsia="Calibri"/>
          <w:bCs/>
        </w:rPr>
        <w:t xml:space="preserve">по приведению работы котельных (№13/73, №13/55, №4/152, № 42/138) </w:t>
      </w:r>
      <w:r>
        <w:rPr>
          <w:rFonts w:eastAsia="Calibri"/>
          <w:bCs/>
        </w:rPr>
        <w:t xml:space="preserve">в штатн</w:t>
      </w:r>
      <w:r>
        <w:rPr>
          <w:rFonts w:eastAsia="Calibri"/>
          <w:bCs/>
        </w:rPr>
        <w:t xml:space="preserve">ый</w:t>
      </w:r>
      <w:r>
        <w:rPr>
          <w:rFonts w:eastAsia="Calibri"/>
          <w:bCs/>
        </w:rPr>
        <w:t xml:space="preserve"> режим</w:t>
      </w:r>
      <w:r>
        <w:rPr>
          <w:rFonts w:eastAsia="Calibri"/>
          <w:bCs/>
        </w:rPr>
        <w:t xml:space="preserve"> </w:t>
      </w:r>
      <w:r>
        <w:rPr>
          <w:rFonts w:eastAsia="Calibri"/>
          <w:bCs/>
        </w:rPr>
        <w:t xml:space="preserve">с выходом на норм</w:t>
      </w:r>
      <w:r>
        <w:rPr>
          <w:rFonts w:eastAsia="Calibri"/>
          <w:bCs/>
        </w:rPr>
        <w:t xml:space="preserve">а</w:t>
      </w:r>
      <w:r>
        <w:rPr>
          <w:rFonts w:eastAsia="Calibri"/>
          <w:bCs/>
        </w:rPr>
        <w:t xml:space="preserve">тивные</w:t>
      </w:r>
      <w:r>
        <w:rPr>
          <w:rFonts w:eastAsia="Calibri"/>
          <w:bCs/>
        </w:rPr>
        <w:t xml:space="preserve"> параметры подачи теплоносителя</w:t>
      </w:r>
      <w:r>
        <w:rPr>
          <w:rFonts w:eastAsia="Calibri"/>
          <w:bCs/>
        </w:rPr>
        <w:t xml:space="preserve"> в многоквартирные дома и социальные объекты.</w:t>
      </w:r>
      <w:r>
        <w:rPr>
          <w:rFonts w:eastAsia="Calibri"/>
          <w:bCs/>
        </w:rPr>
        <w:t xml:space="preserve"> </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w:t>
      </w:r>
      <w:r>
        <w:rPr>
          <w:rFonts w:eastAsia="Calibri"/>
          <w:bCs/>
        </w:rPr>
        <w:t xml:space="preserve">.</w:t>
      </w:r>
      <w:r>
        <w:t xml:space="preserve"> </w:t>
      </w:r>
      <w:r>
        <w:t xml:space="preserve">Обратиться </w:t>
      </w:r>
      <w:r>
        <w:t xml:space="preserve">в</w:t>
      </w:r>
      <w:r>
        <w:t xml:space="preserve"> </w:t>
      </w:r>
      <w:r>
        <w:rPr>
          <w:rFonts w:eastAsia="Calibri"/>
          <w:bCs/>
        </w:rPr>
        <w:t xml:space="preserve">АО «МЭС» </w:t>
      </w:r>
      <w:r>
        <w:rPr>
          <w:rFonts w:eastAsia="Calibri"/>
          <w:bCs/>
        </w:rPr>
        <w:t xml:space="preserve">для</w:t>
      </w:r>
      <w:r>
        <w:rPr>
          <w:rFonts w:eastAsia="Calibri"/>
          <w:bCs/>
        </w:rPr>
        <w:t xml:space="preserve"> оказания содействия в</w:t>
      </w:r>
      <w:r>
        <w:rPr>
          <w:rFonts w:eastAsia="Calibri"/>
          <w:bCs/>
        </w:rPr>
        <w:t xml:space="preserve"> выполнени</w:t>
      </w:r>
      <w:r>
        <w:rPr>
          <w:rFonts w:eastAsia="Calibri"/>
          <w:bCs/>
        </w:rPr>
        <w:t xml:space="preserve">и</w:t>
      </w:r>
      <w:r>
        <w:rPr>
          <w:rFonts w:eastAsia="Calibri"/>
          <w:bCs/>
        </w:rPr>
        <w:t xml:space="preserve"> необходимых</w:t>
      </w:r>
      <w:r>
        <w:rPr>
          <w:rFonts w:eastAsia="Calibri"/>
          <w:bCs/>
        </w:rPr>
        <w:t xml:space="preserve"> мероприятий по </w:t>
      </w:r>
      <w:r>
        <w:rPr>
          <w:rFonts w:eastAsia="Calibri"/>
          <w:bCs/>
        </w:rPr>
        <w:t xml:space="preserve">надлежащей работе</w:t>
      </w:r>
      <w:r>
        <w:rPr>
          <w:rFonts w:eastAsia="Calibri"/>
          <w:bCs/>
        </w:rPr>
        <w:t xml:space="preserve"> теплового оборудования </w:t>
      </w:r>
      <w:r>
        <w:rPr>
          <w:rFonts w:eastAsia="Calibri"/>
          <w:bCs/>
        </w:rPr>
        <w:t xml:space="preserve">и достижения нормативных параметров температуры теплоносителя</w:t>
      </w:r>
      <w:r>
        <w:rPr>
          <w:rFonts w:eastAsia="Calibri"/>
          <w:bCs/>
        </w:rPr>
        <w:t xml:space="preserve"> </w:t>
      </w:r>
      <w:r>
        <w:rPr>
          <w:rFonts w:eastAsia="Calibri"/>
          <w:bCs/>
        </w:rPr>
        <w:t xml:space="preserve">на </w:t>
      </w:r>
      <w:r>
        <w:rPr>
          <w:rFonts w:eastAsia="Calibri"/>
          <w:bCs/>
        </w:rPr>
        <w:t xml:space="preserve">следующих </w:t>
      </w:r>
      <w:r>
        <w:rPr>
          <w:rFonts w:eastAsia="Calibri"/>
          <w:bCs/>
        </w:rPr>
        <w:t xml:space="preserve">объектах теплоснабжения</w:t>
      </w:r>
      <w:r>
        <w:rPr>
          <w:rFonts w:eastAsia="Calibri"/>
          <w:bCs/>
        </w:rPr>
        <w:t xml:space="preserve">:</w:t>
      </w:r>
      <w:r>
        <w:rPr>
          <w:rFonts w:eastAsia="Calibri"/>
          <w:bCs/>
        </w:rPr>
        <w:t xml:space="preserve"> </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 пгт. Печенга, ул. Стадионная (котельная № 13/73), </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  пгт. Печенга, ул. Печенгское шоссе (котельная № 13/55); </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 ж/д ст. Печенга (котельная № 4/152);</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 н.п. Спутник (котельная № 42/138)</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 ООО «ПромВоенСтрой» </w:t>
      </w:r>
      <w:r>
        <w:rPr>
          <w:rFonts w:eastAsia="Calibri"/>
          <w:bCs/>
        </w:rPr>
        <w:t xml:space="preserve">при необходимости обеспечить беспрепятствен</w:t>
      </w:r>
      <w:r>
        <w:rPr>
          <w:rFonts w:eastAsia="Calibri"/>
          <w:bCs/>
        </w:rPr>
        <w:t xml:space="preserve">ный доступ представителей АО «МЭС» к объектам теплоснабжения, указанным в пункте 3 настоящего постановления, с целью осуществления необходимых первоочередных мероприятий для обеспечения потребителей отоплением и горячим водоснабжением надлежащего качества.</w:t>
      </w:r>
      <w:r>
        <w:rPr>
          <w:rFonts w:eastAsia="Calibri"/>
          <w:bCs/>
        </w:rPr>
        <w:t xml:space="preserve"> </w:t>
      </w:r>
      <w:r>
        <w:rPr>
          <w:rFonts w:eastAsia="Calibri"/>
          <w:bCs/>
        </w:rPr>
      </w:r>
      <w:r>
        <w:rPr>
          <w:rFonts w:eastAsia="Calibri"/>
          <w:bCs/>
        </w:rPr>
      </w:r>
    </w:p>
    <w:p>
      <w:pPr>
        <w:ind w:firstLine="720"/>
        <w:jc w:val="both"/>
        <w:widowControl/>
        <w:tabs>
          <w:tab w:val="left" w:pos="709" w:leader="none"/>
        </w:tabs>
        <w:rPr>
          <w:rFonts w:eastAsia="Calibri"/>
          <w:szCs w:val="20"/>
        </w:rPr>
      </w:pPr>
      <w:r>
        <w:t xml:space="preserve">5</w:t>
      </w:r>
      <w:r>
        <w:t xml:space="preserve">.</w:t>
      </w:r>
      <w:r>
        <w:t xml:space="preserve"> </w:t>
      </w:r>
      <w:r>
        <w:rPr>
          <w:rFonts w:eastAsia="Calibri"/>
          <w:szCs w:val="20"/>
        </w:rPr>
        <w:t xml:space="preserve">ООО «ПромВоенСтрой»</w:t>
      </w:r>
      <w:r>
        <w:rPr>
          <w:rFonts w:eastAsia="Calibri"/>
          <w:szCs w:val="20"/>
        </w:rPr>
        <w:t xml:space="preserve"> предоставить в администрацию </w:t>
      </w:r>
      <w:r>
        <w:rPr>
          <w:rFonts w:eastAsia="Calibri"/>
          <w:szCs w:val="20"/>
        </w:rPr>
        <w:t xml:space="preserve">Печенгского муниципального</w:t>
      </w:r>
      <w:r>
        <w:rPr>
          <w:rFonts w:eastAsia="Calibri"/>
          <w:szCs w:val="20"/>
        </w:rPr>
        <w:t xml:space="preserve"> округа в срок до 07.01.2026</w:t>
      </w:r>
      <w:r>
        <w:rPr>
          <w:rFonts w:eastAsia="Calibri"/>
          <w:szCs w:val="20"/>
        </w:rPr>
        <w:t xml:space="preserve">:</w:t>
      </w:r>
      <w:r>
        <w:rPr>
          <w:rFonts w:eastAsia="Calibri"/>
          <w:szCs w:val="20"/>
        </w:rPr>
      </w:r>
      <w:r>
        <w:rPr>
          <w:rFonts w:eastAsia="Calibri"/>
          <w:szCs w:val="20"/>
        </w:rPr>
      </w:r>
    </w:p>
    <w:p>
      <w:pPr>
        <w:ind w:firstLine="720"/>
        <w:jc w:val="both"/>
        <w:widowControl/>
        <w:tabs>
          <w:tab w:val="left" w:pos="993" w:leader="none"/>
        </w:tabs>
        <w:rPr>
          <w:rFonts w:eastAsia="Calibri"/>
          <w:szCs w:val="20"/>
        </w:rPr>
      </w:pPr>
      <w:r>
        <w:rPr>
          <w:rFonts w:eastAsia="Calibri"/>
          <w:szCs w:val="20"/>
        </w:rPr>
        <w:t xml:space="preserve">- </w:t>
      </w:r>
      <w:r>
        <w:rPr>
          <w:rFonts w:eastAsia="Calibri"/>
          <w:szCs w:val="20"/>
        </w:rPr>
        <w:t xml:space="preserve">техническую документацию, связанную с эксплуатацией котельных и теплового оборудования</w:t>
      </w:r>
      <w:r>
        <w:rPr>
          <w:rFonts w:eastAsia="Calibri"/>
          <w:szCs w:val="20"/>
        </w:rPr>
        <w:t xml:space="preserve"> в них</w:t>
      </w:r>
      <w:r>
        <w:rPr>
          <w:rFonts w:eastAsia="Calibri"/>
          <w:szCs w:val="20"/>
        </w:rPr>
        <w:t xml:space="preserve">;</w:t>
      </w:r>
      <w:r>
        <w:rPr>
          <w:rFonts w:eastAsia="Calibri"/>
          <w:szCs w:val="20"/>
        </w:rPr>
        <w:t xml:space="preserve">  </w:t>
      </w:r>
      <w:r>
        <w:rPr>
          <w:rFonts w:eastAsia="Calibri"/>
          <w:szCs w:val="20"/>
        </w:rPr>
      </w:r>
      <w:r>
        <w:rPr>
          <w:rFonts w:eastAsia="Calibri"/>
          <w:szCs w:val="20"/>
        </w:rPr>
      </w:r>
    </w:p>
    <w:p>
      <w:pPr>
        <w:ind w:firstLine="720"/>
        <w:jc w:val="both"/>
        <w:widowControl/>
        <w:tabs>
          <w:tab w:val="left" w:pos="993" w:leader="none"/>
        </w:tabs>
        <w:rPr>
          <w:rFonts w:eastAsia="Calibri"/>
          <w:szCs w:val="20"/>
        </w:rPr>
      </w:pPr>
      <w:r>
        <w:rPr>
          <w:rFonts w:eastAsia="Calibri"/>
          <w:szCs w:val="20"/>
        </w:rPr>
        <w:t xml:space="preserve">- данные о запасах угля на котельных</w:t>
      </w:r>
      <w:r>
        <w:rPr>
          <w:rFonts w:eastAsia="Calibri"/>
          <w:szCs w:val="20"/>
        </w:rPr>
        <w:t xml:space="preserve">, указанн</w:t>
      </w:r>
      <w:r>
        <w:rPr>
          <w:rFonts w:eastAsia="Calibri"/>
          <w:szCs w:val="20"/>
        </w:rPr>
        <w:t xml:space="preserve">ых в пункте </w:t>
      </w:r>
      <w:r>
        <w:rPr>
          <w:rFonts w:eastAsia="Calibri"/>
          <w:szCs w:val="20"/>
        </w:rPr>
        <w:t xml:space="preserve">3</w:t>
      </w:r>
      <w:r>
        <w:rPr>
          <w:rFonts w:eastAsia="Calibri"/>
          <w:szCs w:val="20"/>
        </w:rPr>
        <w:t xml:space="preserve"> настоящего постановления, а также план-график поставок угля на январь-февраль 2026 года в разрезе каждой котельной;</w:t>
      </w:r>
      <w:r>
        <w:rPr>
          <w:rFonts w:eastAsia="Calibri"/>
          <w:szCs w:val="20"/>
        </w:rPr>
      </w:r>
      <w:r>
        <w:rPr>
          <w:rFonts w:eastAsia="Calibri"/>
          <w:szCs w:val="20"/>
        </w:rPr>
      </w:r>
    </w:p>
    <w:p>
      <w:pPr>
        <w:ind w:firstLine="720"/>
        <w:jc w:val="both"/>
        <w:widowControl/>
        <w:tabs>
          <w:tab w:val="left" w:pos="993" w:leader="none"/>
        </w:tabs>
        <w:rPr>
          <w:rFonts w:eastAsia="Calibri"/>
          <w:szCs w:val="20"/>
        </w:rPr>
      </w:pPr>
      <w:r>
        <w:rPr>
          <w:rFonts w:eastAsia="Calibri"/>
          <w:szCs w:val="20"/>
        </w:rPr>
        <w:t xml:space="preserve">- </w:t>
      </w:r>
      <w:r>
        <w:rPr>
          <w:rFonts w:eastAsia="Calibri"/>
          <w:szCs w:val="20"/>
        </w:rPr>
        <w:t xml:space="preserve">базу данных</w:t>
      </w:r>
      <w:r>
        <w:rPr>
          <w:rFonts w:eastAsia="Calibri"/>
          <w:szCs w:val="20"/>
        </w:rPr>
        <w:t xml:space="preserve"> потребител</w:t>
      </w:r>
      <w:r>
        <w:rPr>
          <w:rFonts w:eastAsia="Calibri"/>
          <w:szCs w:val="20"/>
        </w:rPr>
        <w:t xml:space="preserve">ей</w:t>
      </w:r>
      <w:r>
        <w:rPr>
          <w:rFonts w:eastAsia="Calibri"/>
          <w:szCs w:val="20"/>
        </w:rPr>
        <w:t xml:space="preserve">, получающих тепловую энергии от котельных, указанных</w:t>
      </w:r>
      <w:r>
        <w:rPr>
          <w:rFonts w:eastAsia="Calibri"/>
          <w:szCs w:val="20"/>
        </w:rPr>
        <w:t xml:space="preserve"> в пункте </w:t>
      </w:r>
      <w:r>
        <w:rPr>
          <w:rFonts w:eastAsia="Calibri"/>
          <w:szCs w:val="20"/>
        </w:rPr>
        <w:t xml:space="preserve">3</w:t>
      </w:r>
      <w:r>
        <w:rPr>
          <w:rFonts w:eastAsia="Calibri"/>
          <w:szCs w:val="20"/>
        </w:rPr>
        <w:t xml:space="preserve"> настоящего постановления</w:t>
      </w:r>
      <w:r>
        <w:rPr>
          <w:rFonts w:eastAsia="Calibri"/>
          <w:szCs w:val="20"/>
        </w:rPr>
        <w:t xml:space="preserve">.</w:t>
      </w:r>
      <w:r>
        <w:rPr>
          <w:rFonts w:eastAsia="Calibri"/>
          <w:szCs w:val="20"/>
        </w:rPr>
        <w:t xml:space="preserve"> </w:t>
      </w:r>
      <w:r>
        <w:rPr>
          <w:rFonts w:eastAsia="Calibri"/>
          <w:szCs w:val="20"/>
        </w:rPr>
      </w:r>
      <w:r>
        <w:rPr>
          <w:rFonts w:eastAsia="Calibri"/>
          <w:szCs w:val="20"/>
        </w:rPr>
      </w:r>
    </w:p>
    <w:p>
      <w:pPr>
        <w:ind w:firstLine="720"/>
        <w:jc w:val="both"/>
        <w:widowControl/>
        <w:tabs>
          <w:tab w:val="left" w:pos="993" w:leader="none"/>
        </w:tabs>
        <w:rPr>
          <w:rFonts w:eastAsia="Calibri"/>
          <w:bCs/>
        </w:rPr>
      </w:pPr>
      <w:r>
        <w:rPr>
          <w:rFonts w:eastAsia="Calibri"/>
          <w:lang w:eastAsia="ar-SA"/>
        </w:rPr>
        <w:t xml:space="preserve">6</w:t>
      </w:r>
      <w:r>
        <w:rPr>
          <w:rFonts w:eastAsia="Calibri"/>
          <w:lang w:eastAsia="ar-SA"/>
        </w:rPr>
        <w:t xml:space="preserve">. Настоящее </w:t>
      </w:r>
      <w:r>
        <w:rPr>
          <w:rFonts w:eastAsia="Calibri"/>
          <w:lang w:eastAsia="ar-SA"/>
        </w:rPr>
        <w:t xml:space="preserve">постановление вступает в силу после его подписания.</w:t>
      </w:r>
      <w:r>
        <w:rPr>
          <w:rFonts w:eastAsia="Calibri"/>
          <w:bCs/>
        </w:rPr>
      </w:r>
      <w:r>
        <w:rPr>
          <w:rFonts w:eastAsia="Calibri"/>
          <w:bCs/>
        </w:rPr>
      </w:r>
    </w:p>
    <w:p>
      <w:pPr>
        <w:ind w:firstLine="709"/>
        <w:jc w:val="both"/>
        <w:widowControl/>
        <w:tabs>
          <w:tab w:val="left" w:pos="1080" w:leader="none"/>
        </w:tabs>
        <w:rPr>
          <w:bCs/>
          <w:iCs/>
        </w:rPr>
      </w:pPr>
      <w:r>
        <w:rPr>
          <w:rFonts w:eastAsia="Calibri"/>
          <w:lang w:eastAsia="ar-SA"/>
        </w:rPr>
        <w:t xml:space="preserve">7</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w:t>
      </w:r>
      <w:r>
        <w:rPr>
          <w:rFonts w:eastAsia="Calibri"/>
          <w:lang w:eastAsia="ar-SA"/>
        </w:rPr>
        <w:t xml:space="preserve">разместить</w:t>
      </w:r>
      <w:r>
        <w:rPr>
          <w:rFonts w:eastAsia="Calibri"/>
          <w:lang w:eastAsia="ar-SA"/>
        </w:rPr>
        <w:t xml:space="preserve">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6"/>
        <w:ind w:firstLine="720"/>
        <w:jc w:val="both"/>
        <w:rPr>
          <w:b w:val="0"/>
          <w:bCs w:val="0"/>
          <w:sz w:val="24"/>
          <w:szCs w:val="24"/>
        </w:rPr>
      </w:pPr>
      <w:r>
        <w:rPr>
          <w:b w:val="0"/>
          <w:sz w:val="24"/>
          <w:szCs w:val="24"/>
        </w:rPr>
        <w:t xml:space="preserve">8</w:t>
      </w:r>
      <w:r>
        <w:rPr>
          <w:b w:val="0"/>
          <w:sz w:val="24"/>
          <w:szCs w:val="24"/>
        </w:rPr>
        <w:t xml:space="preserve">. </w:t>
      </w:r>
      <w:r>
        <w:rPr>
          <w:rFonts w:eastAsia="Times New Roman"/>
          <w:b w:val="0"/>
          <w:sz w:val="24"/>
          <w:szCs w:val="24"/>
        </w:rPr>
        <w:t xml:space="preserve">Контроль за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pPr>
        <w:rPr>
          <w:sz w:val="20"/>
          <w:szCs w:val="20"/>
        </w:rPr>
      </w:pPr>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 xml:space="preserve">           </w:t>
      </w:r>
      <w:r>
        <w:tab/>
      </w:r>
      <w:r>
        <w:t xml:space="preserve">  </w:t>
      </w:r>
      <w:r>
        <w:tab/>
      </w:r>
      <w:r>
        <w:tab/>
        <w:t xml:space="preserve">   </w:t>
      </w:r>
      <w:r>
        <w:t xml:space="preserve">          </w:t>
      </w:r>
      <w:r>
        <w:t xml:space="preserve">А</w:t>
      </w:r>
      <w:r>
        <w:t xml:space="preserve">.</w:t>
      </w:r>
      <w:r>
        <w:t xml:space="preserve">В</w:t>
      </w:r>
      <w:r>
        <w:t xml:space="preserve">. </w:t>
      </w:r>
      <w:r>
        <w:t xml:space="preserve">Кузнецов</w:t>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t xml:space="preserve">  </w:t>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right"/>
        <w:rPr>
          <w:sz w:val="26"/>
          <w:szCs w:val="26"/>
        </w:rPr>
      </w:pPr>
      <w:r>
        <w:rPr>
          <w:sz w:val="26"/>
          <w:szCs w:val="26"/>
        </w:rPr>
      </w:r>
      <w:r>
        <w:rPr>
          <w:sz w:val="26"/>
          <w:szCs w:val="26"/>
        </w:rPr>
      </w:r>
      <w:r>
        <w:rPr>
          <w:sz w:val="26"/>
          <w:szCs w:val="26"/>
        </w:rPr>
      </w:r>
    </w:p>
    <w:p>
      <w:pPr>
        <w:jc w:val="left"/>
        <w:rPr>
          <w:sz w:val="20"/>
          <w:szCs w:val="20"/>
        </w:rPr>
      </w:pPr>
      <w:r>
        <w:rPr>
          <w:sz w:val="20"/>
          <w:szCs w:val="20"/>
        </w:rPr>
      </w:r>
      <w:r>
        <w:rPr>
          <w:sz w:val="20"/>
          <w:szCs w:val="20"/>
        </w:rPr>
        <w:t xml:space="preserve">Самойлов С.А., 62479 </w:t>
      </w:r>
      <w:r>
        <w:rPr>
          <w:sz w:val="20"/>
          <w:szCs w:val="20"/>
        </w:rPr>
      </w:r>
      <w:r>
        <w:rPr>
          <w:sz w:val="20"/>
          <w:szCs w:val="20"/>
        </w:rPr>
      </w:r>
    </w:p>
    <w:p>
      <w:pPr>
        <w:ind w:left="5528"/>
        <w:jc w:val="left"/>
        <w:suppressLineNumbers w:val="0"/>
      </w:pPr>
      <w:r>
        <w:t xml:space="preserve">Приложение</w:t>
      </w:r>
      <w:r/>
    </w:p>
    <w:p>
      <w:pPr>
        <w:ind w:left="5528"/>
        <w:jc w:val="left"/>
        <w:suppressLineNumbers w:val="0"/>
      </w:pPr>
      <w:r>
        <w:t xml:space="preserve">к</w:t>
      </w:r>
      <w:r>
        <w:t xml:space="preserve"> постановлению администрации </w:t>
      </w:r>
      <w:r/>
    </w:p>
    <w:p>
      <w:pPr>
        <w:ind w:left="5528"/>
        <w:jc w:val="left"/>
        <w:suppressLineNumbers w:val="0"/>
      </w:pPr>
      <w:r>
        <w:t xml:space="preserve">Печенгского муниципального округа</w:t>
      </w:r>
      <w:r/>
    </w:p>
    <w:p>
      <w:pPr>
        <w:ind w:left="5528"/>
        <w:jc w:val="left"/>
        <w:suppressLineNumbers w:val="0"/>
      </w:pPr>
      <w:r>
        <w:t xml:space="preserve">от </w:t>
      </w:r>
      <w:r>
        <w:t xml:space="preserve">03.01.2026 № 1</w:t>
      </w:r>
      <w:r/>
    </w:p>
    <w:p>
      <w:pPr>
        <w:jc w:val="center"/>
      </w:pPr>
      <w:r/>
      <w:r/>
    </w:p>
    <w:p>
      <w:pPr>
        <w:jc w:val="center"/>
      </w:pPr>
      <w:r/>
      <w:r/>
    </w:p>
    <w:p>
      <w:pPr>
        <w:jc w:val="center"/>
      </w:pPr>
      <w:r>
        <w:t xml:space="preserve">Перечень объектов теплоснабжения</w:t>
      </w:r>
      <w:r/>
    </w:p>
    <w:p>
      <w:pPr>
        <w:ind w:firstLine="680"/>
        <w:jc w:val="both"/>
      </w:p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3"/>
        <w:gridCol w:w="2360"/>
        <w:gridCol w:w="1191"/>
        <w:gridCol w:w="1765"/>
        <w:gridCol w:w="1660"/>
        <w:gridCol w:w="2062"/>
      </w:tblGrid>
      <w:tr>
        <w:tblPrEx/>
        <w:trPr/>
        <w:tc>
          <w:tcPr>
            <w:tcW w:w="279" w:type="pct"/>
            <w:vAlign w:val="center"/>
            <w:textDirection w:val="lrTb"/>
            <w:noWrap w:val="false"/>
          </w:tcPr>
          <w:p>
            <w:pPr>
              <w:jc w:val="center"/>
            </w:pPr>
            <w:r>
              <w:t xml:space="preserve">№ п/п</w:t>
            </w:r>
            <w:r/>
          </w:p>
        </w:tc>
        <w:tc>
          <w:tcPr>
            <w:tcW w:w="1233" w:type="pct"/>
            <w:vAlign w:val="center"/>
            <w:textDirection w:val="lrTb"/>
            <w:noWrap w:val="false"/>
          </w:tcPr>
          <w:p>
            <w:pPr>
              <w:jc w:val="center"/>
            </w:pPr>
            <w:r>
              <w:t xml:space="preserve">Наименование объекта</w:t>
            </w:r>
            <w:r/>
          </w:p>
        </w:tc>
        <w:tc>
          <w:tcPr>
            <w:tcW w:w="622" w:type="pct"/>
            <w:vAlign w:val="center"/>
            <w:textDirection w:val="lrTb"/>
            <w:noWrap w:val="false"/>
          </w:tcPr>
          <w:p>
            <w:pPr>
              <w:jc w:val="center"/>
            </w:pPr>
            <w:r>
              <w:t xml:space="preserve">Срок ввода в эксплуатацию</w:t>
            </w:r>
            <w:r/>
          </w:p>
        </w:tc>
        <w:tc>
          <w:tcPr>
            <w:tcW w:w="922" w:type="pct"/>
            <w:vAlign w:val="center"/>
            <w:textDirection w:val="lrTb"/>
            <w:noWrap w:val="false"/>
          </w:tcPr>
          <w:p>
            <w:pPr>
              <w:jc w:val="center"/>
            </w:pPr>
            <w:r>
              <w:t xml:space="preserve">Балансовая</w:t>
            </w:r>
            <w:r/>
          </w:p>
          <w:p>
            <w:pPr>
              <w:jc w:val="center"/>
            </w:pPr>
            <w:r>
              <w:t xml:space="preserve">стоимость, руб.</w:t>
            </w:r>
            <w:r/>
          </w:p>
        </w:tc>
        <w:tc>
          <w:tcPr>
            <w:tcW w:w="867" w:type="pct"/>
            <w:vAlign w:val="center"/>
            <w:textDirection w:val="lrTb"/>
            <w:noWrap w:val="false"/>
          </w:tcPr>
          <w:p>
            <w:pPr>
              <w:jc w:val="center"/>
            </w:pPr>
            <w:r>
              <w:t xml:space="preserve">Остаточная стоимость,  р</w:t>
            </w:r>
            <w:r>
              <w:t xml:space="preserve">уб.</w:t>
            </w:r>
            <w:r/>
          </w:p>
        </w:tc>
        <w:tc>
          <w:tcPr>
            <w:tcW w:w="1077" w:type="pct"/>
            <w:vAlign w:val="center"/>
            <w:textDirection w:val="lrTb"/>
            <w:noWrap w:val="false"/>
          </w:tcPr>
          <w:p>
            <w:pPr>
              <w:jc w:val="center"/>
            </w:pPr>
            <w:r>
              <w:t xml:space="preserve">Техническое состояние</w:t>
            </w:r>
            <w:r/>
          </w:p>
        </w:tc>
      </w:tr>
      <w:tr>
        <w:tblPrEx/>
        <w:trPr/>
        <w:tc>
          <w:tcPr>
            <w:tcW w:w="279" w:type="pct"/>
            <w:textDirection w:val="lrTb"/>
            <w:noWrap w:val="false"/>
          </w:tcPr>
          <w:p>
            <w:pPr>
              <w:jc w:val="center"/>
              <w:rPr>
                <w:lang w:eastAsia="en-US"/>
              </w:rPr>
            </w:pPr>
            <w:r>
              <w:rPr>
                <w:lang w:eastAsia="en-US"/>
              </w:rPr>
              <w:t xml:space="preserve">1.</w:t>
            </w:r>
            <w:r>
              <w:rPr>
                <w:lang w:eastAsia="en-US"/>
              </w:rPr>
            </w:r>
            <w:r>
              <w:rPr>
                <w:lang w:eastAsia="en-US"/>
              </w:rPr>
            </w:r>
          </w:p>
        </w:tc>
        <w:tc>
          <w:tcPr>
            <w:tcW w:w="1233" w:type="pct"/>
            <w:textDirection w:val="lrTb"/>
            <w:noWrap w:val="false"/>
          </w:tcPr>
          <w:p>
            <w:r>
              <w:t xml:space="preserve">Здание (нежилое здание, котельная </w:t>
              <w:br/>
              <w:t xml:space="preserve">№ 13/73). </w:t>
            </w:r>
            <w:r/>
          </w:p>
        </w:tc>
        <w:tc>
          <w:tcPr>
            <w:tcW w:w="622" w:type="pct"/>
            <w:vAlign w:val="center"/>
            <w:textDirection w:val="lrTb"/>
            <w:noWrap w:val="false"/>
          </w:tcPr>
          <w:p>
            <w:pPr>
              <w:jc w:val="center"/>
            </w:pPr>
            <w:r>
              <w:t xml:space="preserve">1972 г.</w:t>
            </w:r>
            <w:r/>
          </w:p>
        </w:tc>
        <w:tc>
          <w:tcPr>
            <w:tcW w:w="922" w:type="pct"/>
            <w:vAlign w:val="center"/>
            <w:textDirection w:val="lrTb"/>
            <w:noWrap w:val="false"/>
          </w:tcPr>
          <w:p>
            <w:pPr>
              <w:jc w:val="center"/>
            </w:pPr>
            <w:r>
              <w:t xml:space="preserve">7 984 251,00</w:t>
            </w:r>
            <w:r/>
          </w:p>
        </w:tc>
        <w:tc>
          <w:tcPr>
            <w:tcW w:w="867" w:type="pct"/>
            <w:vAlign w:val="center"/>
            <w:textDirection w:val="lrTb"/>
            <w:noWrap w:val="false"/>
          </w:tcPr>
          <w:p>
            <w:pPr>
              <w:jc w:val="center"/>
            </w:pPr>
            <w:r>
              <w:t xml:space="preserve">4 371 005,19</w:t>
            </w:r>
            <w:r/>
          </w:p>
        </w:tc>
        <w:tc>
          <w:tcPr>
            <w:tcW w:w="1077" w:type="pct"/>
            <w:vAlign w:val="center"/>
            <w:textDirection w:val="lrTb"/>
            <w:noWrap w:val="false"/>
          </w:tcPr>
          <w:p>
            <w:pPr>
              <w:jc w:val="center"/>
              <w:rPr>
                <w:sz w:val="20"/>
                <w:szCs w:val="20"/>
              </w:rPr>
            </w:pPr>
            <w:r>
              <w:rPr>
                <w:sz w:val="20"/>
                <w:szCs w:val="20"/>
              </w:rPr>
              <w:t xml:space="preserve">удовлетворительное</w:t>
            </w:r>
            <w:r>
              <w:rPr>
                <w:sz w:val="20"/>
                <w:szCs w:val="20"/>
              </w:rPr>
            </w:r>
            <w:r>
              <w:rPr>
                <w:sz w:val="20"/>
                <w:szCs w:val="20"/>
              </w:rPr>
            </w:r>
          </w:p>
        </w:tc>
      </w:tr>
      <w:tr>
        <w:tblPrEx/>
        <w:trPr>
          <w:trHeight w:val="1093"/>
        </w:trPr>
        <w:tc>
          <w:tcPr>
            <w:tcW w:w="279" w:type="pct"/>
            <w:textDirection w:val="lrTb"/>
            <w:noWrap w:val="false"/>
          </w:tcPr>
          <w:p>
            <w:pPr>
              <w:jc w:val="center"/>
              <w:rPr>
                <w:lang w:eastAsia="en-US"/>
              </w:rPr>
            </w:pPr>
            <w:r>
              <w:rPr>
                <w:lang w:eastAsia="en-US"/>
              </w:rPr>
              <w:t xml:space="preserve">2.</w:t>
            </w:r>
            <w:r>
              <w:rPr>
                <w:lang w:eastAsia="en-US"/>
              </w:rPr>
            </w:r>
            <w:r>
              <w:rPr>
                <w:lang w:eastAsia="en-US"/>
              </w:rPr>
            </w:r>
          </w:p>
        </w:tc>
        <w:tc>
          <w:tcPr>
            <w:tcW w:w="1233" w:type="pct"/>
            <w:textDirection w:val="lrTb"/>
            <w:noWrap w:val="false"/>
          </w:tcPr>
          <w:p>
            <w:pPr>
              <w:jc w:val="both"/>
            </w:pPr>
            <w:r>
              <w:t xml:space="preserve">Тепловые сети котельной № 13/73.</w:t>
            </w:r>
            <w:r/>
          </w:p>
        </w:tc>
        <w:tc>
          <w:tcPr>
            <w:tcW w:w="622" w:type="pct"/>
            <w:vAlign w:val="center"/>
            <w:textDirection w:val="lrTb"/>
            <w:noWrap w:val="false"/>
          </w:tcPr>
          <w:p>
            <w:pPr>
              <w:jc w:val="center"/>
            </w:pPr>
            <w:r>
              <w:t xml:space="preserve">1972 г.</w:t>
            </w:r>
            <w:r/>
          </w:p>
        </w:tc>
        <w:tc>
          <w:tcPr>
            <w:tcW w:w="922" w:type="pct"/>
            <w:vAlign w:val="center"/>
            <w:textDirection w:val="lrTb"/>
            <w:noWrap w:val="false"/>
          </w:tcPr>
          <w:p>
            <w:pPr>
              <w:jc w:val="center"/>
            </w:pPr>
            <w:r>
              <w:t xml:space="preserve">7 869 702,00</w:t>
            </w:r>
            <w:r/>
          </w:p>
        </w:tc>
        <w:tc>
          <w:tcPr>
            <w:tcW w:w="867" w:type="pct"/>
            <w:vAlign w:val="center"/>
            <w:textDirection w:val="lrTb"/>
            <w:noWrap w:val="false"/>
          </w:tcPr>
          <w:p>
            <w:pPr>
              <w:jc w:val="center"/>
            </w:pPr>
            <w:r>
              <w:t xml:space="preserve">7 869 702,00</w:t>
            </w:r>
            <w:r/>
          </w:p>
        </w:tc>
        <w:tc>
          <w:tcPr>
            <w:tcW w:w="1077" w:type="pct"/>
            <w:vAlign w:val="center"/>
            <w:textDirection w:val="lrTb"/>
            <w:noWrap w:val="false"/>
          </w:tcPr>
          <w:p>
            <w:pPr>
              <w:jc w:val="center"/>
              <w:rPr>
                <w:sz w:val="20"/>
                <w:szCs w:val="20"/>
              </w:rPr>
            </w:pPr>
            <w:r>
              <w:rPr>
                <w:sz w:val="20"/>
                <w:szCs w:val="20"/>
              </w:rPr>
              <w:t xml:space="preserve">удовлетворительное</w:t>
            </w:r>
            <w:r>
              <w:rPr>
                <w:sz w:val="20"/>
                <w:szCs w:val="20"/>
              </w:rPr>
            </w:r>
            <w:r>
              <w:rPr>
                <w:sz w:val="20"/>
                <w:szCs w:val="20"/>
              </w:rPr>
            </w:r>
          </w:p>
        </w:tc>
      </w:tr>
      <w:tr>
        <w:tblPrEx/>
        <w:trPr>
          <w:trHeight w:val="1093"/>
        </w:trPr>
        <w:tc>
          <w:tcPr>
            <w:tcW w:w="279" w:type="pct"/>
            <w:textDirection w:val="lrTb"/>
            <w:noWrap w:val="false"/>
          </w:tcPr>
          <w:p>
            <w:pPr>
              <w:jc w:val="center"/>
              <w:rPr>
                <w:lang w:eastAsia="en-US"/>
              </w:rPr>
            </w:pPr>
            <w:r>
              <w:rPr>
                <w:lang w:eastAsia="en-US"/>
              </w:rPr>
              <w:t xml:space="preserve">3</w:t>
            </w:r>
            <w:r>
              <w:rPr>
                <w:lang w:eastAsia="en-US"/>
              </w:rPr>
              <w:t xml:space="preserve">.</w:t>
            </w:r>
            <w:r>
              <w:rPr>
                <w:lang w:eastAsia="en-US"/>
              </w:rPr>
            </w:r>
            <w:r>
              <w:rPr>
                <w:lang w:eastAsia="en-US"/>
              </w:rPr>
            </w:r>
          </w:p>
        </w:tc>
        <w:tc>
          <w:tcPr>
            <w:tcW w:w="1233" w:type="pct"/>
            <w:textDirection w:val="lrTb"/>
            <w:noWrap w:val="false"/>
          </w:tcPr>
          <w:p>
            <w:pPr>
              <w:jc w:val="both"/>
            </w:pPr>
            <w:r>
              <w:t xml:space="preserve">Сети горячего водоснабжения от котельной № 13/73.</w:t>
            </w:r>
            <w:r/>
          </w:p>
        </w:tc>
        <w:tc>
          <w:tcPr>
            <w:tcW w:w="622" w:type="pct"/>
            <w:vAlign w:val="center"/>
            <w:textDirection w:val="lrTb"/>
            <w:noWrap w:val="false"/>
          </w:tcPr>
          <w:p>
            <w:pPr>
              <w:jc w:val="center"/>
            </w:pPr>
            <w:r>
              <w:t xml:space="preserve">1972 г.</w:t>
            </w:r>
            <w:r/>
          </w:p>
        </w:tc>
        <w:tc>
          <w:tcPr>
            <w:tcW w:w="922" w:type="pct"/>
            <w:vAlign w:val="center"/>
            <w:textDirection w:val="lrTb"/>
            <w:noWrap w:val="false"/>
          </w:tcPr>
          <w:p>
            <w:pPr>
              <w:jc w:val="center"/>
            </w:pPr>
            <w:r>
              <w:t xml:space="preserve">23 175 912,00</w:t>
            </w:r>
            <w:r/>
          </w:p>
        </w:tc>
        <w:tc>
          <w:tcPr>
            <w:tcW w:w="867" w:type="pct"/>
            <w:vAlign w:val="center"/>
            <w:textDirection w:val="lrTb"/>
            <w:noWrap w:val="false"/>
          </w:tcPr>
          <w:p>
            <w:pPr>
              <w:jc w:val="center"/>
            </w:pPr>
            <w:r>
              <w:t xml:space="preserve">23 175 912,00</w:t>
            </w:r>
            <w:r/>
          </w:p>
        </w:tc>
        <w:tc>
          <w:tcPr>
            <w:tcW w:w="1077" w:type="pct"/>
            <w:vAlign w:val="center"/>
            <w:textDirection w:val="lrTb"/>
            <w:noWrap w:val="false"/>
          </w:tcPr>
          <w:p>
            <w:pPr>
              <w:jc w:val="center"/>
              <w:rPr>
                <w:sz w:val="20"/>
                <w:szCs w:val="20"/>
              </w:rPr>
            </w:pPr>
            <w:r>
              <w:rPr>
                <w:sz w:val="20"/>
                <w:szCs w:val="20"/>
              </w:rPr>
              <w:t xml:space="preserve">удовлетворительное</w:t>
            </w:r>
            <w:r>
              <w:rPr>
                <w:sz w:val="20"/>
                <w:szCs w:val="20"/>
              </w:rPr>
            </w:r>
            <w:r>
              <w:rPr>
                <w:sz w:val="20"/>
                <w:szCs w:val="20"/>
              </w:rPr>
            </w:r>
          </w:p>
        </w:tc>
      </w:tr>
      <w:tr>
        <w:tblPrEx/>
        <w:trPr>
          <w:trHeight w:val="70"/>
        </w:trPr>
        <w:tc>
          <w:tcPr>
            <w:tcW w:w="279" w:type="pct"/>
            <w:textDirection w:val="lrTb"/>
            <w:noWrap w:val="false"/>
          </w:tcPr>
          <w:p>
            <w:pPr>
              <w:jc w:val="center"/>
              <w:rPr>
                <w:lang w:eastAsia="en-US"/>
              </w:rPr>
            </w:pPr>
            <w:r>
              <w:rPr>
                <w:lang w:eastAsia="en-US"/>
              </w:rPr>
              <w:t xml:space="preserve">4.</w:t>
            </w:r>
            <w:r>
              <w:rPr>
                <w:lang w:eastAsia="en-US"/>
              </w:rPr>
            </w:r>
            <w:r>
              <w:rPr>
                <w:lang w:eastAsia="en-US"/>
              </w:rPr>
            </w:r>
          </w:p>
        </w:tc>
        <w:tc>
          <w:tcPr>
            <w:tcW w:w="1233" w:type="pct"/>
            <w:textDirection w:val="lrTb"/>
            <w:noWrap w:val="false"/>
          </w:tcPr>
          <w:p>
            <w:r>
              <w:t xml:space="preserve">Здание (нежилое здание, котельная </w:t>
              <w:br/>
              <w:t xml:space="preserve">№ 13/55).</w:t>
            </w:r>
            <w:r/>
          </w:p>
        </w:tc>
        <w:tc>
          <w:tcPr>
            <w:tcW w:w="622" w:type="pct"/>
            <w:vAlign w:val="center"/>
            <w:textDirection w:val="lrTb"/>
            <w:noWrap w:val="false"/>
          </w:tcPr>
          <w:p>
            <w:pPr>
              <w:jc w:val="center"/>
            </w:pPr>
            <w:r>
              <w:t xml:space="preserve">1961 г.</w:t>
            </w:r>
            <w:r/>
          </w:p>
        </w:tc>
        <w:tc>
          <w:tcPr>
            <w:tcW w:w="922" w:type="pct"/>
            <w:vAlign w:val="center"/>
            <w:textDirection w:val="lrTb"/>
            <w:noWrap w:val="false"/>
          </w:tcPr>
          <w:p>
            <w:pPr>
              <w:jc w:val="center"/>
            </w:pPr>
            <w:r>
              <w:t xml:space="preserve">1 040 663,59</w:t>
            </w:r>
            <w:r/>
          </w:p>
        </w:tc>
        <w:tc>
          <w:tcPr>
            <w:tcW w:w="867" w:type="pct"/>
            <w:vAlign w:val="center"/>
            <w:textDirection w:val="lrTb"/>
            <w:noWrap w:val="false"/>
          </w:tcPr>
          <w:p>
            <w:pPr>
              <w:jc w:val="center"/>
            </w:pPr>
            <w:r>
              <w:t xml:space="preserve">529 448,86</w:t>
            </w:r>
            <w:r/>
          </w:p>
        </w:tc>
        <w:tc>
          <w:tcPr>
            <w:tcW w:w="1077" w:type="pct"/>
            <w:vAlign w:val="center"/>
            <w:textDirection w:val="lrTb"/>
            <w:noWrap w:val="false"/>
          </w:tcPr>
          <w:p>
            <w:pPr>
              <w:jc w:val="center"/>
              <w:rPr>
                <w:sz w:val="20"/>
                <w:szCs w:val="20"/>
              </w:rPr>
            </w:pPr>
            <w:r>
              <w:rPr>
                <w:sz w:val="20"/>
                <w:szCs w:val="20"/>
              </w:rPr>
              <w:t xml:space="preserve">удовлетворительное</w:t>
            </w:r>
            <w:r>
              <w:rPr>
                <w:sz w:val="20"/>
                <w:szCs w:val="20"/>
              </w:rPr>
            </w:r>
            <w:r>
              <w:rPr>
                <w:sz w:val="20"/>
                <w:szCs w:val="20"/>
              </w:rPr>
            </w:r>
          </w:p>
        </w:tc>
      </w:tr>
      <w:tr>
        <w:tblPrEx/>
        <w:trPr>
          <w:trHeight w:val="456"/>
        </w:trPr>
        <w:tc>
          <w:tcPr>
            <w:tcW w:w="279" w:type="pct"/>
            <w:textDirection w:val="lrTb"/>
            <w:noWrap w:val="false"/>
          </w:tcPr>
          <w:p>
            <w:pPr>
              <w:jc w:val="center"/>
              <w:rPr>
                <w:lang w:eastAsia="en-US"/>
              </w:rPr>
            </w:pPr>
            <w:r>
              <w:rPr>
                <w:lang w:eastAsia="en-US"/>
              </w:rPr>
              <w:t xml:space="preserve">5.</w:t>
            </w:r>
            <w:r>
              <w:rPr>
                <w:lang w:eastAsia="en-US"/>
              </w:rPr>
            </w:r>
            <w:r>
              <w:rPr>
                <w:lang w:eastAsia="en-US"/>
              </w:rPr>
            </w:r>
          </w:p>
        </w:tc>
        <w:tc>
          <w:tcPr>
            <w:tcW w:w="1233" w:type="pct"/>
            <w:textDirection w:val="lrTb"/>
            <w:noWrap w:val="false"/>
          </w:tcPr>
          <w:p>
            <w:r>
              <w:t xml:space="preserve">Тепловые сети от котельной № 13/55. </w:t>
            </w:r>
            <w:r/>
          </w:p>
        </w:tc>
        <w:tc>
          <w:tcPr>
            <w:tcW w:w="622" w:type="pct"/>
            <w:vAlign w:val="center"/>
            <w:textDirection w:val="lrTb"/>
            <w:noWrap w:val="false"/>
          </w:tcPr>
          <w:p>
            <w:pPr>
              <w:jc w:val="center"/>
            </w:pPr>
            <w:r>
              <w:t xml:space="preserve">1962 г.</w:t>
            </w:r>
            <w:r/>
          </w:p>
        </w:tc>
        <w:tc>
          <w:tcPr>
            <w:tcW w:w="922" w:type="pct"/>
            <w:vAlign w:val="center"/>
            <w:textDirection w:val="lrTb"/>
            <w:noWrap w:val="false"/>
          </w:tcPr>
          <w:p>
            <w:pPr>
              <w:jc w:val="center"/>
            </w:pPr>
            <w:r>
              <w:t xml:space="preserve">8 183 075,00</w:t>
            </w:r>
            <w:r/>
          </w:p>
        </w:tc>
        <w:tc>
          <w:tcPr>
            <w:tcW w:w="867" w:type="pct"/>
            <w:vAlign w:val="center"/>
            <w:textDirection w:val="lrTb"/>
            <w:noWrap w:val="false"/>
          </w:tcPr>
          <w:p>
            <w:pPr>
              <w:jc w:val="center"/>
            </w:pPr>
            <w:r>
              <w:t xml:space="preserve">8 183 075,00</w:t>
            </w:r>
            <w:r/>
          </w:p>
        </w:tc>
        <w:tc>
          <w:tcPr>
            <w:tcW w:w="1077" w:type="pct"/>
            <w:vAlign w:val="center"/>
            <w:textDirection w:val="lrTb"/>
            <w:noWrap w:val="false"/>
          </w:tcPr>
          <w:p>
            <w:pPr>
              <w:jc w:val="center"/>
              <w:rPr>
                <w:sz w:val="20"/>
                <w:szCs w:val="20"/>
              </w:rPr>
            </w:pPr>
            <w:r>
              <w:rPr>
                <w:sz w:val="20"/>
                <w:szCs w:val="20"/>
              </w:rPr>
              <w:t xml:space="preserve">удовлетворительное</w:t>
            </w:r>
            <w:r>
              <w:rPr>
                <w:sz w:val="20"/>
                <w:szCs w:val="20"/>
              </w:rPr>
            </w:r>
            <w:r>
              <w:rPr>
                <w:sz w:val="20"/>
                <w:szCs w:val="20"/>
              </w:rPr>
            </w:r>
          </w:p>
        </w:tc>
      </w:tr>
      <w:tr>
        <w:tblPrEx/>
        <w:trPr>
          <w:trHeight w:val="615"/>
        </w:trPr>
        <w:tc>
          <w:tcPr>
            <w:tcW w:w="279" w:type="pct"/>
            <w:textDirection w:val="lrTb"/>
            <w:noWrap w:val="false"/>
          </w:tcPr>
          <w:p>
            <w:pPr>
              <w:ind w:left="1080"/>
              <w:jc w:val="center"/>
              <w:rPr>
                <w:lang w:eastAsia="en-US"/>
              </w:rPr>
            </w:pPr>
            <w:r>
              <w:rPr>
                <w:lang w:eastAsia="en-US"/>
              </w:rPr>
              <w:t xml:space="preserve">6</w:t>
            </w:r>
            <w:r>
              <w:rPr>
                <w:lang w:eastAsia="en-US"/>
              </w:rPr>
            </w:r>
            <w:r>
              <w:rPr>
                <w:lang w:eastAsia="en-US"/>
              </w:rPr>
            </w:r>
          </w:p>
          <w:p>
            <w:pPr>
              <w:jc w:val="center"/>
              <w:rPr>
                <w:lang w:eastAsia="en-US"/>
              </w:rPr>
            </w:pPr>
            <w:r>
              <w:rPr>
                <w:lang w:eastAsia="en-US"/>
              </w:rPr>
              <w:t xml:space="preserve">6.</w:t>
            </w:r>
            <w:r>
              <w:rPr>
                <w:lang w:eastAsia="en-US"/>
              </w:rPr>
            </w:r>
            <w:r>
              <w:rPr>
                <w:lang w:eastAsia="en-US"/>
              </w:rPr>
            </w:r>
          </w:p>
        </w:tc>
        <w:tc>
          <w:tcPr>
            <w:tcW w:w="1233" w:type="pct"/>
            <w:textDirection w:val="lrTb"/>
            <w:noWrap w:val="false"/>
          </w:tcPr>
          <w:p>
            <w:r>
              <w:t xml:space="preserve">Здание (нежилое здание, котельная </w:t>
              <w:br/>
              <w:t xml:space="preserve">№ 4/152).</w:t>
            </w:r>
            <w:r/>
          </w:p>
        </w:tc>
        <w:tc>
          <w:tcPr>
            <w:tcW w:w="622" w:type="pct"/>
            <w:vAlign w:val="center"/>
            <w:textDirection w:val="lrTb"/>
            <w:noWrap w:val="false"/>
          </w:tcPr>
          <w:p>
            <w:pPr>
              <w:jc w:val="center"/>
            </w:pPr>
            <w:r>
              <w:t xml:space="preserve">1969 г.</w:t>
            </w:r>
            <w:r/>
          </w:p>
        </w:tc>
        <w:tc>
          <w:tcPr>
            <w:tcW w:w="922" w:type="pct"/>
            <w:vAlign w:val="center"/>
            <w:textDirection w:val="lrTb"/>
            <w:noWrap w:val="false"/>
          </w:tcPr>
          <w:p>
            <w:pPr>
              <w:jc w:val="center"/>
            </w:pPr>
            <w:r>
              <w:t xml:space="preserve">37 844 443,34</w:t>
            </w:r>
            <w:r/>
          </w:p>
        </w:tc>
        <w:tc>
          <w:tcPr>
            <w:tcW w:w="867" w:type="pct"/>
            <w:vAlign w:val="center"/>
            <w:textDirection w:val="lrTb"/>
            <w:noWrap w:val="false"/>
          </w:tcPr>
          <w:p>
            <w:pPr>
              <w:jc w:val="center"/>
            </w:pPr>
            <w:r>
              <w:t xml:space="preserve">18 476 32,43</w:t>
            </w:r>
            <w:r/>
          </w:p>
        </w:tc>
        <w:tc>
          <w:tcPr>
            <w:tcW w:w="1077" w:type="pct"/>
            <w:vAlign w:val="center"/>
            <w:textDirection w:val="lrTb"/>
            <w:noWrap w:val="false"/>
          </w:tcPr>
          <w:p>
            <w:pPr>
              <w:jc w:val="center"/>
              <w:rPr>
                <w:sz w:val="20"/>
                <w:szCs w:val="20"/>
              </w:rPr>
            </w:pPr>
            <w:r>
              <w:rPr>
                <w:sz w:val="20"/>
                <w:szCs w:val="20"/>
              </w:rPr>
              <w:t xml:space="preserve">удовлетворительное</w:t>
            </w:r>
            <w:r>
              <w:rPr>
                <w:sz w:val="20"/>
                <w:szCs w:val="20"/>
              </w:rPr>
            </w:r>
            <w:r>
              <w:rPr>
                <w:sz w:val="20"/>
                <w:szCs w:val="20"/>
              </w:rPr>
            </w:r>
          </w:p>
        </w:tc>
      </w:tr>
      <w:tr>
        <w:tblPrEx/>
        <w:trPr>
          <w:trHeight w:val="615"/>
        </w:trPr>
        <w:tc>
          <w:tcPr>
            <w:tcW w:w="279" w:type="pct"/>
            <w:textDirection w:val="lrTb"/>
            <w:noWrap w:val="false"/>
          </w:tcPr>
          <w:p>
            <w:pPr>
              <w:ind w:left="1080"/>
              <w:jc w:val="center"/>
              <w:rPr>
                <w:lang w:eastAsia="en-US"/>
              </w:rPr>
            </w:pPr>
            <w:r>
              <w:rPr>
                <w:lang w:eastAsia="en-US"/>
              </w:rPr>
            </w:r>
            <w:r>
              <w:rPr>
                <w:lang w:eastAsia="en-US"/>
              </w:rPr>
            </w:r>
            <w:r>
              <w:rPr>
                <w:lang w:eastAsia="en-US"/>
              </w:rPr>
            </w:r>
          </w:p>
          <w:p>
            <w:pPr>
              <w:jc w:val="center"/>
              <w:rPr>
                <w:lang w:eastAsia="en-US"/>
              </w:rPr>
            </w:pPr>
            <w:r>
              <w:rPr>
                <w:lang w:eastAsia="en-US"/>
              </w:rPr>
              <w:t xml:space="preserve">7.</w:t>
            </w:r>
            <w:r>
              <w:rPr>
                <w:lang w:eastAsia="en-US"/>
              </w:rPr>
            </w:r>
            <w:r>
              <w:rPr>
                <w:lang w:eastAsia="en-US"/>
              </w:rPr>
            </w:r>
          </w:p>
        </w:tc>
        <w:tc>
          <w:tcPr>
            <w:tcW w:w="1233" w:type="pct"/>
            <w:textDirection w:val="lrTb"/>
            <w:noWrap w:val="false"/>
          </w:tcPr>
          <w:p>
            <w:pPr>
              <w:jc w:val="both"/>
            </w:pPr>
            <w:r>
              <w:t xml:space="preserve">Тепловые сети котельной № 4/152.</w:t>
            </w:r>
            <w:r/>
          </w:p>
        </w:tc>
        <w:tc>
          <w:tcPr>
            <w:tcW w:w="622" w:type="pct"/>
            <w:vAlign w:val="center"/>
            <w:textDirection w:val="lrTb"/>
            <w:noWrap w:val="false"/>
          </w:tcPr>
          <w:p>
            <w:pPr>
              <w:jc w:val="center"/>
            </w:pPr>
            <w:r>
              <w:t xml:space="preserve">2008 г.</w:t>
            </w:r>
            <w:r/>
          </w:p>
        </w:tc>
        <w:tc>
          <w:tcPr>
            <w:tcW w:w="922" w:type="pct"/>
            <w:vAlign w:val="center"/>
            <w:textDirection w:val="lrTb"/>
            <w:noWrap w:val="false"/>
          </w:tcPr>
          <w:p>
            <w:pPr>
              <w:jc w:val="center"/>
            </w:pPr>
            <w:r>
              <w:t xml:space="preserve">17 529 970,00</w:t>
            </w:r>
            <w:r/>
          </w:p>
        </w:tc>
        <w:tc>
          <w:tcPr>
            <w:tcW w:w="867" w:type="pct"/>
            <w:vAlign w:val="center"/>
            <w:textDirection w:val="lrTb"/>
            <w:noWrap w:val="false"/>
          </w:tcPr>
          <w:p>
            <w:pPr>
              <w:jc w:val="center"/>
            </w:pPr>
            <w:r>
              <w:t xml:space="preserve">17 529 970,00</w:t>
            </w:r>
            <w:r/>
          </w:p>
        </w:tc>
        <w:tc>
          <w:tcPr>
            <w:tcW w:w="1077" w:type="pct"/>
            <w:vAlign w:val="center"/>
            <w:textDirection w:val="lrTb"/>
            <w:noWrap w:val="false"/>
          </w:tcPr>
          <w:p>
            <w:pPr>
              <w:jc w:val="center"/>
              <w:rPr>
                <w:sz w:val="20"/>
                <w:szCs w:val="20"/>
              </w:rPr>
            </w:pPr>
            <w:r>
              <w:rPr>
                <w:sz w:val="20"/>
                <w:szCs w:val="20"/>
              </w:rPr>
              <w:t xml:space="preserve">удовлетворительное</w:t>
            </w:r>
            <w:r>
              <w:rPr>
                <w:sz w:val="20"/>
                <w:szCs w:val="20"/>
              </w:rPr>
            </w:r>
            <w:r>
              <w:rPr>
                <w:sz w:val="20"/>
                <w:szCs w:val="20"/>
              </w:rPr>
            </w:r>
          </w:p>
        </w:tc>
      </w:tr>
      <w:tr>
        <w:tblPrEx/>
        <w:trPr>
          <w:trHeight w:val="615"/>
        </w:trPr>
        <w:tc>
          <w:tcPr>
            <w:tcW w:w="279" w:type="pct"/>
            <w:textDirection w:val="lrTb"/>
            <w:noWrap w:val="false"/>
          </w:tcPr>
          <w:p>
            <w:pPr>
              <w:ind w:left="1080"/>
              <w:jc w:val="center"/>
              <w:rPr>
                <w:lang w:eastAsia="en-US"/>
              </w:rPr>
            </w:pPr>
            <w:r>
              <w:rPr>
                <w:lang w:eastAsia="en-US"/>
              </w:rPr>
            </w:r>
            <w:r>
              <w:rPr>
                <w:lang w:eastAsia="en-US"/>
              </w:rPr>
            </w:r>
            <w:r>
              <w:rPr>
                <w:lang w:eastAsia="en-US"/>
              </w:rPr>
            </w:r>
          </w:p>
          <w:p>
            <w:pPr>
              <w:jc w:val="center"/>
              <w:rPr>
                <w:lang w:eastAsia="en-US"/>
              </w:rPr>
            </w:pPr>
            <w:r>
              <w:rPr>
                <w:lang w:eastAsia="en-US"/>
              </w:rPr>
              <w:t xml:space="preserve">8.</w:t>
            </w:r>
            <w:r>
              <w:rPr>
                <w:lang w:eastAsia="en-US"/>
              </w:rPr>
            </w:r>
            <w:r>
              <w:rPr>
                <w:lang w:eastAsia="en-US"/>
              </w:rPr>
            </w:r>
          </w:p>
        </w:tc>
        <w:tc>
          <w:tcPr>
            <w:tcW w:w="1233" w:type="pct"/>
            <w:textDirection w:val="lrTb"/>
            <w:noWrap w:val="false"/>
          </w:tcPr>
          <w:p>
            <w:pPr>
              <w:jc w:val="both"/>
            </w:pPr>
            <w:r>
              <w:t xml:space="preserve">Сети горячего водоснабжения от котельной № 4/152.</w:t>
            </w:r>
            <w:r/>
          </w:p>
        </w:tc>
        <w:tc>
          <w:tcPr>
            <w:tcW w:w="622" w:type="pct"/>
            <w:vAlign w:val="center"/>
            <w:textDirection w:val="lrTb"/>
            <w:noWrap w:val="false"/>
          </w:tcPr>
          <w:p>
            <w:pPr>
              <w:jc w:val="center"/>
            </w:pPr>
            <w:r>
              <w:t xml:space="preserve">1983 г. </w:t>
            </w:r>
            <w:r/>
          </w:p>
        </w:tc>
        <w:tc>
          <w:tcPr>
            <w:tcW w:w="922" w:type="pct"/>
            <w:vAlign w:val="center"/>
            <w:textDirection w:val="lrTb"/>
            <w:noWrap w:val="false"/>
          </w:tcPr>
          <w:p>
            <w:pPr>
              <w:jc w:val="center"/>
            </w:pPr>
            <w:r>
              <w:t xml:space="preserve">1 406 186,60</w:t>
            </w:r>
            <w:r/>
          </w:p>
        </w:tc>
        <w:tc>
          <w:tcPr>
            <w:tcW w:w="867" w:type="pct"/>
            <w:vAlign w:val="center"/>
            <w:textDirection w:val="lrTb"/>
            <w:noWrap w:val="false"/>
          </w:tcPr>
          <w:p>
            <w:pPr>
              <w:jc w:val="center"/>
            </w:pPr>
            <w:r>
              <w:t xml:space="preserve">1 406 186,60</w:t>
            </w:r>
            <w:r/>
          </w:p>
        </w:tc>
        <w:tc>
          <w:tcPr>
            <w:tcW w:w="1077" w:type="pct"/>
            <w:vAlign w:val="center"/>
            <w:textDirection w:val="lrTb"/>
            <w:noWrap w:val="false"/>
          </w:tcPr>
          <w:p>
            <w:pPr>
              <w:jc w:val="center"/>
              <w:rPr>
                <w:sz w:val="20"/>
                <w:szCs w:val="20"/>
              </w:rPr>
            </w:pPr>
            <w:r>
              <w:rPr>
                <w:sz w:val="20"/>
                <w:szCs w:val="20"/>
              </w:rPr>
              <w:t xml:space="preserve">удовлетворительное</w:t>
            </w:r>
            <w:r>
              <w:rPr>
                <w:sz w:val="20"/>
                <w:szCs w:val="20"/>
              </w:rPr>
            </w:r>
            <w:r>
              <w:rPr>
                <w:sz w:val="20"/>
                <w:szCs w:val="20"/>
              </w:rPr>
            </w:r>
          </w:p>
        </w:tc>
      </w:tr>
      <w:tr>
        <w:tblPrEx/>
        <w:trPr>
          <w:trHeight w:val="615"/>
        </w:trPr>
        <w:tc>
          <w:tcPr>
            <w:tcW w:w="279" w:type="pct"/>
            <w:textDirection w:val="lrTb"/>
            <w:noWrap w:val="false"/>
          </w:tcPr>
          <w:p>
            <w:pPr>
              <w:ind w:left="1080"/>
              <w:jc w:val="center"/>
              <w:rPr>
                <w:lang w:eastAsia="en-US"/>
              </w:rPr>
            </w:pPr>
            <w:r>
              <w:rPr>
                <w:lang w:eastAsia="en-US"/>
              </w:rPr>
            </w:r>
            <w:r>
              <w:rPr>
                <w:lang w:eastAsia="en-US"/>
              </w:rPr>
            </w:r>
            <w:r>
              <w:rPr>
                <w:lang w:eastAsia="en-US"/>
              </w:rPr>
            </w:r>
          </w:p>
          <w:p>
            <w:pPr>
              <w:jc w:val="center"/>
              <w:rPr>
                <w:lang w:eastAsia="en-US"/>
              </w:rPr>
            </w:pPr>
            <w:r>
              <w:rPr>
                <w:lang w:eastAsia="en-US"/>
              </w:rPr>
              <w:t xml:space="preserve">9.</w:t>
            </w:r>
            <w:r>
              <w:rPr>
                <w:lang w:eastAsia="en-US"/>
              </w:rPr>
            </w:r>
            <w:r>
              <w:rPr>
                <w:lang w:eastAsia="en-US"/>
              </w:rPr>
            </w:r>
          </w:p>
        </w:tc>
        <w:tc>
          <w:tcPr>
            <w:tcW w:w="1233" w:type="pct"/>
            <w:textDirection w:val="lrTb"/>
            <w:noWrap w:val="false"/>
          </w:tcPr>
          <w:p>
            <w:pPr>
              <w:jc w:val="both"/>
            </w:pPr>
            <w:r>
              <w:t xml:space="preserve">Здание (нежилое здание, котельная </w:t>
              <w:br/>
              <w:t xml:space="preserve">№ 42/138).</w:t>
            </w:r>
            <w:r/>
          </w:p>
        </w:tc>
        <w:tc>
          <w:tcPr>
            <w:tcW w:w="622" w:type="pct"/>
            <w:vAlign w:val="center"/>
            <w:textDirection w:val="lrTb"/>
            <w:noWrap w:val="false"/>
          </w:tcPr>
          <w:p>
            <w:pPr>
              <w:jc w:val="center"/>
            </w:pPr>
            <w:r>
              <w:t xml:space="preserve">2009 г.</w:t>
            </w:r>
            <w:r/>
          </w:p>
        </w:tc>
        <w:tc>
          <w:tcPr>
            <w:tcW w:w="922" w:type="pct"/>
            <w:vAlign w:val="center"/>
            <w:textDirection w:val="lrTb"/>
            <w:noWrap w:val="false"/>
          </w:tcPr>
          <w:p>
            <w:pPr>
              <w:jc w:val="center"/>
            </w:pPr>
            <w:r>
              <w:t xml:space="preserve">4 579 787,52</w:t>
            </w:r>
            <w:r/>
          </w:p>
        </w:tc>
        <w:tc>
          <w:tcPr>
            <w:tcW w:w="867" w:type="pct"/>
            <w:vAlign w:val="center"/>
            <w:textDirection w:val="lrTb"/>
            <w:noWrap w:val="false"/>
          </w:tcPr>
          <w:p>
            <w:pPr>
              <w:jc w:val="center"/>
            </w:pPr>
            <w:r>
              <w:t xml:space="preserve">4 579 787,52</w:t>
            </w:r>
            <w:r/>
          </w:p>
        </w:tc>
        <w:tc>
          <w:tcPr>
            <w:tcW w:w="1077" w:type="pct"/>
            <w:vAlign w:val="center"/>
            <w:textDirection w:val="lrTb"/>
            <w:noWrap w:val="false"/>
          </w:tcPr>
          <w:p>
            <w:pPr>
              <w:jc w:val="center"/>
              <w:rPr>
                <w:sz w:val="20"/>
                <w:szCs w:val="20"/>
              </w:rPr>
            </w:pPr>
            <w:r>
              <w:rPr>
                <w:sz w:val="20"/>
                <w:szCs w:val="20"/>
              </w:rPr>
              <w:t xml:space="preserve">удовлетворительное</w:t>
            </w:r>
            <w:r>
              <w:rPr>
                <w:sz w:val="20"/>
                <w:szCs w:val="20"/>
              </w:rPr>
            </w:r>
            <w:r>
              <w:rPr>
                <w:sz w:val="20"/>
                <w:szCs w:val="20"/>
              </w:rPr>
            </w:r>
          </w:p>
        </w:tc>
      </w:tr>
      <w:tr>
        <w:tblPrEx/>
        <w:trPr>
          <w:trHeight w:val="615"/>
        </w:trPr>
        <w:tc>
          <w:tcPr>
            <w:tcW w:w="279" w:type="pct"/>
            <w:textDirection w:val="lrTb"/>
            <w:noWrap w:val="false"/>
          </w:tcPr>
          <w:p>
            <w:pPr>
              <w:ind w:left="1080"/>
              <w:jc w:val="center"/>
              <w:rPr>
                <w:lang w:eastAsia="en-US"/>
              </w:rPr>
            </w:pPr>
            <w:r>
              <w:rPr>
                <w:lang w:eastAsia="en-US"/>
              </w:rPr>
            </w:r>
            <w:r>
              <w:rPr>
                <w:lang w:eastAsia="en-US"/>
              </w:rPr>
            </w:r>
            <w:r>
              <w:rPr>
                <w:lang w:eastAsia="en-US"/>
              </w:rPr>
            </w:r>
          </w:p>
          <w:p>
            <w:pPr>
              <w:jc w:val="center"/>
              <w:rPr>
                <w:lang w:eastAsia="en-US"/>
              </w:rPr>
            </w:pPr>
            <w:r>
              <w:rPr>
                <w:lang w:eastAsia="en-US"/>
              </w:rPr>
              <w:t xml:space="preserve">10.</w:t>
            </w:r>
            <w:r>
              <w:rPr>
                <w:lang w:eastAsia="en-US"/>
              </w:rPr>
            </w:r>
            <w:r>
              <w:rPr>
                <w:lang w:eastAsia="en-US"/>
              </w:rPr>
            </w:r>
          </w:p>
        </w:tc>
        <w:tc>
          <w:tcPr>
            <w:tcW w:w="1233" w:type="pct"/>
            <w:textDirection w:val="lrTb"/>
            <w:noWrap w:val="false"/>
          </w:tcPr>
          <w:p>
            <w:pPr>
              <w:jc w:val="both"/>
            </w:pPr>
            <w:r>
              <w:t xml:space="preserve">Тепловая трасса военного городка </w:t>
              <w:br/>
              <w:t xml:space="preserve">№ 42.</w:t>
            </w:r>
            <w:r/>
          </w:p>
        </w:tc>
        <w:tc>
          <w:tcPr>
            <w:tcW w:w="622" w:type="pct"/>
            <w:vAlign w:val="center"/>
            <w:textDirection w:val="lrTb"/>
            <w:noWrap w:val="false"/>
          </w:tcPr>
          <w:p>
            <w:pPr>
              <w:jc w:val="center"/>
            </w:pPr>
            <w:r>
              <w:t xml:space="preserve">1981 г.</w:t>
            </w:r>
            <w:r/>
          </w:p>
        </w:tc>
        <w:tc>
          <w:tcPr>
            <w:tcW w:w="922" w:type="pct"/>
            <w:vAlign w:val="center"/>
            <w:textDirection w:val="lrTb"/>
            <w:noWrap w:val="false"/>
          </w:tcPr>
          <w:p>
            <w:pPr>
              <w:jc w:val="center"/>
            </w:pPr>
            <w:r>
              <w:t xml:space="preserve">6 442 256,16</w:t>
            </w:r>
            <w:r/>
          </w:p>
        </w:tc>
        <w:tc>
          <w:tcPr>
            <w:tcW w:w="867" w:type="pct"/>
            <w:vAlign w:val="center"/>
            <w:textDirection w:val="lrTb"/>
            <w:noWrap w:val="false"/>
          </w:tcPr>
          <w:p>
            <w:pPr>
              <w:jc w:val="center"/>
            </w:pPr>
            <w:r>
              <w:t xml:space="preserve">6 442 256,16</w:t>
            </w:r>
            <w:r/>
          </w:p>
        </w:tc>
        <w:tc>
          <w:tcPr>
            <w:tcW w:w="1077" w:type="pct"/>
            <w:vAlign w:val="center"/>
            <w:textDirection w:val="lrTb"/>
            <w:noWrap w:val="false"/>
          </w:tcPr>
          <w:p>
            <w:pPr>
              <w:jc w:val="center"/>
              <w:rPr>
                <w:sz w:val="20"/>
                <w:szCs w:val="20"/>
              </w:rPr>
            </w:pPr>
            <w:r>
              <w:rPr>
                <w:sz w:val="20"/>
                <w:szCs w:val="20"/>
              </w:rPr>
              <w:t xml:space="preserve">удовлетворительное</w:t>
            </w:r>
            <w:r>
              <w:rPr>
                <w:sz w:val="20"/>
                <w:szCs w:val="20"/>
              </w:rPr>
            </w:r>
            <w:r>
              <w:rPr>
                <w:sz w:val="20"/>
                <w:szCs w:val="20"/>
              </w:rPr>
            </w:r>
          </w:p>
        </w:tc>
      </w:tr>
      <w:tr>
        <w:tblPrEx/>
        <w:trPr>
          <w:trHeight w:val="615"/>
        </w:trPr>
        <w:tc>
          <w:tcPr>
            <w:tcW w:w="279" w:type="pct"/>
            <w:textDirection w:val="lrTb"/>
            <w:noWrap w:val="false"/>
          </w:tcPr>
          <w:p>
            <w:pPr>
              <w:ind w:left="1080"/>
              <w:jc w:val="center"/>
              <w:rPr>
                <w:lang w:eastAsia="en-US"/>
              </w:rPr>
            </w:pPr>
            <w:r>
              <w:rPr>
                <w:lang w:eastAsia="en-US"/>
              </w:rPr>
            </w:r>
            <w:r>
              <w:rPr>
                <w:lang w:eastAsia="en-US"/>
              </w:rPr>
            </w:r>
            <w:r>
              <w:rPr>
                <w:lang w:eastAsia="en-US"/>
              </w:rPr>
            </w:r>
          </w:p>
          <w:p>
            <w:pPr>
              <w:jc w:val="center"/>
              <w:rPr>
                <w:lang w:eastAsia="en-US"/>
              </w:rPr>
            </w:pPr>
            <w:r>
              <w:rPr>
                <w:lang w:eastAsia="en-US"/>
              </w:rPr>
              <w:t xml:space="preserve">11.</w:t>
            </w:r>
            <w:r>
              <w:rPr>
                <w:lang w:eastAsia="en-US"/>
              </w:rPr>
            </w:r>
            <w:r>
              <w:rPr>
                <w:lang w:eastAsia="en-US"/>
              </w:rPr>
            </w:r>
          </w:p>
        </w:tc>
        <w:tc>
          <w:tcPr>
            <w:tcW w:w="1233" w:type="pct"/>
            <w:textDirection w:val="lrTb"/>
            <w:noWrap w:val="false"/>
          </w:tcPr>
          <w:p>
            <w:pPr>
              <w:jc w:val="both"/>
            </w:pPr>
            <w:r>
              <w:t xml:space="preserve">Сети водопровода от котельной военного городка </w:t>
              <w:br/>
              <w:t xml:space="preserve">№ 42.</w:t>
            </w:r>
            <w:r/>
          </w:p>
        </w:tc>
        <w:tc>
          <w:tcPr>
            <w:tcW w:w="622" w:type="pct"/>
            <w:vAlign w:val="center"/>
            <w:textDirection w:val="lrTb"/>
            <w:noWrap w:val="false"/>
          </w:tcPr>
          <w:p>
            <w:pPr>
              <w:jc w:val="center"/>
            </w:pPr>
            <w:r>
              <w:t xml:space="preserve">1981 г.</w:t>
            </w:r>
            <w:r/>
          </w:p>
        </w:tc>
        <w:tc>
          <w:tcPr>
            <w:tcW w:w="922" w:type="pct"/>
            <w:vAlign w:val="center"/>
            <w:textDirection w:val="lrTb"/>
            <w:noWrap w:val="false"/>
          </w:tcPr>
          <w:p>
            <w:pPr>
              <w:jc w:val="center"/>
            </w:pPr>
            <w:r>
              <w:t xml:space="preserve">2 516 860,35</w:t>
            </w:r>
            <w:r/>
          </w:p>
        </w:tc>
        <w:tc>
          <w:tcPr>
            <w:tcW w:w="867" w:type="pct"/>
            <w:vAlign w:val="center"/>
            <w:textDirection w:val="lrTb"/>
            <w:noWrap w:val="false"/>
          </w:tcPr>
          <w:p>
            <w:pPr>
              <w:jc w:val="center"/>
            </w:pPr>
            <w:r>
              <w:t xml:space="preserve">2 516 860,35</w:t>
            </w:r>
            <w:r/>
          </w:p>
        </w:tc>
        <w:tc>
          <w:tcPr>
            <w:tcW w:w="1077" w:type="pct"/>
            <w:vAlign w:val="center"/>
            <w:textDirection w:val="lrTb"/>
            <w:noWrap w:val="false"/>
          </w:tcPr>
          <w:p>
            <w:pPr>
              <w:jc w:val="center"/>
              <w:rPr>
                <w:sz w:val="20"/>
                <w:szCs w:val="20"/>
              </w:rPr>
            </w:pPr>
            <w:r>
              <w:rPr>
                <w:sz w:val="20"/>
                <w:szCs w:val="20"/>
              </w:rPr>
              <w:t xml:space="preserve">удовлетворительное</w:t>
            </w:r>
            <w:r>
              <w:rPr>
                <w:sz w:val="20"/>
                <w:szCs w:val="20"/>
              </w:rPr>
            </w:r>
            <w:r>
              <w:rPr>
                <w:sz w:val="20"/>
                <w:szCs w:val="20"/>
              </w:rPr>
            </w:r>
          </w:p>
        </w:tc>
      </w:tr>
    </w:tbl>
    <w:p>
      <w:r/>
      <w:r/>
    </w:p>
    <w:p>
      <w:r/>
      <w:r/>
    </w:p>
    <w:p>
      <w:r/>
      <w:r/>
    </w:p>
    <w:p>
      <w:r/>
      <w:r/>
    </w:p>
    <w:p>
      <w:r/>
      <w:r/>
    </w:p>
    <w:p>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1"/>
      <w:numFmt w:val="decimal"/>
      <w:isLgl w:val="false"/>
      <w:suff w:val="tab"/>
      <w:lvlText w:val="%1."/>
      <w:lvlJc w:val="left"/>
      <w:pPr>
        <w:ind w:left="1740" w:hanging="102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0">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2">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3">
    <w:multiLevelType w:val="hybridMultilevel"/>
    <w:lvl w:ilvl="0">
      <w:start w:val="1"/>
      <w:numFmt w:val="decimal"/>
      <w:isLgl w:val="false"/>
      <w:suff w:val="tab"/>
      <w:lvlText w:val="%1."/>
      <w:lvlJc w:val="left"/>
      <w:pPr>
        <w:ind w:left="644" w:hanging="360"/>
      </w:pPr>
      <w:rPr>
        <w:b/>
        <w:sz w:val="20"/>
        <w:szCs w:val="20"/>
      </w:rPr>
    </w:lvl>
    <w:lvl w:ilvl="1">
      <w:start w:val="1"/>
      <w:numFmt w:val="lowerLetter"/>
      <w:isLgl w:val="false"/>
      <w:suff w:val="tab"/>
      <w:lvlText w:val="%2."/>
      <w:lvlJc w:val="left"/>
      <w:pPr>
        <w:ind w:left="1014" w:hanging="360"/>
      </w:pPr>
    </w:lvl>
    <w:lvl w:ilvl="2">
      <w:start w:val="1"/>
      <w:numFmt w:val="lowerRoman"/>
      <w:isLgl w:val="false"/>
      <w:suff w:val="tab"/>
      <w:lvlText w:val="%3."/>
      <w:lvlJc w:val="right"/>
      <w:pPr>
        <w:ind w:left="1734" w:hanging="180"/>
      </w:pPr>
    </w:lvl>
    <w:lvl w:ilvl="3">
      <w:start w:val="1"/>
      <w:numFmt w:val="decimal"/>
      <w:isLgl w:val="false"/>
      <w:suff w:val="tab"/>
      <w:lvlText w:val="%4."/>
      <w:lvlJc w:val="left"/>
      <w:pPr>
        <w:ind w:left="2454" w:hanging="360"/>
      </w:pPr>
    </w:lvl>
    <w:lvl w:ilvl="4">
      <w:start w:val="1"/>
      <w:numFmt w:val="lowerLetter"/>
      <w:isLgl w:val="false"/>
      <w:suff w:val="tab"/>
      <w:lvlText w:val="%5."/>
      <w:lvlJc w:val="left"/>
      <w:pPr>
        <w:ind w:left="3174" w:hanging="360"/>
      </w:pPr>
    </w:lvl>
    <w:lvl w:ilvl="5">
      <w:start w:val="1"/>
      <w:numFmt w:val="lowerRoman"/>
      <w:isLgl w:val="false"/>
      <w:suff w:val="tab"/>
      <w:lvlText w:val="%6."/>
      <w:lvlJc w:val="right"/>
      <w:pPr>
        <w:ind w:left="3894" w:hanging="180"/>
      </w:pPr>
    </w:lvl>
    <w:lvl w:ilvl="6">
      <w:start w:val="1"/>
      <w:numFmt w:val="decimal"/>
      <w:isLgl w:val="false"/>
      <w:suff w:val="tab"/>
      <w:lvlText w:val="%7."/>
      <w:lvlJc w:val="left"/>
      <w:pPr>
        <w:ind w:left="4614" w:hanging="360"/>
      </w:pPr>
    </w:lvl>
    <w:lvl w:ilvl="7">
      <w:start w:val="1"/>
      <w:numFmt w:val="lowerLetter"/>
      <w:isLgl w:val="false"/>
      <w:suff w:val="tab"/>
      <w:lvlText w:val="%8."/>
      <w:lvlJc w:val="left"/>
      <w:pPr>
        <w:ind w:left="5334" w:hanging="360"/>
      </w:pPr>
    </w:lvl>
    <w:lvl w:ilvl="8">
      <w:start w:val="1"/>
      <w:numFmt w:val="lowerRoman"/>
      <w:isLgl w:val="false"/>
      <w:suff w:val="tab"/>
      <w:lvlText w:val="%9."/>
      <w:lvlJc w:val="right"/>
      <w:pPr>
        <w:ind w:left="6054" w:hanging="180"/>
      </w:pPr>
    </w:lvl>
  </w:abstractNum>
  <w:abstractNum w:abstractNumId="24">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5">
    <w:multiLevelType w:val="hybridMultilevel"/>
    <w:lvl w:ilvl="0">
      <w:start w:val="1"/>
      <w:numFmt w:val="decimal"/>
      <w:isLgl w:val="false"/>
      <w:suff w:val="tab"/>
      <w:lvlText w:val="%1."/>
      <w:lvlJc w:val="left"/>
      <w:pPr>
        <w:ind w:left="1871" w:hanging="1020"/>
      </w:p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6">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7">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8">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8"/>
  </w:num>
  <w:num w:numId="9">
    <w:abstractNumId w:val="14"/>
  </w:num>
  <w:num w:numId="10">
    <w:abstractNumId w:val="27"/>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1"/>
  </w:num>
  <w:num w:numId="24">
    <w:abstractNumId w:val="20"/>
  </w:num>
  <w:num w:numId="25">
    <w:abstractNumId w:val="22"/>
  </w:num>
  <w:num w:numId="26">
    <w:abstractNumId w:val="24"/>
  </w:num>
  <w:num w:numId="27">
    <w:abstractNumId w:val="26"/>
  </w:num>
  <w:num w:numId="28">
    <w:abstractNumId w:val="19"/>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85"/>
    <w:next w:val="885"/>
    <w:link w:val="714"/>
    <w:uiPriority w:val="9"/>
    <w:qFormat/>
    <w:pPr>
      <w:keepLines/>
      <w:keepNext/>
      <w:spacing w:before="480" w:after="200"/>
      <w:outlineLvl w:val="0"/>
    </w:pPr>
    <w:rPr>
      <w:rFonts w:ascii="Arial" w:hAnsi="Arial" w:eastAsia="Arial" w:cs="Arial"/>
      <w:sz w:val="40"/>
      <w:szCs w:val="40"/>
    </w:rPr>
  </w:style>
  <w:style w:type="character" w:styleId="714">
    <w:name w:val="Heading 1 Char"/>
    <w:basedOn w:val="887"/>
    <w:link w:val="713"/>
    <w:uiPriority w:val="9"/>
    <w:rPr>
      <w:rFonts w:ascii="Arial" w:hAnsi="Arial" w:eastAsia="Arial" w:cs="Arial"/>
      <w:sz w:val="40"/>
      <w:szCs w:val="40"/>
    </w:rPr>
  </w:style>
  <w:style w:type="character" w:styleId="715">
    <w:name w:val="Heading 2 Char"/>
    <w:basedOn w:val="887"/>
    <w:link w:val="886"/>
    <w:uiPriority w:val="9"/>
    <w:rPr>
      <w:rFonts w:ascii="Arial" w:hAnsi="Arial" w:eastAsia="Arial" w:cs="Arial"/>
      <w:sz w:val="34"/>
    </w:rPr>
  </w:style>
  <w:style w:type="paragraph" w:styleId="716">
    <w:name w:val="Heading 3"/>
    <w:basedOn w:val="885"/>
    <w:next w:val="885"/>
    <w:link w:val="717"/>
    <w:uiPriority w:val="9"/>
    <w:unhideWhenUsed/>
    <w:qFormat/>
    <w:pPr>
      <w:keepLines/>
      <w:keepNext/>
      <w:spacing w:before="320" w:after="200"/>
      <w:outlineLvl w:val="2"/>
    </w:pPr>
    <w:rPr>
      <w:rFonts w:ascii="Arial" w:hAnsi="Arial" w:eastAsia="Arial" w:cs="Arial"/>
      <w:sz w:val="30"/>
      <w:szCs w:val="30"/>
    </w:rPr>
  </w:style>
  <w:style w:type="character" w:styleId="717">
    <w:name w:val="Heading 3 Char"/>
    <w:basedOn w:val="887"/>
    <w:link w:val="716"/>
    <w:uiPriority w:val="9"/>
    <w:rPr>
      <w:rFonts w:ascii="Arial" w:hAnsi="Arial" w:eastAsia="Arial" w:cs="Arial"/>
      <w:sz w:val="30"/>
      <w:szCs w:val="30"/>
    </w:rPr>
  </w:style>
  <w:style w:type="paragraph" w:styleId="718">
    <w:name w:val="Heading 4"/>
    <w:basedOn w:val="885"/>
    <w:next w:val="885"/>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basedOn w:val="887"/>
    <w:link w:val="718"/>
    <w:uiPriority w:val="9"/>
    <w:rPr>
      <w:rFonts w:ascii="Arial" w:hAnsi="Arial" w:eastAsia="Arial" w:cs="Arial"/>
      <w:b/>
      <w:bCs/>
      <w:sz w:val="26"/>
      <w:szCs w:val="26"/>
    </w:rPr>
  </w:style>
  <w:style w:type="paragraph" w:styleId="720">
    <w:name w:val="Heading 5"/>
    <w:basedOn w:val="885"/>
    <w:next w:val="885"/>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basedOn w:val="887"/>
    <w:link w:val="720"/>
    <w:uiPriority w:val="9"/>
    <w:rPr>
      <w:rFonts w:ascii="Arial" w:hAnsi="Arial" w:eastAsia="Arial" w:cs="Arial"/>
      <w:b/>
      <w:bCs/>
      <w:sz w:val="24"/>
      <w:szCs w:val="24"/>
    </w:rPr>
  </w:style>
  <w:style w:type="paragraph" w:styleId="722">
    <w:name w:val="Heading 6"/>
    <w:basedOn w:val="885"/>
    <w:next w:val="885"/>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basedOn w:val="887"/>
    <w:link w:val="722"/>
    <w:uiPriority w:val="9"/>
    <w:rPr>
      <w:rFonts w:ascii="Arial" w:hAnsi="Arial" w:eastAsia="Arial" w:cs="Arial"/>
      <w:b/>
      <w:bCs/>
      <w:sz w:val="22"/>
      <w:szCs w:val="22"/>
    </w:rPr>
  </w:style>
  <w:style w:type="paragraph" w:styleId="724">
    <w:name w:val="Heading 7"/>
    <w:basedOn w:val="885"/>
    <w:next w:val="885"/>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basedOn w:val="887"/>
    <w:link w:val="724"/>
    <w:uiPriority w:val="9"/>
    <w:rPr>
      <w:rFonts w:ascii="Arial" w:hAnsi="Arial" w:eastAsia="Arial" w:cs="Arial"/>
      <w:b/>
      <w:bCs/>
      <w:i/>
      <w:iCs/>
      <w:sz w:val="22"/>
      <w:szCs w:val="22"/>
    </w:rPr>
  </w:style>
  <w:style w:type="paragraph" w:styleId="726">
    <w:name w:val="Heading 8"/>
    <w:basedOn w:val="885"/>
    <w:next w:val="885"/>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basedOn w:val="887"/>
    <w:link w:val="726"/>
    <w:uiPriority w:val="9"/>
    <w:rPr>
      <w:rFonts w:ascii="Arial" w:hAnsi="Arial" w:eastAsia="Arial" w:cs="Arial"/>
      <w:i/>
      <w:iCs/>
      <w:sz w:val="22"/>
      <w:szCs w:val="22"/>
    </w:rPr>
  </w:style>
  <w:style w:type="paragraph" w:styleId="728">
    <w:name w:val="Heading 9"/>
    <w:basedOn w:val="885"/>
    <w:next w:val="885"/>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basedOn w:val="887"/>
    <w:link w:val="728"/>
    <w:uiPriority w:val="9"/>
    <w:rPr>
      <w:rFonts w:ascii="Arial" w:hAnsi="Arial" w:eastAsia="Arial" w:cs="Arial"/>
      <w:i/>
      <w:iCs/>
      <w:sz w:val="21"/>
      <w:szCs w:val="21"/>
    </w:rPr>
  </w:style>
  <w:style w:type="paragraph" w:styleId="730">
    <w:name w:val="No Spacing"/>
    <w:uiPriority w:val="1"/>
    <w:qFormat/>
    <w:pPr>
      <w:spacing w:before="0" w:after="0" w:line="240" w:lineRule="auto"/>
    </w:pPr>
  </w:style>
  <w:style w:type="paragraph" w:styleId="731">
    <w:name w:val="Title"/>
    <w:basedOn w:val="885"/>
    <w:next w:val="885"/>
    <w:link w:val="732"/>
    <w:uiPriority w:val="10"/>
    <w:qFormat/>
    <w:pPr>
      <w:contextualSpacing/>
      <w:spacing w:before="300" w:after="200"/>
    </w:pPr>
    <w:rPr>
      <w:sz w:val="48"/>
      <w:szCs w:val="48"/>
    </w:rPr>
  </w:style>
  <w:style w:type="character" w:styleId="732">
    <w:name w:val="Title Char"/>
    <w:basedOn w:val="887"/>
    <w:link w:val="731"/>
    <w:uiPriority w:val="10"/>
    <w:rPr>
      <w:sz w:val="48"/>
      <w:szCs w:val="48"/>
    </w:rPr>
  </w:style>
  <w:style w:type="paragraph" w:styleId="733">
    <w:name w:val="Subtitle"/>
    <w:basedOn w:val="885"/>
    <w:next w:val="885"/>
    <w:link w:val="734"/>
    <w:uiPriority w:val="11"/>
    <w:qFormat/>
    <w:pPr>
      <w:spacing w:before="200" w:after="200"/>
    </w:pPr>
    <w:rPr>
      <w:sz w:val="24"/>
      <w:szCs w:val="24"/>
    </w:rPr>
  </w:style>
  <w:style w:type="character" w:styleId="734">
    <w:name w:val="Subtitle Char"/>
    <w:basedOn w:val="887"/>
    <w:link w:val="733"/>
    <w:uiPriority w:val="11"/>
    <w:rPr>
      <w:sz w:val="24"/>
      <w:szCs w:val="24"/>
    </w:rPr>
  </w:style>
  <w:style w:type="paragraph" w:styleId="735">
    <w:name w:val="Quote"/>
    <w:basedOn w:val="885"/>
    <w:next w:val="885"/>
    <w:link w:val="736"/>
    <w:uiPriority w:val="29"/>
    <w:qFormat/>
    <w:pPr>
      <w:ind w:left="720" w:right="720"/>
    </w:pPr>
    <w:rPr>
      <w:i/>
    </w:rPr>
  </w:style>
  <w:style w:type="character" w:styleId="736">
    <w:name w:val="Quote Char"/>
    <w:link w:val="735"/>
    <w:uiPriority w:val="29"/>
    <w:rPr>
      <w:i/>
    </w:rPr>
  </w:style>
  <w:style w:type="paragraph" w:styleId="737">
    <w:name w:val="Intense Quote"/>
    <w:basedOn w:val="885"/>
    <w:next w:val="885"/>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character" w:styleId="739">
    <w:name w:val="Header Char"/>
    <w:basedOn w:val="887"/>
    <w:link w:val="907"/>
    <w:uiPriority w:val="99"/>
  </w:style>
  <w:style w:type="paragraph" w:styleId="740">
    <w:name w:val="Footer"/>
    <w:basedOn w:val="885"/>
    <w:link w:val="742"/>
    <w:uiPriority w:val="99"/>
    <w:unhideWhenUsed/>
    <w:pPr>
      <w:spacing w:after="0" w:line="240" w:lineRule="auto"/>
      <w:tabs>
        <w:tab w:val="center" w:pos="7143" w:leader="none"/>
        <w:tab w:val="right" w:pos="14287" w:leader="none"/>
      </w:tabs>
    </w:pPr>
  </w:style>
  <w:style w:type="character" w:styleId="741">
    <w:name w:val="Footer Char"/>
    <w:basedOn w:val="887"/>
    <w:link w:val="740"/>
    <w:uiPriority w:val="99"/>
  </w:style>
  <w:style w:type="character" w:styleId="742">
    <w:name w:val="Caption Char"/>
    <w:basedOn w:val="904"/>
    <w:link w:val="740"/>
    <w:uiPriority w:val="99"/>
  </w:style>
  <w:style w:type="table" w:styleId="743">
    <w:name w:val="Table Grid Light"/>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basedOn w:val="8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basedOn w:val="8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basedOn w:val="8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basedOn w:val="8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basedOn w:val="8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basedOn w:val="8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basedOn w:val="8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basedOn w:val="8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basedOn w:val="8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basedOn w:val="8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basedOn w:val="8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basedOn w:val="8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basedOn w:val="8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basedOn w:val="8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basedOn w:val="8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basedOn w:val="8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basedOn w:val="8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basedOn w:val="8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basedOn w:val="8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basedOn w:val="8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basedOn w:val="8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basedOn w:val="8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basedOn w:val="8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basedOn w:val="8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basedOn w:val="8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basedOn w:val="8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basedOn w:val="8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basedOn w:val="887"/>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basedOn w:val="887"/>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qFormat/>
    <w:pPr>
      <w:widowControl w:val="off"/>
    </w:pPr>
    <w:rPr>
      <w:rFonts w:ascii="Times New Roman" w:hAnsi="Times New Roman" w:eastAsia="Times New Roman"/>
      <w:sz w:val="24"/>
      <w:szCs w:val="24"/>
    </w:rPr>
  </w:style>
  <w:style w:type="paragraph" w:styleId="886">
    <w:name w:val="Heading 2"/>
    <w:basedOn w:val="885"/>
    <w:next w:val="885"/>
    <w:qFormat/>
    <w:pPr>
      <w:jc w:val="center"/>
      <w:keepNext/>
      <w:widowControl/>
      <w:outlineLvl w:val="1"/>
    </w:pPr>
    <w:rPr>
      <w:b/>
      <w:sz w:val="44"/>
    </w:rPr>
  </w:style>
  <w:style w:type="character" w:styleId="887" w:default="1">
    <w:name w:val="Default Paragraph Font"/>
    <w:uiPriority w:val="1"/>
    <w:semiHidden/>
    <w:unhideWhenUsed/>
  </w:style>
  <w:style w:type="table" w:styleId="888" w:default="1">
    <w:name w:val="Normal Table"/>
    <w:uiPriority w:val="99"/>
    <w:semiHidden/>
    <w:unhideWhenUsed/>
    <w:tblPr>
      <w:tblInd w:w="0" w:type="dxa"/>
      <w:tblCellMar>
        <w:left w:w="108" w:type="dxa"/>
        <w:top w:w="0" w:type="dxa"/>
        <w:right w:w="108" w:type="dxa"/>
        <w:bottom w:w="0" w:type="dxa"/>
      </w:tblCellMar>
    </w:tblPr>
  </w:style>
  <w:style w:type="numbering" w:styleId="889" w:default="1">
    <w:name w:val="No List"/>
    <w:uiPriority w:val="99"/>
    <w:semiHidden/>
    <w:unhideWhenUsed/>
  </w:style>
  <w:style w:type="paragraph" w:styleId="890" w:customStyle="1">
    <w:name w:val="Style5"/>
    <w:basedOn w:val="885"/>
    <w:uiPriority w:val="99"/>
    <w:pPr>
      <w:spacing w:line="307" w:lineRule="exact"/>
    </w:pPr>
  </w:style>
  <w:style w:type="paragraph" w:styleId="891" w:customStyle="1">
    <w:name w:val="Style6"/>
    <w:basedOn w:val="885"/>
    <w:uiPriority w:val="99"/>
    <w:pPr>
      <w:ind w:firstLine="749"/>
      <w:spacing w:line="302" w:lineRule="exact"/>
    </w:pPr>
  </w:style>
  <w:style w:type="paragraph" w:styleId="892" w:customStyle="1">
    <w:name w:val="Style7"/>
    <w:basedOn w:val="885"/>
    <w:uiPriority w:val="99"/>
    <w:pPr>
      <w:jc w:val="both"/>
      <w:spacing w:line="298" w:lineRule="exact"/>
    </w:pPr>
  </w:style>
  <w:style w:type="paragraph" w:styleId="893" w:customStyle="1">
    <w:name w:val="Style8"/>
    <w:basedOn w:val="885"/>
    <w:uiPriority w:val="99"/>
  </w:style>
  <w:style w:type="paragraph" w:styleId="894" w:customStyle="1">
    <w:name w:val="Style9"/>
    <w:basedOn w:val="885"/>
    <w:uiPriority w:val="99"/>
    <w:pPr>
      <w:ind w:hanging="125"/>
      <w:spacing w:line="298" w:lineRule="exact"/>
    </w:pPr>
  </w:style>
  <w:style w:type="paragraph" w:styleId="895" w:customStyle="1">
    <w:name w:val="Style10"/>
    <w:basedOn w:val="885"/>
    <w:uiPriority w:val="99"/>
    <w:pPr>
      <w:ind w:firstLine="720"/>
      <w:jc w:val="both"/>
      <w:spacing w:line="288" w:lineRule="exact"/>
    </w:pPr>
  </w:style>
  <w:style w:type="paragraph" w:styleId="896" w:customStyle="1">
    <w:name w:val="Style11"/>
    <w:basedOn w:val="885"/>
    <w:uiPriority w:val="99"/>
  </w:style>
  <w:style w:type="paragraph" w:styleId="897" w:customStyle="1">
    <w:name w:val="Style12"/>
    <w:basedOn w:val="885"/>
    <w:uiPriority w:val="99"/>
    <w:pPr>
      <w:jc w:val="both"/>
      <w:spacing w:line="302" w:lineRule="exact"/>
    </w:pPr>
  </w:style>
  <w:style w:type="character" w:styleId="898" w:customStyle="1">
    <w:name w:val="Font Style18"/>
    <w:uiPriority w:val="99"/>
    <w:rPr>
      <w:rFonts w:ascii="Times New Roman" w:hAnsi="Times New Roman" w:cs="Times New Roman"/>
      <w:b/>
      <w:bCs/>
      <w:sz w:val="16"/>
      <w:szCs w:val="16"/>
    </w:rPr>
  </w:style>
  <w:style w:type="character" w:styleId="899" w:customStyle="1">
    <w:name w:val="Font Style19"/>
    <w:uiPriority w:val="99"/>
    <w:rPr>
      <w:rFonts w:ascii="Times New Roman" w:hAnsi="Times New Roman" w:cs="Times New Roman"/>
      <w:sz w:val="24"/>
      <w:szCs w:val="24"/>
    </w:rPr>
  </w:style>
  <w:style w:type="paragraph" w:styleId="900">
    <w:name w:val="List Paragraph"/>
    <w:basedOn w:val="885"/>
    <w:uiPriority w:val="34"/>
    <w:qFormat/>
    <w:pPr>
      <w:contextualSpacing/>
      <w:ind w:left="720"/>
    </w:pPr>
  </w:style>
  <w:style w:type="paragraph" w:styleId="901" w:customStyle="1">
    <w:name w:val="Style2"/>
    <w:basedOn w:val="885"/>
    <w:uiPriority w:val="99"/>
  </w:style>
  <w:style w:type="character" w:styleId="902" w:customStyle="1">
    <w:name w:val="Font Style13"/>
    <w:uiPriority w:val="99"/>
    <w:rPr>
      <w:rFonts w:ascii="Times New Roman" w:hAnsi="Times New Roman" w:cs="Times New Roman"/>
      <w:sz w:val="26"/>
      <w:szCs w:val="26"/>
    </w:rPr>
  </w:style>
  <w:style w:type="table" w:styleId="903">
    <w:name w:val="Table Grid"/>
    <w:basedOn w:val="888"/>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4">
    <w:name w:val="Caption"/>
    <w:basedOn w:val="885"/>
    <w:next w:val="885"/>
    <w:qFormat/>
    <w:pPr>
      <w:jc w:val="center"/>
      <w:widowControl/>
    </w:pPr>
    <w:rPr>
      <w:b/>
      <w:sz w:val="32"/>
      <w:szCs w:val="20"/>
    </w:rPr>
  </w:style>
  <w:style w:type="character" w:styleId="905">
    <w:name w:val="Hyperlink"/>
    <w:rPr>
      <w:color w:val="0000ff"/>
      <w:u w:val="single"/>
    </w:rPr>
  </w:style>
  <w:style w:type="paragraph" w:styleId="906"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5"/>
    <w:pPr>
      <w:jc w:val="right"/>
      <w:spacing w:after="160" w:line="240" w:lineRule="exact"/>
    </w:pPr>
    <w:rPr>
      <w:sz w:val="20"/>
      <w:szCs w:val="20"/>
      <w:lang w:val="en-GB" w:eastAsia="en-US"/>
    </w:rPr>
  </w:style>
  <w:style w:type="paragraph" w:styleId="907">
    <w:name w:val="Header"/>
    <w:basedOn w:val="885"/>
    <w:pPr>
      <w:widowControl/>
      <w:tabs>
        <w:tab w:val="center" w:pos="4677" w:leader="none"/>
        <w:tab w:val="right" w:pos="9355" w:leader="none"/>
      </w:tabs>
    </w:pPr>
    <w:rPr>
      <w:sz w:val="28"/>
      <w:szCs w:val="20"/>
    </w:rPr>
  </w:style>
  <w:style w:type="paragraph" w:styleId="908">
    <w:name w:val="Body Text Indent 2"/>
    <w:basedOn w:val="885"/>
    <w:link w:val="911"/>
    <w:pPr>
      <w:ind w:firstLine="851"/>
      <w:jc w:val="both"/>
      <w:widowControl/>
    </w:pPr>
    <w:rPr>
      <w:sz w:val="28"/>
      <w:szCs w:val="20"/>
    </w:rPr>
  </w:style>
  <w:style w:type="paragraph" w:styleId="909">
    <w:name w:val="Body Text"/>
    <w:basedOn w:val="885"/>
    <w:link w:val="910"/>
    <w:pPr>
      <w:spacing w:after="120"/>
      <w:widowControl/>
    </w:pPr>
    <w:rPr>
      <w:sz w:val="20"/>
      <w:szCs w:val="20"/>
    </w:rPr>
  </w:style>
  <w:style w:type="character" w:styleId="910" w:customStyle="1">
    <w:name w:val="Основной текст Знак"/>
    <w:link w:val="909"/>
    <w:rPr>
      <w:lang w:val="ru-RU" w:eastAsia="ru-RU" w:bidi="ar-SA"/>
    </w:rPr>
  </w:style>
  <w:style w:type="character" w:styleId="911" w:customStyle="1">
    <w:name w:val="Основной текст с отступом 2 Знак"/>
    <w:link w:val="908"/>
    <w:rPr>
      <w:sz w:val="28"/>
      <w:lang w:bidi="ar-SA"/>
    </w:rPr>
  </w:style>
  <w:style w:type="paragraph" w:styleId="912">
    <w:name w:val="Normal (Web)"/>
    <w:basedOn w:val="885"/>
    <w:pPr>
      <w:spacing w:before="100" w:beforeAutospacing="1" w:after="100" w:afterAutospacing="1"/>
      <w:widowControl/>
    </w:pPr>
  </w:style>
  <w:style w:type="paragraph" w:styleId="913">
    <w:name w:val="Body Text Indent"/>
    <w:basedOn w:val="885"/>
    <w:pPr>
      <w:ind w:left="283"/>
      <w:spacing w:after="120"/>
    </w:pPr>
  </w:style>
  <w:style w:type="paragraph" w:styleId="914">
    <w:name w:val="Balloon Text"/>
    <w:basedOn w:val="885"/>
    <w:link w:val="915"/>
    <w:uiPriority w:val="99"/>
    <w:semiHidden/>
    <w:unhideWhenUsed/>
    <w:rPr>
      <w:rFonts w:ascii="Tahoma" w:hAnsi="Tahoma" w:cs="Tahoma"/>
      <w:sz w:val="16"/>
      <w:szCs w:val="16"/>
    </w:rPr>
  </w:style>
  <w:style w:type="character" w:styleId="915" w:customStyle="1">
    <w:name w:val="Текст выноски Знак"/>
    <w:link w:val="914"/>
    <w:uiPriority w:val="99"/>
    <w:semiHidden/>
    <w:rPr>
      <w:rFonts w:ascii="Tahoma" w:hAnsi="Tahoma" w:eastAsia="Times New Roman" w:cs="Tahoma"/>
      <w:sz w:val="16"/>
      <w:szCs w:val="16"/>
    </w:rPr>
  </w:style>
  <w:style w:type="paragraph" w:styleId="916" w:customStyle="1">
    <w:name w:val="ConsPlusNormal"/>
    <w:rPr>
      <w:rFonts w:ascii="Times New Roman" w:hAnsi="Times New Roman"/>
      <w:b/>
      <w:bCs/>
    </w:rPr>
  </w:style>
  <w:style w:type="paragraph" w:styleId="917" w:customStyle="1">
    <w:name w:val="Знак Знак1 Знак Знак Знак Знак Знак Знак Знак Знак Знак Знак Знак Знак Знак Знак"/>
    <w:basedOn w:val="885"/>
    <w:pPr>
      <w:spacing w:after="160" w:line="240" w:lineRule="exact"/>
      <w:widowControl/>
    </w:pPr>
    <w:rPr>
      <w:rFonts w:ascii="Verdana" w:hAnsi="Verdana" w:cs="Verdana"/>
      <w:sz w:val="20"/>
      <w:szCs w:val="20"/>
      <w:lang w:val="en-US" w:eastAsia="en-US"/>
    </w:rPr>
  </w:style>
  <w:style w:type="paragraph" w:styleId="918"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CA646-D74B-44D0-94A0-1C4A1C7E6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34</cp:revision>
  <dcterms:created xsi:type="dcterms:W3CDTF">2024-12-19T11:41:00Z</dcterms:created>
  <dcterms:modified xsi:type="dcterms:W3CDTF">2026-01-21T06:26:20Z</dcterms:modified>
</cp:coreProperties>
</file>