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 w:eastAsia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/>
          <w:b/>
          <w:sz w:val="44"/>
          <w:szCs w:val="44"/>
        </w:rPr>
      </w:r>
      <w:r>
        <w:rPr>
          <w:rFonts w:ascii="Times New Roman" w:hAnsi="Times New Roman"/>
          <w:b/>
          <w:sz w:val="44"/>
          <w:szCs w:val="44"/>
        </w:rPr>
      </w:r>
    </w:p>
    <w:p>
      <w:pPr>
        <w:jc w:val="center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 w:eastAsia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widowControl w:val="off"/>
        <w:rPr>
          <w:rFonts w:ascii="Times New Roman" w:hAnsi="Times New Roman"/>
          <w:b/>
          <w:sz w:val="28"/>
        </w:rPr>
      </w:pPr>
      <w:r>
        <w:rPr>
          <w:rFonts w:ascii="Times New Roman" w:hAnsi="Times New Roman" w:eastAsia="Times New Roman"/>
          <w:b/>
          <w:sz w:val="28"/>
        </w:rPr>
        <w:t xml:space="preserve">МУРМАНСКОЙ ОБЛАСТИ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widowControl w:val="off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</w:r>
      <w:r>
        <w:rPr>
          <w:rFonts w:ascii="Times New Roman" w:hAnsi="Times New Roman"/>
          <w:b/>
          <w:bCs/>
          <w:sz w:val="16"/>
          <w:szCs w:val="16"/>
        </w:rPr>
      </w:r>
      <w:r>
        <w:rPr>
          <w:rFonts w:ascii="Times New Roman" w:hAnsi="Times New Roman"/>
          <w:b/>
          <w:bCs/>
          <w:sz w:val="16"/>
          <w:szCs w:val="16"/>
        </w:rPr>
      </w:r>
    </w:p>
    <w:p>
      <w:pPr>
        <w:jc w:val="center"/>
        <w:widowControl w:val="off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 w:eastAsia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/>
          <w:b/>
          <w:sz w:val="44"/>
          <w:szCs w:val="44"/>
        </w:rPr>
      </w:r>
      <w:r>
        <w:rPr>
          <w:rFonts w:ascii="Times New Roman" w:hAnsi="Times New Roman"/>
          <w:b/>
          <w:sz w:val="44"/>
          <w:szCs w:val="44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 14.01.2026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                     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№ 22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firstLine="0"/>
        <w:jc w:val="center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0"/>
          <w:szCs w:val="20"/>
        </w:rPr>
        <w:t xml:space="preserve">О</w:t>
      </w:r>
      <w:r>
        <w:rPr>
          <w:rFonts w:ascii="Times New Roman" w:hAnsi="Times New Roman"/>
          <w:b/>
          <w:sz w:val="20"/>
          <w:szCs w:val="20"/>
        </w:rPr>
        <w:t xml:space="preserve">б утверждении порядка принятия решения главным распорядителем </w:t>
      </w:r>
      <w:r>
        <w:rPr>
          <w:rFonts w:ascii="Times New Roman" w:hAnsi="Times New Roman"/>
          <w:b/>
          <w:sz w:val="20"/>
          <w:szCs w:val="20"/>
        </w:rPr>
        <w:t xml:space="preserve">средств бюджета Печенгского муниципального округа, предоставляющими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</w:t>
      </w:r>
      <w:r>
        <w:rPr>
          <w:rFonts w:ascii="Times New Roman" w:hAnsi="Times New Roman"/>
          <w:b/>
          <w:sz w:val="20"/>
          <w:szCs w:val="20"/>
        </w:rPr>
        <w:t xml:space="preserve">округа</w:t>
      </w:r>
      <w:r>
        <w:rPr>
          <w:rFonts w:ascii="Times New Roman" w:hAnsi="Times New Roman"/>
          <w:b/>
          <w:sz w:val="20"/>
          <w:szCs w:val="20"/>
        </w:rPr>
        <w:t xml:space="preserve">, решений о наличии потребности направления средств в объеме </w:t>
      </w:r>
      <w:r>
        <w:rPr>
          <w:rFonts w:ascii="Times New Roman" w:hAnsi="Times New Roman"/>
          <w:b/>
          <w:sz w:val="20"/>
          <w:szCs w:val="20"/>
        </w:rPr>
        <w:t xml:space="preserve">остатков</w:t>
      </w:r>
      <w:r>
        <w:rPr>
          <w:rFonts w:ascii="Times New Roman" w:hAnsi="Times New Roman"/>
          <w:b/>
          <w:sz w:val="20"/>
          <w:szCs w:val="20"/>
        </w:rPr>
        <w:t xml:space="preserve"> не использованных на начало очередного финансового года субсидий на цели их предоставления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</w:t>
      </w:r>
      <w:r>
        <w:rPr>
          <w:rFonts w:ascii="Times New Roman" w:hAnsi="Times New Roman"/>
          <w:sz w:val="24"/>
          <w:szCs w:val="24"/>
        </w:rPr>
        <w:t xml:space="preserve">подпунктом «и» пункта 3.2. раздела 3 правил </w:t>
      </w:r>
      <w:r>
        <w:rPr>
          <w:rFonts w:ascii="Times New Roman" w:hAnsi="Times New Roman"/>
          <w:sz w:val="24"/>
          <w:szCs w:val="24"/>
        </w:rPr>
        <w:t xml:space="preserve">осуществления капитальных вложений в объекты капитального строительства муниципальной собственности Печенгского муниципального округа и приобретение объектов 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недвижимого имущества в муниципальную собственность Печенгского муниципального округа за счет бюджета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утвержденных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bCs/>
          <w:sz w:val="24"/>
          <w:szCs w:val="24"/>
        </w:rPr>
        <w:t xml:space="preserve">становлением администрации Печенгского муниципального округа от 03.02.2025 </w:t>
        <w:br/>
        <w:t xml:space="preserve">№ 152,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56"/>
        <w:ind w:firstLine="709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</w:t>
      </w:r>
      <w:r>
        <w:rPr>
          <w:rFonts w:ascii="Times New Roman" w:hAnsi="Times New Roman"/>
          <w:bCs/>
          <w:sz w:val="24"/>
          <w:szCs w:val="24"/>
        </w:rPr>
        <w:t xml:space="preserve"> Утвердить порядок </w:t>
      </w:r>
      <w:r>
        <w:rPr>
          <w:rFonts w:ascii="Times New Roman" w:hAnsi="Times New Roman"/>
          <w:sz w:val="24"/>
          <w:szCs w:val="24"/>
        </w:rPr>
        <w:t xml:space="preserve">принятия решения главным распорядителем средств бюджета Печенгского муниципального округа, предоставляющими</w:t>
      </w:r>
      <w:r>
        <w:rPr>
          <w:rFonts w:ascii="Times New Roman" w:hAnsi="Times New Roman"/>
          <w:sz w:val="24"/>
          <w:szCs w:val="24"/>
        </w:rPr>
        <w:t xml:space="preserve">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округа, решений о наличии потребности направления средств в объеме </w:t>
      </w:r>
      <w:r>
        <w:rPr>
          <w:rFonts w:ascii="Times New Roman" w:hAnsi="Times New Roman"/>
          <w:sz w:val="24"/>
          <w:szCs w:val="24"/>
        </w:rPr>
        <w:t xml:space="preserve">остатков</w:t>
      </w:r>
      <w:r>
        <w:rPr>
          <w:rFonts w:ascii="Times New Roman" w:hAnsi="Times New Roman"/>
          <w:sz w:val="24"/>
          <w:szCs w:val="24"/>
        </w:rPr>
        <w:t xml:space="preserve"> не использованных на начало очередного финансового года субсидий на цели их предоставления </w:t>
      </w:r>
      <w:r>
        <w:rPr>
          <w:rFonts w:ascii="Times New Roman" w:hAnsi="Times New Roman"/>
          <w:sz w:val="24"/>
          <w:szCs w:val="24"/>
        </w:rPr>
        <w:t xml:space="preserve">согласно приложению к настоящему постановлению.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6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color w:val="000000"/>
          <w:sz w:val="24"/>
          <w:szCs w:val="24"/>
        </w:rPr>
        <w:t xml:space="preserve"> Настоящее постановление вступает в силу после его опубликования </w:t>
      </w:r>
      <w:r>
        <w:rPr>
          <w:sz w:val="24"/>
          <w:szCs w:val="24"/>
        </w:rPr>
        <w:t xml:space="preserve">в газете «Печенга» и </w:t>
      </w:r>
      <w:r>
        <w:rPr>
          <w:sz w:val="24"/>
          <w:szCs w:val="24"/>
        </w:rPr>
        <w:t xml:space="preserve">распространяется на правоотношения, возникшие с 1 января 2026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ind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pStyle w:val="860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widowControl w:val="off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</w:r>
      <w:r>
        <w:rPr>
          <w:rFonts w:ascii="Times New Roman" w:hAnsi="Times New Roman" w:eastAsia="Times New Roman"/>
          <w:sz w:val="20"/>
          <w:szCs w:val="20"/>
        </w:rPr>
      </w:r>
      <w:r>
        <w:rPr>
          <w:rFonts w:ascii="Times New Roman" w:hAnsi="Times New Roman" w:eastAsia="Times New Roman"/>
          <w:sz w:val="20"/>
          <w:szCs w:val="20"/>
        </w:rPr>
      </w:r>
    </w:p>
    <w:p>
      <w:pPr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</w:rPr>
      </w:r>
    </w:p>
    <w:p>
      <w:pPr>
        <w:widowControl w:val="off"/>
        <w:rPr>
          <w:rFonts w:ascii="Times New Roman" w:hAnsi="Times New Roman" w:eastAsia="Times New Roman"/>
          <w:sz w:val="20"/>
          <w:szCs w:val="20"/>
          <w:highlight w:val="none"/>
        </w:rPr>
      </w:pP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</w:p>
    <w:p>
      <w:pPr>
        <w:widowControl w:val="off"/>
        <w:rPr>
          <w:rFonts w:ascii="Times New Roman" w:hAnsi="Times New Roman" w:eastAsia="Times New Roman"/>
          <w:sz w:val="20"/>
          <w:szCs w:val="20"/>
          <w:highlight w:val="none"/>
        </w:rPr>
      </w:pP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</w:p>
    <w:p>
      <w:pPr>
        <w:widowControl w:val="off"/>
        <w:rPr>
          <w:rFonts w:ascii="Times New Roman" w:hAnsi="Times New Roman" w:eastAsia="Times New Roman"/>
          <w:sz w:val="20"/>
          <w:szCs w:val="20"/>
          <w:highlight w:val="none"/>
        </w:rPr>
      </w:pP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</w:p>
    <w:p>
      <w:pPr>
        <w:widowControl w:val="off"/>
        <w:rPr>
          <w:rFonts w:ascii="Times New Roman" w:hAnsi="Times New Roman" w:eastAsia="Times New Roman"/>
          <w:sz w:val="20"/>
          <w:szCs w:val="20"/>
          <w:highlight w:val="none"/>
        </w:rPr>
      </w:pPr>
      <w:r>
        <w:rPr>
          <w:rFonts w:ascii="Times New Roman" w:hAnsi="Times New Roman" w:eastAsia="Times New Roman"/>
          <w:sz w:val="20"/>
          <w:szCs w:val="20"/>
        </w:rPr>
        <w:t xml:space="preserve">Ионова О.В., 50270</w:t>
      </w:r>
      <w:r>
        <w:rPr>
          <w:rFonts w:ascii="Times New Roman" w:hAnsi="Times New Roman" w:eastAsia="Times New Roman"/>
          <w:sz w:val="20"/>
          <w:szCs w:val="20"/>
          <w:highlight w:val="none"/>
        </w:rPr>
      </w:r>
      <w:r>
        <w:rPr>
          <w:rFonts w:ascii="Times New Roman" w:hAnsi="Times New Roman" w:eastAsia="Times New Roman"/>
          <w:sz w:val="20"/>
          <w:szCs w:val="20"/>
          <w:highlight w:val="none"/>
        </w:rPr>
      </w:r>
    </w:p>
    <w:p>
      <w:pPr>
        <w:jc w:val="center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5529"/>
        <w:widowControl w:val="off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ind w:left="5529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5529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Печенгского муниципального округа  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5529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от 14.01.2026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№ 22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pStyle w:val="8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Style w:val="863"/>
          <w:highlight w:val="none"/>
        </w:rPr>
      </w:pPr>
      <w:r>
        <w:rPr>
          <w:rStyle w:val="863"/>
        </w:rPr>
        <w:t xml:space="preserve">ПОРЯДОК</w:t>
      </w:r>
      <w:r>
        <w:rPr>
          <w:rStyle w:val="863"/>
        </w:rPr>
      </w:r>
      <w:r>
        <w:rPr>
          <w:rStyle w:val="863"/>
          <w:highlight w:val="none"/>
        </w:rPr>
      </w:r>
    </w:p>
    <w:p>
      <w:pPr>
        <w:ind w:left="0" w:right="0" w:firstLine="709"/>
        <w:jc w:val="center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принятия решения главным распорядителем средств бюджета Печенгского 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униципального округа, предоставляющими</w:t>
      </w:r>
      <w:r>
        <w:rPr>
          <w:rFonts w:ascii="Times New Roman" w:hAnsi="Times New Roman"/>
          <w:sz w:val="24"/>
          <w:szCs w:val="24"/>
        </w:rPr>
        <w:t xml:space="preserve"> субсидии на осуществление капитальных вложений в объекты муниципальной собственности и приобретение объектов недвижимого имущества в муниципальную собственность Печенгского муниципального округа, решений о наличии потребности направления средств в объеме </w:t>
      </w:r>
      <w:r>
        <w:rPr>
          <w:rFonts w:ascii="Times New Roman" w:hAnsi="Times New Roman"/>
          <w:sz w:val="24"/>
          <w:szCs w:val="24"/>
        </w:rPr>
        <w:t xml:space="preserve">остатков</w:t>
      </w:r>
      <w:r>
        <w:rPr>
          <w:rFonts w:ascii="Times New Roman" w:hAnsi="Times New Roman"/>
          <w:sz w:val="24"/>
          <w:szCs w:val="24"/>
        </w:rPr>
        <w:t xml:space="preserve"> не использованных на начало очередного финансового года субсидий на цели их предоставления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663"/>
        <w:jc w:val="center"/>
        <w:shd w:val="clear" w:color="auto" w:fill="ffffff"/>
        <w:widowControl w:val="off"/>
        <w:tabs>
          <w:tab w:val="left" w:pos="709" w:leader="none"/>
          <w:tab w:val="left" w:pos="1276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rPr>
          <w:rStyle w:val="863"/>
          <w:sz w:val="24"/>
          <w:szCs w:val="24"/>
        </w:rPr>
      </w:pPr>
      <w:r>
        <w:rPr>
          <w:rStyle w:val="863"/>
          <w:sz w:val="24"/>
          <w:szCs w:val="24"/>
        </w:rPr>
        <w:t xml:space="preserve">1. Общие положения</w:t>
      </w:r>
      <w:r>
        <w:rPr>
          <w:rStyle w:val="863"/>
          <w:sz w:val="24"/>
          <w:szCs w:val="24"/>
        </w:rPr>
      </w:r>
      <w:r>
        <w:rPr>
          <w:rStyle w:val="863"/>
          <w:sz w:val="24"/>
          <w:szCs w:val="24"/>
        </w:rPr>
      </w:r>
    </w:p>
    <w:p>
      <w:pPr>
        <w:ind w:firstLine="709"/>
        <w:jc w:val="both"/>
        <w:rPr>
          <w:rStyle w:val="864"/>
          <w:color w:val="ff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ab/>
        <w:t xml:space="preserve">1.</w:t>
      </w:r>
      <w:r>
        <w:rPr>
          <w:rStyle w:val="864"/>
          <w:sz w:val="24"/>
          <w:szCs w:val="24"/>
        </w:rPr>
        <w:t xml:space="preserve">1.</w:t>
      </w:r>
      <w:r>
        <w:rPr>
          <w:rStyle w:val="864"/>
          <w:sz w:val="24"/>
          <w:szCs w:val="24"/>
        </w:rPr>
        <w:t xml:space="preserve"> П</w:t>
      </w:r>
      <w:r>
        <w:rPr>
          <w:rStyle w:val="864"/>
          <w:sz w:val="24"/>
          <w:szCs w:val="24"/>
        </w:rPr>
        <w:t xml:space="preserve">орядок принятия главными распорядителями средств бюджета </w:t>
      </w:r>
      <w:r>
        <w:rPr>
          <w:rStyle w:val="864"/>
          <w:sz w:val="24"/>
          <w:szCs w:val="24"/>
        </w:rPr>
        <w:t xml:space="preserve">Печенгского муниципального округа</w:t>
      </w:r>
      <w:r>
        <w:rPr>
          <w:rStyle w:val="864"/>
          <w:sz w:val="24"/>
          <w:szCs w:val="24"/>
        </w:rPr>
        <w:t xml:space="preserve">, предоставляющими субсидии на осуществление капитальных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вложений в объекты муниципальной собственности и приобретение объектов недвижимого имущества в муниципальную собственность </w:t>
      </w:r>
      <w:r>
        <w:rPr>
          <w:rStyle w:val="864"/>
          <w:sz w:val="24"/>
          <w:szCs w:val="24"/>
        </w:rPr>
        <w:t xml:space="preserve">Печенгского муниципального округа, </w:t>
      </w:r>
      <w:r>
        <w:rPr>
          <w:rStyle w:val="864"/>
          <w:sz w:val="24"/>
          <w:szCs w:val="24"/>
        </w:rPr>
        <w:t xml:space="preserve">решений о наличии потребности направления средств в объеме </w:t>
      </w:r>
      <w:r>
        <w:rPr>
          <w:rStyle w:val="864"/>
          <w:sz w:val="24"/>
          <w:szCs w:val="24"/>
        </w:rPr>
        <w:t xml:space="preserve">остатков</w:t>
      </w:r>
      <w:r>
        <w:rPr>
          <w:rStyle w:val="864"/>
          <w:sz w:val="24"/>
          <w:szCs w:val="24"/>
        </w:rPr>
        <w:t xml:space="preserve"> не использованных на начало очередного финансового года субсидий на цели их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предоставления (далее – Порядок) устанавливает процедуру принятия структурными подразделениями </w:t>
      </w:r>
      <w:r>
        <w:rPr>
          <w:rStyle w:val="864"/>
          <w:sz w:val="24"/>
          <w:szCs w:val="24"/>
        </w:rPr>
        <w:t xml:space="preserve">администрации Печенгского </w:t>
      </w:r>
      <w:r>
        <w:rPr>
          <w:rStyle w:val="864"/>
          <w:sz w:val="24"/>
          <w:szCs w:val="24"/>
        </w:rPr>
        <w:t xml:space="preserve">муниципального округа</w:t>
      </w:r>
      <w:r>
        <w:rPr>
          <w:rStyle w:val="864"/>
          <w:sz w:val="24"/>
          <w:szCs w:val="24"/>
        </w:rPr>
        <w:t xml:space="preserve">, осуществляющими функции и полномочия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главных распорядителей средств бюджета </w:t>
      </w:r>
      <w:r>
        <w:rPr>
          <w:rStyle w:val="864"/>
          <w:sz w:val="24"/>
          <w:szCs w:val="24"/>
        </w:rPr>
        <w:t xml:space="preserve">Печенгского муниципального округа (далее – бюджет округа), </w:t>
      </w:r>
      <w:r>
        <w:rPr>
          <w:rStyle w:val="864"/>
          <w:sz w:val="24"/>
          <w:szCs w:val="24"/>
        </w:rPr>
        <w:t xml:space="preserve">до которых в соответствии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с бюджетным законодательством Российской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Федерации как до получателей бюджетных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средств доведены в установленном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порядке лимиты бюджетных обязательств на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предоставление субсидий на соответствующий финансовый год (соответствующий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финансовый год и плановый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период) (далее – главные распорядители), решений о наличии потребности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направления средств в</w:t>
      </w:r>
      <w:r>
        <w:rPr>
          <w:rStyle w:val="864"/>
          <w:sz w:val="24"/>
          <w:szCs w:val="24"/>
        </w:rPr>
        <w:t xml:space="preserve"> объеме </w:t>
      </w:r>
      <w:r>
        <w:rPr>
          <w:rStyle w:val="864"/>
          <w:sz w:val="24"/>
          <w:szCs w:val="24"/>
        </w:rPr>
        <w:t xml:space="preserve">остатков</w:t>
      </w:r>
      <w:r>
        <w:rPr>
          <w:rStyle w:val="864"/>
          <w:sz w:val="24"/>
          <w:szCs w:val="24"/>
        </w:rPr>
        <w:t xml:space="preserve"> не использованных на начало очередного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финансового года ранее перечисленных муниципальным бюджетным </w:t>
      </w:r>
      <w:r>
        <w:rPr>
          <w:rStyle w:val="864"/>
          <w:sz w:val="24"/>
          <w:szCs w:val="24"/>
        </w:rPr>
        <w:t xml:space="preserve">и автономным учреждениям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(далее – </w:t>
      </w:r>
      <w:r>
        <w:rPr>
          <w:rStyle w:val="864"/>
          <w:sz w:val="24"/>
          <w:szCs w:val="24"/>
        </w:rPr>
        <w:t xml:space="preserve">учреждения</w:t>
      </w:r>
      <w:r>
        <w:rPr>
          <w:rStyle w:val="864"/>
          <w:sz w:val="24"/>
          <w:szCs w:val="24"/>
        </w:rPr>
        <w:t xml:space="preserve">) субсидий на осуществление капитальных вложений в объекты капитального строительства (реконструкции) муниципальной собственности</w:t>
      </w:r>
      <w:r>
        <w:rPr>
          <w:rStyle w:val="864"/>
          <w:sz w:val="24"/>
          <w:szCs w:val="24"/>
        </w:rPr>
        <w:t xml:space="preserve"> Печенгского муниципального округа, </w:t>
      </w:r>
      <w:r>
        <w:rPr>
          <w:rStyle w:val="864"/>
          <w:sz w:val="24"/>
          <w:szCs w:val="24"/>
        </w:rPr>
        <w:t xml:space="preserve">в том числе в целях подготовки обоснования инвестиций</w:t>
      </w:r>
      <w:r>
        <w:rPr>
          <w:rStyle w:val="864"/>
          <w:sz w:val="24"/>
          <w:szCs w:val="24"/>
        </w:rPr>
        <w:t xml:space="preserve"> и </w:t>
      </w:r>
      <w:r>
        <w:rPr>
          <w:rStyle w:val="864"/>
          <w:sz w:val="24"/>
          <w:szCs w:val="24"/>
        </w:rPr>
        <w:t xml:space="preserve">проведения его технологического и ценового аудита, или приобретение объектов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недвижимого имущества в муниципальную собственность </w:t>
      </w:r>
      <w:r>
        <w:rPr>
          <w:rStyle w:val="864"/>
          <w:sz w:val="24"/>
          <w:szCs w:val="24"/>
        </w:rPr>
        <w:t xml:space="preserve">Печенгского муниципального округа (</w:t>
      </w:r>
      <w:r>
        <w:rPr>
          <w:rStyle w:val="864"/>
          <w:sz w:val="24"/>
          <w:szCs w:val="24"/>
        </w:rPr>
        <w:t xml:space="preserve">далее – субсидия) на цели ее предоставления </w:t>
        <w:br/>
        <w:t xml:space="preserve">(далее – решение о наличии потребност</w:t>
      </w:r>
      <w:r>
        <w:rPr>
          <w:rStyle w:val="864"/>
          <w:sz w:val="24"/>
          <w:szCs w:val="24"/>
        </w:rPr>
        <w:t xml:space="preserve">и в остатках средств субсидии)</w:t>
      </w:r>
      <w:r>
        <w:rPr>
          <w:rStyle w:val="864"/>
          <w:color w:val="ff0000"/>
          <w:sz w:val="24"/>
          <w:szCs w:val="24"/>
        </w:rPr>
        <w:t xml:space="preserve">.</w:t>
      </w:r>
      <w:r>
        <w:rPr>
          <w:rStyle w:val="864"/>
          <w:color w:val="ff0000"/>
          <w:sz w:val="24"/>
          <w:szCs w:val="24"/>
        </w:rPr>
      </w:r>
      <w:r>
        <w:rPr>
          <w:rStyle w:val="864"/>
          <w:color w:val="ff0000"/>
          <w:sz w:val="24"/>
          <w:szCs w:val="24"/>
        </w:rPr>
      </w:r>
    </w:p>
    <w:p>
      <w:pPr>
        <w:ind w:firstLine="709"/>
        <w:jc w:val="both"/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1.2.</w:t>
      </w:r>
      <w:r>
        <w:rPr>
          <w:rStyle w:val="864"/>
          <w:sz w:val="24"/>
          <w:szCs w:val="24"/>
        </w:rPr>
        <w:t xml:space="preserve"> В отношении субсидий, источником финансового обеспечения которых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являются средства федерального бюджета, бюджета </w:t>
      </w:r>
      <w:r>
        <w:rPr>
          <w:rStyle w:val="864"/>
          <w:sz w:val="24"/>
          <w:szCs w:val="24"/>
        </w:rPr>
        <w:t xml:space="preserve">Мурманской области</w:t>
      </w:r>
      <w:r>
        <w:rPr>
          <w:rStyle w:val="864"/>
          <w:sz w:val="24"/>
          <w:szCs w:val="24"/>
        </w:rPr>
        <w:t xml:space="preserve">,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принятие решения о наличии потребнос</w:t>
      </w:r>
      <w:r>
        <w:rPr>
          <w:rStyle w:val="864"/>
          <w:sz w:val="24"/>
          <w:szCs w:val="24"/>
        </w:rPr>
        <w:t xml:space="preserve">ти в остатках средств субсидии </w:t>
      </w:r>
      <w:r>
        <w:rPr>
          <w:rStyle w:val="864"/>
          <w:sz w:val="24"/>
          <w:szCs w:val="24"/>
        </w:rPr>
        <w:t xml:space="preserve">осуществляется с учетом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особенностей, установленных нормативными правовыми актами Российской Федерации,</w:t>
      </w:r>
      <w:r>
        <w:rPr>
          <w:rStyle w:val="864"/>
          <w:sz w:val="24"/>
          <w:szCs w:val="24"/>
        </w:rPr>
        <w:t xml:space="preserve"> Мурманской области.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0"/>
        <w:jc w:val="center"/>
        <w:rPr>
          <w:rStyle w:val="863"/>
          <w:sz w:val="24"/>
          <w:szCs w:val="24"/>
        </w:rPr>
        <w:suppressLineNumbers w:val="0"/>
      </w:pPr>
      <w:r>
        <w:rPr>
          <w:color w:val="000000"/>
          <w:sz w:val="24"/>
          <w:szCs w:val="24"/>
        </w:rPr>
        <w:br/>
      </w:r>
      <w:r>
        <w:rPr>
          <w:rStyle w:val="863"/>
          <w:sz w:val="24"/>
          <w:szCs w:val="24"/>
        </w:rPr>
        <w:t xml:space="preserve">2. Порядок принятия решения о наличии потребности в остатках средств</w:t>
      </w:r>
      <w:r>
        <w:rPr>
          <w:rStyle w:val="863"/>
          <w:sz w:val="24"/>
          <w:szCs w:val="24"/>
        </w:rPr>
        <w:t xml:space="preserve"> </w:t>
      </w:r>
      <w:r>
        <w:rPr>
          <w:rStyle w:val="863"/>
          <w:sz w:val="24"/>
          <w:szCs w:val="24"/>
        </w:rPr>
        <w:t xml:space="preserve">субсидии </w:t>
      </w:r>
      <w:r>
        <w:rPr>
          <w:rStyle w:val="863"/>
          <w:sz w:val="24"/>
          <w:szCs w:val="24"/>
        </w:rPr>
      </w:r>
      <w:r>
        <w:rPr>
          <w:rStyle w:val="863"/>
          <w:sz w:val="24"/>
          <w:szCs w:val="24"/>
        </w:rPr>
      </w:r>
    </w:p>
    <w:p>
      <w:pPr>
        <w:ind w:firstLine="709"/>
        <w:jc w:val="both"/>
        <w:rPr>
          <w:rStyle w:val="864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ab/>
      </w:r>
      <w:r>
        <w:rPr>
          <w:rStyle w:val="864"/>
          <w:sz w:val="24"/>
          <w:szCs w:val="24"/>
        </w:rPr>
        <w:t xml:space="preserve">2.1.</w:t>
      </w:r>
      <w:r>
        <w:rPr>
          <w:rStyle w:val="864"/>
          <w:sz w:val="24"/>
          <w:szCs w:val="24"/>
        </w:rPr>
        <w:t xml:space="preserve"> Учреждение </w:t>
      </w:r>
      <w:r>
        <w:rPr>
          <w:rStyle w:val="864"/>
          <w:sz w:val="24"/>
          <w:szCs w:val="24"/>
        </w:rPr>
        <w:t xml:space="preserve">в течение </w:t>
      </w:r>
      <w:r>
        <w:rPr>
          <w:rStyle w:val="864"/>
          <w:sz w:val="24"/>
          <w:szCs w:val="24"/>
        </w:rPr>
        <w:t xml:space="preserve">пяти </w:t>
      </w:r>
      <w:r>
        <w:rPr>
          <w:rStyle w:val="864"/>
          <w:sz w:val="24"/>
          <w:szCs w:val="24"/>
        </w:rPr>
        <w:t xml:space="preserve">рабочих дней со дня окончания финансового года представляет главному распорядителю информаци</w:t>
      </w:r>
      <w:r>
        <w:rPr>
          <w:rStyle w:val="864"/>
          <w:sz w:val="24"/>
          <w:szCs w:val="24"/>
        </w:rPr>
        <w:t xml:space="preserve">ю</w:t>
      </w:r>
      <w:r>
        <w:rPr>
          <w:rStyle w:val="864"/>
          <w:sz w:val="24"/>
          <w:szCs w:val="24"/>
        </w:rPr>
        <w:t xml:space="preserve"> о наличии у него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субсидий и (или) средства от возврата ранее произведенных </w:t>
      </w:r>
      <w:r>
        <w:rPr>
          <w:rStyle w:val="864"/>
          <w:sz w:val="24"/>
          <w:szCs w:val="24"/>
        </w:rPr>
        <w:t xml:space="preserve">организацией </w:t>
      </w:r>
      <w:r>
        <w:rPr>
          <w:rStyle w:val="864"/>
          <w:sz w:val="24"/>
          <w:szCs w:val="24"/>
        </w:rPr>
        <w:t xml:space="preserve">выплат, а также документы </w:t>
      </w:r>
      <w:r>
        <w:rPr>
          <w:rStyle w:val="864"/>
          <w:sz w:val="24"/>
          <w:szCs w:val="24"/>
        </w:rPr>
        <w:t xml:space="preserve">(копии документов), подтверждающие наличие и объем указанных обязательств </w:t>
      </w:r>
      <w:r>
        <w:rPr>
          <w:rStyle w:val="864"/>
          <w:sz w:val="24"/>
          <w:szCs w:val="24"/>
        </w:rPr>
        <w:t xml:space="preserve">организации</w:t>
      </w:r>
      <w:r>
        <w:rPr>
          <w:rStyle w:val="864"/>
          <w:sz w:val="24"/>
          <w:szCs w:val="24"/>
        </w:rPr>
        <w:t xml:space="preserve">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2.2.</w:t>
      </w:r>
      <w:r>
        <w:rPr>
          <w:rStyle w:val="864"/>
          <w:sz w:val="24"/>
          <w:szCs w:val="24"/>
        </w:rPr>
        <w:t xml:space="preserve"> Для получения и использования остатков субсидий учреждение представляет </w:t>
      </w:r>
      <w:r>
        <w:rPr>
          <w:rStyle w:val="864"/>
          <w:sz w:val="24"/>
          <w:szCs w:val="24"/>
        </w:rPr>
        <w:t xml:space="preserve">не позднее </w:t>
      </w:r>
      <w:r>
        <w:rPr>
          <w:rStyle w:val="864"/>
          <w:sz w:val="24"/>
          <w:szCs w:val="24"/>
        </w:rPr>
        <w:t xml:space="preserve">15</w:t>
      </w:r>
      <w:r>
        <w:rPr>
          <w:rStyle w:val="864"/>
          <w:sz w:val="24"/>
          <w:szCs w:val="24"/>
        </w:rPr>
        <w:t xml:space="preserve"> января </w:t>
      </w:r>
      <w:r>
        <w:rPr>
          <w:rStyle w:val="864"/>
          <w:sz w:val="24"/>
          <w:szCs w:val="24"/>
        </w:rPr>
        <w:t xml:space="preserve">года</w:t>
      </w:r>
      <w:r>
        <w:rPr>
          <w:rStyle w:val="864"/>
          <w:sz w:val="24"/>
          <w:szCs w:val="24"/>
        </w:rPr>
        <w:t xml:space="preserve">,</w:t>
      </w:r>
      <w:r>
        <w:rPr>
          <w:rStyle w:val="864"/>
          <w:sz w:val="24"/>
          <w:szCs w:val="24"/>
        </w:rPr>
        <w:t xml:space="preserve"> следующего за отчетным</w:t>
      </w:r>
      <w:r>
        <w:rPr>
          <w:rStyle w:val="864"/>
          <w:sz w:val="24"/>
          <w:szCs w:val="24"/>
        </w:rPr>
        <w:t xml:space="preserve">,</w:t>
      </w:r>
      <w:r>
        <w:rPr>
          <w:rStyle w:val="864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главному распорядителю за по</w:t>
      </w:r>
      <w:r>
        <w:rPr>
          <w:rStyle w:val="864"/>
          <w:sz w:val="24"/>
          <w:szCs w:val="24"/>
        </w:rPr>
        <w:t xml:space="preserve">дписью руководителя учреждения </w:t>
      </w:r>
      <w:r>
        <w:rPr>
          <w:rStyle w:val="864"/>
          <w:sz w:val="24"/>
          <w:szCs w:val="24"/>
        </w:rPr>
        <w:t xml:space="preserve">мотивированное обращение с приложением </w:t>
      </w:r>
      <w:r>
        <w:rPr>
          <w:rStyle w:val="864"/>
          <w:sz w:val="24"/>
          <w:szCs w:val="24"/>
        </w:rPr>
        <w:t xml:space="preserve">следующих документов</w:t>
      </w:r>
      <w:r>
        <w:rPr>
          <w:rStyle w:val="864"/>
          <w:sz w:val="24"/>
          <w:szCs w:val="24"/>
        </w:rPr>
        <w:t xml:space="preserve"> (за исключением пункта 2.3 Порядка)</w:t>
      </w:r>
      <w:r>
        <w:rPr>
          <w:rStyle w:val="864"/>
          <w:sz w:val="24"/>
          <w:szCs w:val="24"/>
        </w:rPr>
        <w:t xml:space="preserve">: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пояснительная записка, включающая описание причин неполного использования субсидии и обоснование потребности в средствах в объеме остатка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субсидии в текущем финансовом году на цели предоставления субсидии в предыдущем финансовом году;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копии муниципальных контрактов (договоров) с поставщиками (подрядчиками, исполнителями), осуществляющими выполнение работ, оказание услуг,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поставку товаров в рамках реализации капитальных вложений в объекты муниципальной собственности, не использованных в истекшем периоде;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информацию о планируемом к приобретению имуществе, в случае если целью предоставления субсидии </w:t>
      </w:r>
      <w:r>
        <w:rPr>
          <w:rStyle w:val="864"/>
          <w:sz w:val="24"/>
          <w:szCs w:val="24"/>
        </w:rPr>
        <w:t xml:space="preserve">является приобретение имущества.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2.3.</w:t>
      </w:r>
      <w:r>
        <w:rPr>
          <w:rStyle w:val="864"/>
          <w:sz w:val="24"/>
          <w:szCs w:val="24"/>
        </w:rPr>
        <w:t xml:space="preserve"> Для подтверждения потребности направления средств в объеме остатка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не использованной на начало очередного финансового года ранее перечисленной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учреждению </w:t>
      </w:r>
      <w:r>
        <w:rPr>
          <w:rStyle w:val="864"/>
          <w:sz w:val="24"/>
          <w:szCs w:val="24"/>
        </w:rPr>
        <w:t xml:space="preserve">субсидии, предоставленной за счет бюджетных ассигнований бюджета </w:t>
      </w:r>
      <w:r>
        <w:rPr>
          <w:rStyle w:val="864"/>
          <w:sz w:val="24"/>
          <w:szCs w:val="24"/>
        </w:rPr>
        <w:t xml:space="preserve">округа</w:t>
      </w:r>
      <w:r>
        <w:rPr>
          <w:rStyle w:val="864"/>
          <w:sz w:val="24"/>
          <w:szCs w:val="24"/>
        </w:rPr>
        <w:t xml:space="preserve">, утвержденных в декабре отчетного финансового года, при условии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отсутствия указанных в абзацах третьем – </w:t>
      </w:r>
      <w:r>
        <w:rPr>
          <w:rStyle w:val="864"/>
          <w:sz w:val="24"/>
          <w:szCs w:val="24"/>
        </w:rPr>
        <w:t xml:space="preserve">четвертом</w:t>
      </w:r>
      <w:r>
        <w:rPr>
          <w:rStyle w:val="864"/>
          <w:color w:val="ff0000"/>
          <w:sz w:val="24"/>
          <w:szCs w:val="24"/>
        </w:rPr>
        <w:t xml:space="preserve"> </w:t>
      </w:r>
      <w:r>
        <w:rPr>
          <w:rStyle w:val="864"/>
          <w:sz w:val="24"/>
          <w:szCs w:val="24"/>
        </w:rPr>
        <w:t xml:space="preserve">пункта 2.2 Порядка документов,</w:t>
      </w:r>
      <w:r>
        <w:rPr>
          <w:color w:val="000000"/>
          <w:sz w:val="24"/>
          <w:szCs w:val="24"/>
        </w:rPr>
        <w:br/>
      </w:r>
      <w:r>
        <w:rPr>
          <w:rStyle w:val="864"/>
          <w:sz w:val="24"/>
          <w:szCs w:val="24"/>
        </w:rPr>
        <w:t xml:space="preserve">учреждение </w:t>
      </w:r>
      <w:r>
        <w:rPr>
          <w:rStyle w:val="864"/>
          <w:sz w:val="24"/>
          <w:szCs w:val="24"/>
        </w:rPr>
        <w:t xml:space="preserve">представляет главному распорядителю, предоставляющему субсидию, документ, указанный в абзаце втором пункта 2.2 Порядка.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2.</w:t>
      </w:r>
      <w:r>
        <w:rPr>
          <w:rStyle w:val="864"/>
          <w:sz w:val="24"/>
          <w:szCs w:val="24"/>
        </w:rPr>
        <w:t xml:space="preserve">4</w:t>
      </w:r>
      <w:r>
        <w:rPr>
          <w:rStyle w:val="864"/>
          <w:sz w:val="24"/>
          <w:szCs w:val="24"/>
        </w:rPr>
        <w:t xml:space="preserve">.</w:t>
      </w:r>
      <w:r>
        <w:rPr>
          <w:rStyle w:val="864"/>
          <w:sz w:val="24"/>
          <w:szCs w:val="24"/>
        </w:rPr>
        <w:t xml:space="preserve"> Главный распорядитель в течение 10 рабочих дней со дня регистрации документов, указанных в пункте 2.</w:t>
      </w:r>
      <w:r>
        <w:rPr>
          <w:rStyle w:val="864"/>
          <w:sz w:val="24"/>
          <w:szCs w:val="24"/>
        </w:rPr>
        <w:t xml:space="preserve">2</w:t>
      </w:r>
      <w:r>
        <w:rPr>
          <w:rStyle w:val="864"/>
          <w:sz w:val="24"/>
          <w:szCs w:val="24"/>
        </w:rPr>
        <w:t xml:space="preserve"> настоящего Порядка, рассматривает их, осуществляет проверку на предмет соответствия требованиям настоящего Порядка.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При наличии замечаний по представленным документам, указанным в пункте 2.</w:t>
      </w:r>
      <w:r>
        <w:rPr>
          <w:rStyle w:val="864"/>
          <w:sz w:val="24"/>
          <w:szCs w:val="24"/>
        </w:rPr>
        <w:t xml:space="preserve">2</w:t>
      </w:r>
      <w:r>
        <w:rPr>
          <w:rStyle w:val="864"/>
          <w:sz w:val="24"/>
          <w:szCs w:val="24"/>
        </w:rPr>
        <w:t xml:space="preserve"> настоящего Порядка, не являющихся основанием для отказа, установленных пунктом </w:t>
      </w:r>
      <w:r>
        <w:rPr>
          <w:rStyle w:val="864"/>
          <w:sz w:val="24"/>
          <w:szCs w:val="24"/>
        </w:rPr>
        <w:t xml:space="preserve">2.5</w:t>
      </w:r>
      <w:r>
        <w:rPr>
          <w:rStyle w:val="864"/>
          <w:sz w:val="24"/>
          <w:szCs w:val="24"/>
        </w:rPr>
        <w:t xml:space="preserve"> настоящего Порядка, главный распорядитель направляет в адрес учреждения письмо об устранении выявленных замечаний. Исправленные и повторно представленные документы считаются вновь поступившими.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2.</w:t>
      </w:r>
      <w:r>
        <w:rPr>
          <w:rStyle w:val="864"/>
          <w:sz w:val="24"/>
          <w:szCs w:val="24"/>
        </w:rPr>
        <w:t xml:space="preserve">5</w:t>
      </w:r>
      <w:r>
        <w:rPr>
          <w:rStyle w:val="864"/>
          <w:sz w:val="24"/>
          <w:szCs w:val="24"/>
        </w:rPr>
        <w:t xml:space="preserve">.</w:t>
      </w:r>
      <w:r>
        <w:rPr>
          <w:rStyle w:val="864"/>
          <w:sz w:val="24"/>
          <w:szCs w:val="24"/>
        </w:rPr>
        <w:t xml:space="preserve"> При наличии оснований для отказа в предоставлении субсидии учреждению, установленных абзацем вторым настоящего пункта, главный распорядитель в течение срока, установленного абзацем первым пункта 2.</w:t>
      </w:r>
      <w:r>
        <w:rPr>
          <w:rStyle w:val="864"/>
          <w:sz w:val="24"/>
          <w:szCs w:val="24"/>
        </w:rPr>
        <w:t xml:space="preserve">4</w:t>
      </w:r>
      <w:r>
        <w:rPr>
          <w:rStyle w:val="864"/>
          <w:sz w:val="24"/>
          <w:szCs w:val="24"/>
        </w:rPr>
        <w:t xml:space="preserve"> настоящего Порядка, направляет учреждению </w:t>
      </w:r>
      <w:r>
        <w:rPr>
          <w:rStyle w:val="864"/>
          <w:sz w:val="24"/>
          <w:szCs w:val="24"/>
        </w:rPr>
        <w:t xml:space="preserve">письмо</w:t>
      </w:r>
      <w:r>
        <w:rPr>
          <w:rStyle w:val="864"/>
          <w:sz w:val="24"/>
          <w:szCs w:val="24"/>
        </w:rPr>
        <w:t xml:space="preserve">, содержащее мотивированное обоснование такого отказа, и возвращает документы, представленные в соответствии с пунктом 2.</w:t>
      </w:r>
      <w:r>
        <w:rPr>
          <w:rStyle w:val="864"/>
          <w:sz w:val="24"/>
          <w:szCs w:val="24"/>
        </w:rPr>
        <w:t xml:space="preserve">2</w:t>
      </w:r>
      <w:r>
        <w:rPr>
          <w:rStyle w:val="864"/>
          <w:sz w:val="24"/>
          <w:szCs w:val="24"/>
        </w:rPr>
        <w:t xml:space="preserve"> настоящего Порядка.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Основанием для отказа учреждению в предоставлении субсидии являются: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несоответствие представленных учреждением документов требованиям, определенным пунктом 2.</w:t>
      </w:r>
      <w:r>
        <w:rPr>
          <w:rStyle w:val="864"/>
          <w:sz w:val="24"/>
          <w:szCs w:val="24"/>
        </w:rPr>
        <w:t xml:space="preserve">2</w:t>
      </w:r>
      <w:r>
        <w:rPr>
          <w:rStyle w:val="864"/>
          <w:sz w:val="24"/>
          <w:szCs w:val="24"/>
        </w:rPr>
        <w:t xml:space="preserve"> настоящего Порядка, или непредставление (представление не в полном объеме) указанных документов;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недостоверность информации, содержащейся в документах, предст</w:t>
      </w:r>
      <w:r>
        <w:rPr>
          <w:rStyle w:val="864"/>
          <w:sz w:val="24"/>
          <w:szCs w:val="24"/>
        </w:rPr>
        <w:t xml:space="preserve">авленных учреждением.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2.6.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Принятие главным распорядителем решения </w:t>
      </w:r>
      <w:r>
        <w:rPr>
          <w:rStyle w:val="864"/>
          <w:sz w:val="24"/>
          <w:szCs w:val="24"/>
        </w:rPr>
        <w:t xml:space="preserve">о потребности в остатках средств субсидии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оформляе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тся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форме распоряжения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(приказа) главного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распорядителя по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согласованию с финансовым управлением.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2.7</w:t>
      </w:r>
      <w:r>
        <w:rPr>
          <w:rStyle w:val="864"/>
          <w:sz w:val="24"/>
          <w:szCs w:val="24"/>
        </w:rPr>
        <w:t xml:space="preserve">.</w:t>
      </w:r>
      <w:r>
        <w:rPr>
          <w:rStyle w:val="864"/>
          <w:sz w:val="24"/>
          <w:szCs w:val="24"/>
        </w:rPr>
        <w:t xml:space="preserve"> Главный распорядитель направляет на согласование в финансовое управление проект решения, указанного </w:t>
      </w:r>
      <w:r>
        <w:rPr>
          <w:rStyle w:val="864"/>
          <w:sz w:val="24"/>
          <w:szCs w:val="24"/>
        </w:rPr>
        <w:t xml:space="preserve">в пункте </w:t>
      </w:r>
      <w:r>
        <w:rPr>
          <w:rStyle w:val="864"/>
          <w:sz w:val="24"/>
          <w:szCs w:val="24"/>
        </w:rPr>
        <w:t xml:space="preserve">2.</w:t>
      </w:r>
      <w:r>
        <w:rPr>
          <w:rStyle w:val="864"/>
          <w:sz w:val="24"/>
          <w:szCs w:val="24"/>
        </w:rPr>
        <w:t xml:space="preserve">6</w:t>
      </w:r>
      <w:r>
        <w:rPr>
          <w:rStyle w:val="864"/>
          <w:sz w:val="24"/>
          <w:szCs w:val="24"/>
        </w:rPr>
        <w:t xml:space="preserve"> Порядка</w:t>
      </w:r>
      <w:r>
        <w:rPr>
          <w:rStyle w:val="864"/>
          <w:sz w:val="24"/>
          <w:szCs w:val="24"/>
        </w:rPr>
        <w:t xml:space="preserve">, не позднее 10 февраля текущего финансового года с приложением: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пояснительной записки, которая должна содержать информацию о причинах образования остатков субсидии, а также обоснование потребности в их использовании </w:t>
      </w:r>
      <w:r>
        <w:rPr>
          <w:rStyle w:val="864"/>
          <w:sz w:val="24"/>
          <w:szCs w:val="24"/>
        </w:rPr>
        <w:t xml:space="preserve">на те</w:t>
      </w:r>
      <w:r>
        <w:rPr>
          <w:rStyle w:val="864"/>
          <w:sz w:val="24"/>
          <w:szCs w:val="24"/>
        </w:rPr>
        <w:t xml:space="preserve"> же цели в текущем финансовом году;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информации, обосновывающей потребность использования остатков субсидии согласно приложению </w:t>
      </w:r>
      <w:r>
        <w:rPr>
          <w:rStyle w:val="864"/>
          <w:sz w:val="24"/>
          <w:szCs w:val="24"/>
        </w:rPr>
        <w:t xml:space="preserve">1</w:t>
      </w:r>
      <w:r>
        <w:rPr>
          <w:rStyle w:val="864"/>
          <w:sz w:val="24"/>
          <w:szCs w:val="24"/>
        </w:rPr>
        <w:t xml:space="preserve"> к настоящему Порядку.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Финансовое управление рассматривает представленный проект решения и в течение семи рабочих дней со дня его получения направляет в адрес главного распорядителя информацию о его согласовании или обоснованный отказ в его согласовании.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Финансовое управление вправе отказать в согласовании проекта решения по следующим основаниям: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нарушение сроков, предусмотренных абзац</w:t>
      </w:r>
      <w:r>
        <w:rPr>
          <w:rStyle w:val="864"/>
          <w:sz w:val="24"/>
          <w:szCs w:val="24"/>
        </w:rPr>
        <w:t xml:space="preserve">ем </w:t>
      </w:r>
      <w:r>
        <w:rPr>
          <w:rStyle w:val="864"/>
          <w:sz w:val="24"/>
          <w:szCs w:val="24"/>
        </w:rPr>
        <w:t xml:space="preserve">первым настоящего пункта;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-</w:t>
      </w:r>
      <w:r>
        <w:rPr>
          <w:rStyle w:val="864"/>
          <w:sz w:val="24"/>
          <w:szCs w:val="24"/>
        </w:rPr>
        <w:t xml:space="preserve"> превышение суммы, заявленной к подтверждению, над суммой остатка средств субсидии.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864"/>
          <w:sz w:val="24"/>
          <w:szCs w:val="24"/>
        </w:rPr>
      </w:pPr>
      <w:r>
        <w:rPr>
          <w:rStyle w:val="864"/>
          <w:sz w:val="24"/>
          <w:szCs w:val="24"/>
        </w:rPr>
        <w:t xml:space="preserve">2.</w:t>
      </w:r>
      <w:r>
        <w:rPr>
          <w:rStyle w:val="864"/>
          <w:sz w:val="24"/>
          <w:szCs w:val="24"/>
        </w:rPr>
        <w:t xml:space="preserve">8</w:t>
      </w:r>
      <w:r>
        <w:rPr>
          <w:rStyle w:val="864"/>
          <w:sz w:val="24"/>
          <w:szCs w:val="24"/>
        </w:rPr>
        <w:t xml:space="preserve">.</w:t>
      </w:r>
      <w:r>
        <w:rPr>
          <w:rStyle w:val="864"/>
          <w:sz w:val="24"/>
          <w:szCs w:val="24"/>
        </w:rPr>
        <w:t xml:space="preserve"> Главный распорядитель </w:t>
      </w:r>
      <w:r>
        <w:rPr>
          <w:rStyle w:val="864"/>
          <w:sz w:val="24"/>
          <w:szCs w:val="24"/>
        </w:rPr>
        <w:t xml:space="preserve">обеспечивает </w:t>
      </w:r>
      <w:r>
        <w:rPr>
          <w:rStyle w:val="864"/>
          <w:sz w:val="24"/>
          <w:szCs w:val="24"/>
        </w:rPr>
        <w:t xml:space="preserve">контроль за</w:t>
      </w:r>
      <w:r>
        <w:rPr>
          <w:rStyle w:val="864"/>
          <w:sz w:val="24"/>
          <w:szCs w:val="24"/>
        </w:rPr>
        <w:t xml:space="preserve"> исполнением учреждением решения о наличии потребности в остатках средств субсидии.</w:t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rPr>
          <w:rStyle w:val="864"/>
          <w:sz w:val="24"/>
          <w:szCs w:val="24"/>
        </w:rPr>
      </w:pPr>
      <w:r>
        <w:rPr>
          <w:sz w:val="24"/>
          <w:szCs w:val="24"/>
        </w:rPr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rPr>
          <w:rStyle w:val="864"/>
          <w:sz w:val="24"/>
          <w:szCs w:val="24"/>
        </w:rPr>
      </w:pPr>
      <w:r>
        <w:rPr>
          <w:sz w:val="24"/>
          <w:szCs w:val="24"/>
        </w:rPr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rPr>
          <w:rStyle w:val="864"/>
          <w:sz w:val="24"/>
          <w:szCs w:val="24"/>
        </w:rPr>
      </w:pPr>
      <w:r>
        <w:rPr>
          <w:sz w:val="24"/>
          <w:szCs w:val="24"/>
        </w:rPr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firstLine="709"/>
        <w:jc w:val="both"/>
        <w:rPr>
          <w:rStyle w:val="864"/>
          <w:sz w:val="24"/>
          <w:szCs w:val="24"/>
        </w:rPr>
        <w:sectPr>
          <w:footnotePr/>
          <w:endnotePr/>
          <w:type w:val="nextPage"/>
          <w:pgSz w:w="11906" w:h="16838" w:orient="portrait"/>
          <w:pgMar w:top="709" w:right="850" w:bottom="397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sz w:val="24"/>
          <w:szCs w:val="24"/>
        </w:rPr>
      </w:r>
      <w:r>
        <w:rPr>
          <w:rStyle w:val="864"/>
          <w:sz w:val="24"/>
          <w:szCs w:val="24"/>
        </w:rPr>
      </w:r>
      <w:r>
        <w:rPr>
          <w:rStyle w:val="864"/>
          <w:sz w:val="24"/>
          <w:szCs w:val="24"/>
        </w:rPr>
      </w:r>
    </w:p>
    <w:p>
      <w:pPr>
        <w:ind w:left="10773"/>
        <w:widowControl w:val="off"/>
        <w:rPr>
          <w:rFonts w:ascii="Times New Roman" w:hAnsi="Times New Roman" w:eastAsia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0"/>
          <w:lang w:eastAsia="ru-RU"/>
        </w:rPr>
      </w:r>
      <w:r>
        <w:rPr>
          <w:rFonts w:ascii="Times New Roman" w:hAnsi="Times New Roman" w:eastAsia="Times New Roman"/>
          <w:sz w:val="24"/>
          <w:szCs w:val="20"/>
          <w:lang w:eastAsia="ru-RU"/>
        </w:rPr>
      </w:r>
    </w:p>
    <w:p>
      <w:pPr>
        <w:ind w:left="10773"/>
        <w:widowControl w:val="off"/>
        <w:rPr>
          <w:rFonts w:ascii="Times New Roman" w:hAnsi="Times New Roman" w:eastAsia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к Порядку, утвержденному постановлением администрации </w:t>
      </w:r>
      <w:r>
        <w:rPr>
          <w:rFonts w:ascii="Times New Roman" w:hAnsi="Times New Roman" w:eastAsia="Times New Roman"/>
          <w:sz w:val="24"/>
          <w:szCs w:val="20"/>
          <w:lang w:eastAsia="ru-RU"/>
        </w:rPr>
      </w:r>
      <w:r>
        <w:rPr>
          <w:rFonts w:ascii="Times New Roman" w:hAnsi="Times New Roman" w:eastAsia="Times New Roman"/>
          <w:sz w:val="24"/>
          <w:szCs w:val="20"/>
          <w:lang w:eastAsia="ru-RU"/>
        </w:rPr>
      </w:r>
    </w:p>
    <w:p>
      <w:pPr>
        <w:ind w:left="10773"/>
        <w:widowControl w:val="off"/>
        <w:rPr>
          <w:rFonts w:ascii="Times New Roman" w:hAnsi="Times New Roman" w:eastAsia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0"/>
          <w:lang w:eastAsia="ru-RU"/>
        </w:rPr>
      </w:r>
      <w:r>
        <w:rPr>
          <w:rFonts w:ascii="Times New Roman" w:hAnsi="Times New Roman" w:eastAsia="Times New Roman"/>
          <w:sz w:val="24"/>
          <w:szCs w:val="20"/>
          <w:lang w:eastAsia="ru-RU"/>
        </w:rPr>
      </w:r>
    </w:p>
    <w:p>
      <w:pPr>
        <w:ind w:left="10773"/>
        <w:widowControl w:val="off"/>
        <w:rPr>
          <w:rFonts w:ascii="Times New Roman" w:hAnsi="Times New Roman" w:eastAsia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14.01.2026 </w:t>
      </w:r>
      <w:r>
        <w:rPr>
          <w:rFonts w:ascii="Times New Roman" w:hAnsi="Times New Roman" w:eastAsia="Times New Roman"/>
          <w:sz w:val="24"/>
          <w:szCs w:val="20"/>
          <w:lang w:eastAsia="ru-RU"/>
        </w:rPr>
        <w:t xml:space="preserve">№ 22</w:t>
      </w:r>
      <w:r>
        <w:rPr>
          <w:rFonts w:ascii="Times New Roman" w:hAnsi="Times New Roman" w:eastAsia="Times New Roman"/>
          <w:sz w:val="24"/>
          <w:szCs w:val="20"/>
          <w:lang w:eastAsia="ru-RU"/>
        </w:rPr>
      </w:r>
      <w:r>
        <w:rPr>
          <w:rFonts w:ascii="Times New Roman" w:hAnsi="Times New Roman" w:eastAsia="Times New Roman"/>
          <w:sz w:val="24"/>
          <w:szCs w:val="20"/>
          <w:lang w:eastAsia="ru-RU"/>
        </w:rPr>
      </w:r>
    </w:p>
    <w:p>
      <w:pPr>
        <w:ind w:left="10773"/>
        <w:jc w:val="center"/>
        <w:widowControl w:val="off"/>
        <w:rPr>
          <w:rFonts w:ascii="Times New Roman" w:hAnsi="Times New Roman" w:eastAsia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/>
          <w:sz w:val="24"/>
          <w:szCs w:val="20"/>
          <w:lang w:eastAsia="ru-RU"/>
        </w:rPr>
      </w:r>
      <w:r>
        <w:rPr>
          <w:rFonts w:ascii="Times New Roman" w:hAnsi="Times New Roman" w:eastAsia="Times New Roman"/>
          <w:sz w:val="24"/>
          <w:szCs w:val="20"/>
          <w:lang w:eastAsia="ru-RU"/>
        </w:rPr>
      </w:r>
      <w:r>
        <w:rPr>
          <w:rFonts w:ascii="Times New Roman" w:hAnsi="Times New Roman" w:eastAsia="Times New Roman"/>
          <w:sz w:val="24"/>
          <w:szCs w:val="20"/>
          <w:lang w:eastAsia="ru-RU"/>
        </w:rPr>
      </w:r>
    </w:p>
    <w:p>
      <w:pPr>
        <w:ind w:right="-5"/>
        <w:jc w:val="center"/>
        <w:tabs>
          <w:tab w:val="left" w:pos="6237" w:leader="none"/>
        </w:tabs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ИНФОРМАЦИЯ,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right="-5"/>
        <w:jc w:val="center"/>
        <w:tabs>
          <w:tab w:val="left" w:pos="6237" w:leader="none"/>
        </w:tabs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обосновывающая потребность в использовании субсидии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right="-5"/>
        <w:jc w:val="center"/>
        <w:tabs>
          <w:tab w:val="left" w:pos="6237" w:leader="none"/>
        </w:tabs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right="-5"/>
        <w:tabs>
          <w:tab w:val="left" w:pos="6237" w:leader="none"/>
        </w:tabs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Наименование главного распорядителя бюджетных средств _________________________________________________________________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tbl>
      <w:tblPr>
        <w:tblStyle w:val="845"/>
        <w:tblW w:w="14849" w:type="dxa"/>
        <w:tblLayout w:type="fixed"/>
        <w:tblLook w:val="04A0" w:firstRow="1" w:lastRow="0" w:firstColumn="1" w:lastColumn="0" w:noHBand="0" w:noVBand="1"/>
      </w:tblPr>
      <w:tblGrid>
        <w:gridCol w:w="482"/>
        <w:gridCol w:w="619"/>
        <w:gridCol w:w="567"/>
        <w:gridCol w:w="708"/>
        <w:gridCol w:w="709"/>
        <w:gridCol w:w="709"/>
        <w:gridCol w:w="709"/>
        <w:gridCol w:w="709"/>
        <w:gridCol w:w="850"/>
        <w:gridCol w:w="850"/>
        <w:gridCol w:w="709"/>
        <w:gridCol w:w="709"/>
        <w:gridCol w:w="567"/>
        <w:gridCol w:w="567"/>
        <w:gridCol w:w="567"/>
        <w:gridCol w:w="567"/>
        <w:gridCol w:w="566"/>
        <w:gridCol w:w="567"/>
        <w:gridCol w:w="426"/>
        <w:gridCol w:w="567"/>
        <w:gridCol w:w="567"/>
        <w:gridCol w:w="709"/>
        <w:gridCol w:w="849"/>
      </w:tblGrid>
      <w:tr>
        <w:tblPrEx/>
        <w:trPr>
          <w:cantSplit/>
          <w:trHeight w:val="1658"/>
        </w:trPr>
        <w:tc>
          <w:tcPr>
            <w:tcW w:w="482" w:type="dxa"/>
            <w:vMerge w:val="restart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19" w:type="dxa"/>
            <w:vMerge w:val="restart"/>
            <w:textDirection w:val="btLr"/>
            <w:noWrap w:val="false"/>
          </w:tcPr>
          <w:p>
            <w:pPr>
              <w:ind w:left="113" w:right="-60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Наименование цели предоставления субсидии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73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Наименование  учреждения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8" w:type="dxa"/>
            <w:vMerge w:val="restart"/>
            <w:textDirection w:val="btLr"/>
            <w:noWrap w:val="false"/>
          </w:tcPr>
          <w:p>
            <w:pPr>
              <w:ind w:left="113" w:right="-146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Основание (реквизиты и наименование правового акта)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restart"/>
            <w:textDirection w:val="btLr"/>
            <w:noWrap w:val="false"/>
          </w:tcPr>
          <w:p>
            <w:pPr>
              <w:ind w:left="113" w:right="-120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Объем ассигнований, предусмотренный правовым актом (руб.)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restart"/>
            <w:textDirection w:val="btLr"/>
            <w:noWrap w:val="false"/>
          </w:tcPr>
          <w:p>
            <w:pPr>
              <w:ind w:left="113" w:right="-91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Дата заключения соглашения главного распорядителя с учреждением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restart"/>
            <w:textDirection w:val="btLr"/>
            <w:noWrap w:val="false"/>
          </w:tcPr>
          <w:p>
            <w:pPr>
              <w:ind w:left="113" w:right="-32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Дата перечисления субсидии муниципальному учреждению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restart"/>
            <w:textDirection w:val="btLr"/>
            <w:noWrap w:val="false"/>
          </w:tcPr>
          <w:p>
            <w:pPr>
              <w:ind w:left="113"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Использовано учреждением в отчетном году (руб.)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gridSpan w:val="2"/>
            <w:tcW w:w="1700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Неиспользованный на 1 января текущего финансового года остаток субсидии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gridSpan w:val="13"/>
            <w:tcW w:w="793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Потребность в возврате неиспользованного остатка субсидии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84"/>
        </w:trPr>
        <w:tc>
          <w:tcPr>
            <w:tcW w:w="482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1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Объем субсидии (руб.)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Дата возврата в бюджет округа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gridSpan w:val="5"/>
            <w:tcW w:w="311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Объем субсидии (руб.)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Предмет контракта (договора)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gridSpan w:val="7"/>
            <w:tcW w:w="4251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В том числе: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cantSplit/>
          <w:trHeight w:val="2033"/>
        </w:trPr>
        <w:tc>
          <w:tcPr>
            <w:tcW w:w="482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1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Потребность в средствах бюджета округа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НМЦ контракта (договора)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Дата проведения торгов 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Экономия по результатам торгов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Стоимость контракта 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(договора)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Дата заключения контракта 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Номер контракта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426" w:type="dxa"/>
            <w:vMerge w:val="restart"/>
            <w:textDirection w:val="btLr"/>
            <w:noWrap w:val="false"/>
          </w:tcPr>
          <w:p>
            <w:pPr>
              <w:ind w:left="113"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Наименование контрагента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Первичное размещение за счет средств экономии иных контрактов 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 (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договоров)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restart"/>
            <w:textDirection w:val="btLr"/>
            <w:noWrap w:val="false"/>
          </w:tcPr>
          <w:p>
            <w:pPr>
              <w:ind w:left="113"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Оплачено в отчетном году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gridSpan w:val="2"/>
            <w:tcW w:w="1558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Дата поставки товаров (оказание услуг, выполнение работ) по контракту (договору)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W w:w="482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1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426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дата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4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Примечание к фактическому исполнению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/>
        <w:tc>
          <w:tcPr>
            <w:tcW w:w="482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1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49" w:type="dxa"/>
            <w:textDirection w:val="lrTb"/>
            <w:noWrap w:val="false"/>
          </w:tcPr>
          <w:p>
            <w:pPr>
              <w:ind w:right="-5"/>
              <w:jc w:val="center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/>
        <w:tc>
          <w:tcPr>
            <w:tcW w:w="482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1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4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</w:tr>
      <w:tr>
        <w:tblPrEx/>
        <w:trPr/>
        <w:tc>
          <w:tcPr>
            <w:tcW w:w="482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1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849" w:type="dxa"/>
            <w:textDirection w:val="lrTb"/>
            <w:noWrap w:val="false"/>
          </w:tcPr>
          <w:p>
            <w:pPr>
              <w:ind w:right="-5"/>
              <w:tabs>
                <w:tab w:val="left" w:pos="6237" w:leader="none"/>
              </w:tabs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z w:val="16"/>
                <w:szCs w:val="16"/>
                <w:lang w:eastAsia="ru-RU"/>
              </w:rPr>
            </w:r>
          </w:p>
        </w:tc>
      </w:tr>
    </w:tbl>
    <w:p>
      <w:pPr>
        <w:ind w:right="-5"/>
        <w:tabs>
          <w:tab w:val="left" w:pos="6237" w:leader="none"/>
        </w:tabs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right="-5"/>
        <w:tabs>
          <w:tab w:val="left" w:pos="6237" w:leader="none"/>
        </w:tabs>
        <w:rPr>
          <w:rFonts w:ascii="Times New Roman" w:hAnsi="Times New Roman" w:eastAsia="Times New Roman"/>
          <w:color w:val="000000"/>
          <w:lang w:eastAsia="ru-RU"/>
        </w:rPr>
      </w:pPr>
      <w:r>
        <w:rPr>
          <w:rFonts w:ascii="Times New Roman" w:hAnsi="Times New Roman" w:eastAsia="Times New Roman"/>
          <w:color w:val="000000"/>
          <w:lang w:eastAsia="ru-RU"/>
        </w:rPr>
        <w:t xml:space="preserve">Руководитель __________________(ФИО)                                                                        СОГЛАСОВАНО:</w:t>
      </w: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</w:p>
    <w:p>
      <w:pPr>
        <w:ind w:right="-5"/>
        <w:tabs>
          <w:tab w:val="left" w:pos="6237" w:leader="none"/>
        </w:tabs>
        <w:rPr>
          <w:rFonts w:ascii="Times New Roman" w:hAnsi="Times New Roman" w:eastAsia="Times New Roman"/>
          <w:color w:val="000000"/>
          <w:lang w:eastAsia="ru-RU"/>
        </w:rPr>
      </w:pP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</w:p>
    <w:p>
      <w:pPr>
        <w:ind w:right="-5"/>
        <w:tabs>
          <w:tab w:val="left" w:pos="6237" w:leader="none"/>
        </w:tabs>
        <w:rPr>
          <w:rFonts w:ascii="Times New Roman" w:hAnsi="Times New Roman" w:eastAsia="Times New Roman"/>
          <w:color w:val="000000"/>
          <w:lang w:eastAsia="ru-RU"/>
        </w:rPr>
      </w:pPr>
      <w:r>
        <w:rPr>
          <w:rFonts w:ascii="Times New Roman" w:hAnsi="Times New Roman" w:eastAsia="Times New Roman"/>
          <w:color w:val="000000"/>
          <w:lang w:eastAsia="ru-RU"/>
        </w:rPr>
        <w:t xml:space="preserve">Исполнитель ________________(ФИО)                                                                             Начальник финансового управления _______________(ФИО)</w:t>
      </w: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</w:p>
    <w:p>
      <w:pPr>
        <w:ind w:left="10773"/>
        <w:jc w:val="center"/>
        <w:widowControl w:val="off"/>
        <w:rPr>
          <w:rFonts w:ascii="Times New Roman" w:hAnsi="Times New Roman" w:eastAsia="Times New Roman"/>
          <w:sz w:val="24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  <w:t xml:space="preserve">Тел., дата          </w:t>
      </w:r>
      <w:r>
        <w:rPr>
          <w:rFonts w:ascii="Times New Roman" w:hAnsi="Times New Roman" w:eastAsia="Times New Roman"/>
          <w:sz w:val="24"/>
          <w:szCs w:val="20"/>
          <w:lang w:eastAsia="ru-RU"/>
        </w:rPr>
      </w:r>
      <w:r>
        <w:rPr>
          <w:rFonts w:ascii="Times New Roman" w:hAnsi="Times New Roman" w:eastAsia="Times New Roman"/>
          <w:sz w:val="24"/>
          <w:szCs w:val="20"/>
          <w:lang w:eastAsia="ru-RU"/>
        </w:rPr>
      </w:r>
    </w:p>
    <w:sectPr>
      <w:footnotePr/>
      <w:endnotePr/>
      <w:type w:val="nextPage"/>
      <w:pgSz w:w="16838" w:h="11906" w:orient="landscape"/>
      <w:pgMar w:top="568" w:right="709" w:bottom="850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680"/>
    <w:link w:val="672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680"/>
    <w:link w:val="693"/>
    <w:uiPriority w:val="10"/>
    <w:rPr>
      <w:sz w:val="48"/>
      <w:szCs w:val="48"/>
    </w:rPr>
  </w:style>
  <w:style w:type="character" w:styleId="666">
    <w:name w:val="Subtitle Char"/>
    <w:basedOn w:val="680"/>
    <w:link w:val="695"/>
    <w:uiPriority w:val="11"/>
    <w:rPr>
      <w:sz w:val="24"/>
      <w:szCs w:val="24"/>
    </w:rPr>
  </w:style>
  <w:style w:type="character" w:styleId="667">
    <w:name w:val="Quote Char"/>
    <w:link w:val="697"/>
    <w:uiPriority w:val="29"/>
    <w:rPr>
      <w:i/>
    </w:rPr>
  </w:style>
  <w:style w:type="character" w:styleId="668">
    <w:name w:val="Intense Quote Char"/>
    <w:link w:val="699"/>
    <w:uiPriority w:val="30"/>
    <w:rPr>
      <w:i/>
    </w:rPr>
  </w:style>
  <w:style w:type="character" w:styleId="669">
    <w:name w:val="Endnote Text Char"/>
    <w:link w:val="831"/>
    <w:uiPriority w:val="99"/>
    <w:rPr>
      <w:sz w:val="20"/>
    </w:rPr>
  </w:style>
  <w:style w:type="paragraph" w:styleId="670" w:default="1">
    <w:name w:val="Normal"/>
    <w:qFormat/>
    <w:rPr>
      <w:sz w:val="22"/>
      <w:szCs w:val="22"/>
      <w:lang w:eastAsia="en-US"/>
    </w:rPr>
  </w:style>
  <w:style w:type="paragraph" w:styleId="671">
    <w:name w:val="Heading 1"/>
    <w:basedOn w:val="670"/>
    <w:next w:val="670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68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68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670"/>
    <w:next w:val="670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77">
    <w:name w:val="Heading 7"/>
    <w:basedOn w:val="670"/>
    <w:next w:val="670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78">
    <w:name w:val="Heading 8"/>
    <w:basedOn w:val="670"/>
    <w:next w:val="670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79">
    <w:name w:val="Heading 9"/>
    <w:basedOn w:val="670"/>
    <w:next w:val="670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685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Заголовок 4 Знак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No Spacing"/>
    <w:uiPriority w:val="1"/>
    <w:qFormat/>
  </w:style>
  <w:style w:type="paragraph" w:styleId="693">
    <w:name w:val="Title"/>
    <w:basedOn w:val="670"/>
    <w:next w:val="670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 w:customStyle="1">
    <w:name w:val="Название Знак"/>
    <w:basedOn w:val="680"/>
    <w:link w:val="693"/>
    <w:uiPriority w:val="10"/>
    <w:rPr>
      <w:sz w:val="48"/>
      <w:szCs w:val="48"/>
    </w:rPr>
  </w:style>
  <w:style w:type="paragraph" w:styleId="695">
    <w:name w:val="Subtitle"/>
    <w:basedOn w:val="670"/>
    <w:next w:val="670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 w:customStyle="1">
    <w:name w:val="Подзаголовок Знак"/>
    <w:basedOn w:val="680"/>
    <w:link w:val="695"/>
    <w:uiPriority w:val="11"/>
    <w:rPr>
      <w:sz w:val="24"/>
      <w:szCs w:val="24"/>
    </w:rPr>
  </w:style>
  <w:style w:type="paragraph" w:styleId="697">
    <w:name w:val="Quote"/>
    <w:basedOn w:val="670"/>
    <w:next w:val="670"/>
    <w:link w:val="698"/>
    <w:uiPriority w:val="29"/>
    <w:qFormat/>
    <w:pPr>
      <w:ind w:left="720" w:right="720"/>
    </w:pPr>
    <w:rPr>
      <w:i/>
    </w:rPr>
  </w:style>
  <w:style w:type="character" w:styleId="698" w:customStyle="1">
    <w:name w:val="Цитата 2 Знак"/>
    <w:link w:val="697"/>
    <w:uiPriority w:val="29"/>
    <w:rPr>
      <w:i/>
    </w:rPr>
  </w:style>
  <w:style w:type="paragraph" w:styleId="699">
    <w:name w:val="Intense Quote"/>
    <w:basedOn w:val="670"/>
    <w:next w:val="670"/>
    <w:link w:val="70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 w:customStyle="1">
    <w:name w:val="Выделенная цитата Знак"/>
    <w:link w:val="699"/>
    <w:uiPriority w:val="30"/>
    <w:rPr>
      <w:i/>
    </w:rPr>
  </w:style>
  <w:style w:type="character" w:styleId="701" w:customStyle="1">
    <w:name w:val="Header Char"/>
    <w:basedOn w:val="680"/>
    <w:uiPriority w:val="99"/>
  </w:style>
  <w:style w:type="character" w:styleId="702" w:customStyle="1">
    <w:name w:val="Footer Char"/>
    <w:basedOn w:val="680"/>
    <w:uiPriority w:val="99"/>
  </w:style>
  <w:style w:type="paragraph" w:styleId="703">
    <w:name w:val="Caption"/>
    <w:basedOn w:val="670"/>
    <w:next w:val="6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 w:customStyle="1">
    <w:name w:val="Caption Char"/>
    <w:uiPriority w:val="99"/>
  </w:style>
  <w:style w:type="table" w:styleId="705" w:customStyle="1">
    <w:name w:val="Table Grid Light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 w:customStyle="1">
    <w:name w:val="Plain Table 1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Plain Table 2"/>
    <w:basedOn w:val="68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 w:customStyle="1">
    <w:name w:val="Plain Table 3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 w:customStyle="1">
    <w:name w:val="Plain Table 4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Plain Table 5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1 Light"/>
    <w:basedOn w:val="68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2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4"/>
    <w:basedOn w:val="68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8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8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8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8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8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8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 w:customStyle="1">
    <w:name w:val="Grid Table 5 Dark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8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8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8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8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7 Colorful"/>
    <w:basedOn w:val="68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8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8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8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List Table 1 Light"/>
    <w:basedOn w:val="68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8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8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8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8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8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8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2"/>
    <w:basedOn w:val="68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 w:customStyle="1">
    <w:name w:val="List Table 3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5 Dark"/>
    <w:basedOn w:val="68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8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 w:customStyle="1">
    <w:name w:val="List Table 7 Colorful"/>
    <w:basedOn w:val="68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8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8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8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8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8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8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8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8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8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8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8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8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8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8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0" w:customStyle="1">
    <w:name w:val="Footnote Text Char"/>
    <w:uiPriority w:val="99"/>
    <w:rPr>
      <w:sz w:val="18"/>
    </w:rPr>
  </w:style>
  <w:style w:type="paragraph" w:styleId="831">
    <w:name w:val="endnote text"/>
    <w:basedOn w:val="670"/>
    <w:link w:val="832"/>
    <w:uiPriority w:val="99"/>
    <w:semiHidden/>
    <w:unhideWhenUsed/>
    <w:rPr>
      <w:sz w:val="20"/>
    </w:rPr>
  </w:style>
  <w:style w:type="character" w:styleId="832" w:customStyle="1">
    <w:name w:val="Текст концевой сноски Знак"/>
    <w:link w:val="831"/>
    <w:uiPriority w:val="99"/>
    <w:rPr>
      <w:sz w:val="20"/>
    </w:rPr>
  </w:style>
  <w:style w:type="character" w:styleId="833">
    <w:name w:val="endnote reference"/>
    <w:basedOn w:val="680"/>
    <w:uiPriority w:val="99"/>
    <w:semiHidden/>
    <w:unhideWhenUsed/>
    <w:rPr>
      <w:vertAlign w:val="superscript"/>
    </w:rPr>
  </w:style>
  <w:style w:type="paragraph" w:styleId="834">
    <w:name w:val="toc 1"/>
    <w:basedOn w:val="670"/>
    <w:next w:val="670"/>
    <w:uiPriority w:val="39"/>
    <w:unhideWhenUsed/>
    <w:pPr>
      <w:spacing w:after="57"/>
    </w:pPr>
  </w:style>
  <w:style w:type="paragraph" w:styleId="835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36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37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38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39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40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41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42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670"/>
    <w:next w:val="670"/>
    <w:uiPriority w:val="99"/>
    <w:unhideWhenUsed/>
  </w:style>
  <w:style w:type="table" w:styleId="845">
    <w:name w:val="Table Grid"/>
    <w:basedOn w:val="68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 w:customStyle="1">
    <w:name w:val="ConsPlusNonformat"/>
    <w:uiPriority w:val="99"/>
    <w:rPr>
      <w:rFonts w:ascii="Courier New" w:hAnsi="Courier New" w:cs="Courier New"/>
      <w:lang w:eastAsia="en-US"/>
    </w:rPr>
  </w:style>
  <w:style w:type="table" w:styleId="847">
    <w:name w:val="Table Grid 1"/>
    <w:basedOn w:val="681"/>
    <w:uiPriority w:val="99"/>
    <w:rPr>
      <w:rFonts w:ascii="Times New Roman" w:hAnsi="Times New Roman"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styleId="848">
    <w:name w:val="Header"/>
    <w:basedOn w:val="670"/>
    <w:link w:val="84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9" w:customStyle="1">
    <w:name w:val="Верхний колонтитул Знак"/>
    <w:basedOn w:val="680"/>
    <w:link w:val="848"/>
    <w:uiPriority w:val="99"/>
  </w:style>
  <w:style w:type="paragraph" w:styleId="850">
    <w:name w:val="Footer"/>
    <w:basedOn w:val="670"/>
    <w:link w:val="85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1" w:customStyle="1">
    <w:name w:val="Нижний колонтитул Знак"/>
    <w:basedOn w:val="680"/>
    <w:link w:val="850"/>
    <w:uiPriority w:val="99"/>
  </w:style>
  <w:style w:type="paragraph" w:styleId="852">
    <w:name w:val="footnote text"/>
    <w:basedOn w:val="670"/>
    <w:link w:val="853"/>
    <w:unhideWhenUsed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853" w:customStyle="1">
    <w:name w:val="Текст сноски Знак"/>
    <w:link w:val="852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4">
    <w:name w:val="footnote reference"/>
    <w:uiPriority w:val="99"/>
    <w:unhideWhenUsed/>
    <w:qFormat/>
    <w:rPr>
      <w:vertAlign w:val="superscript"/>
    </w:rPr>
  </w:style>
  <w:style w:type="paragraph" w:styleId="855">
    <w:name w:val="List Paragraph"/>
    <w:basedOn w:val="670"/>
    <w:uiPriority w:val="34"/>
    <w:qFormat/>
    <w:pPr>
      <w:contextualSpacing/>
      <w:ind w:left="720"/>
    </w:pPr>
  </w:style>
  <w:style w:type="paragraph" w:styleId="856" w:customStyle="1">
    <w:name w:val="ConsPlusNormal"/>
    <w:link w:val="862"/>
    <w:pPr>
      <w:widowControl w:val="off"/>
    </w:pPr>
    <w:rPr>
      <w:rFonts w:eastAsia="Times New Roman" w:cs="Calibri"/>
      <w:sz w:val="22"/>
    </w:rPr>
  </w:style>
  <w:style w:type="paragraph" w:styleId="857">
    <w:name w:val="Balloon Text"/>
    <w:basedOn w:val="670"/>
    <w:link w:val="858"/>
    <w:uiPriority w:val="99"/>
    <w:semiHidden/>
    <w:unhideWhenUsed/>
    <w:rPr>
      <w:rFonts w:ascii="Segoe UI" w:hAnsi="Segoe UI"/>
      <w:sz w:val="18"/>
      <w:szCs w:val="18"/>
    </w:rPr>
  </w:style>
  <w:style w:type="character" w:styleId="858" w:customStyle="1">
    <w:name w:val="Текст выноски Знак"/>
    <w:link w:val="857"/>
    <w:uiPriority w:val="99"/>
    <w:semiHidden/>
    <w:rPr>
      <w:rFonts w:ascii="Segoe UI" w:hAnsi="Segoe UI" w:cs="Segoe UI"/>
      <w:sz w:val="18"/>
      <w:szCs w:val="18"/>
    </w:rPr>
  </w:style>
  <w:style w:type="character" w:styleId="859">
    <w:name w:val="Hyperlink"/>
    <w:uiPriority w:val="99"/>
    <w:unhideWhenUsed/>
    <w:rPr>
      <w:color w:val="0000ff"/>
      <w:u w:val="single"/>
    </w:rPr>
  </w:style>
  <w:style w:type="paragraph" w:styleId="860">
    <w:name w:val="Normal (Web)"/>
    <w:basedOn w:val="670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61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</w:rPr>
  </w:style>
  <w:style w:type="character" w:styleId="862" w:customStyle="1">
    <w:name w:val="ConsPlusNormal Знак"/>
    <w:link w:val="856"/>
    <w:uiPriority w:val="99"/>
    <w:rPr>
      <w:rFonts w:eastAsia="Times New Roman" w:cs="Calibri"/>
      <w:sz w:val="22"/>
    </w:rPr>
  </w:style>
  <w:style w:type="character" w:styleId="863" w:customStyle="1">
    <w:name w:val="fontstyle01"/>
    <w:basedOn w:val="680"/>
    <w:rPr>
      <w:rFonts w:hint="default" w:ascii="Times New Roman" w:hAnsi="Times New Roman" w:cs="Times New Roman"/>
      <w:b/>
      <w:bCs/>
      <w:i w:val="0"/>
      <w:iCs w:val="0"/>
      <w:color w:val="000000"/>
      <w:sz w:val="28"/>
      <w:szCs w:val="28"/>
    </w:rPr>
  </w:style>
  <w:style w:type="character" w:styleId="864" w:customStyle="1">
    <w:name w:val="fontstyle21"/>
    <w:basedOn w:val="680"/>
    <w:rPr>
      <w:rFonts w:hint="default" w:ascii="Times New Roman" w:hAnsi="Times New Roman" w:cs="Times New Roman"/>
      <w:b w:val="0"/>
      <w:bCs w:val="0"/>
      <w:i w:val="0"/>
      <w:iCs w:val="0"/>
      <w:color w:val="000000"/>
      <w:sz w:val="28"/>
      <w:szCs w:val="28"/>
    </w:rPr>
  </w:style>
  <w:style w:type="character" w:styleId="865" w:customStyle="1">
    <w:name w:val="Body text_"/>
    <w:basedOn w:val="680"/>
    <w:link w:val="866"/>
    <w:rPr>
      <w:rFonts w:ascii="Times New Roman" w:hAnsi="Times New Roman"/>
      <w:sz w:val="23"/>
      <w:szCs w:val="23"/>
      <w:shd w:val="clear" w:color="auto" w:fill="ffffff"/>
    </w:rPr>
  </w:style>
  <w:style w:type="paragraph" w:styleId="866" w:customStyle="1">
    <w:name w:val="Основной текст10"/>
    <w:basedOn w:val="670"/>
    <w:link w:val="865"/>
    <w:pPr>
      <w:jc w:val="both"/>
      <w:spacing w:line="276" w:lineRule="exact"/>
      <w:shd w:val="clear" w:color="auto" w:fill="ffffff"/>
    </w:pPr>
    <w:rPr>
      <w:rFonts w:ascii="Times New Roman" w:hAnsi="Times New Roman"/>
      <w:sz w:val="23"/>
      <w:szCs w:val="23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E55D6-FDD3-4CD4-9737-52141CB30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 &amp;</dc:creator>
  <cp:revision>5</cp:revision>
  <dcterms:created xsi:type="dcterms:W3CDTF">2026-01-15T12:16:00Z</dcterms:created>
  <dcterms:modified xsi:type="dcterms:W3CDTF">2026-01-21T08:22:58Z</dcterms:modified>
</cp:coreProperties>
</file>