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2718148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4.03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left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  <w:r>
        <w:rPr>
          <w:b/>
          <w:sz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30.12.2025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 № 2275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п.г.т. Никель 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rPr>
          <w:b/>
          <w:sz w:val="22"/>
          <w:szCs w:val="16"/>
        </w:rPr>
      </w:pPr>
      <w:r>
        <w:rPr>
          <w:b/>
          <w:sz w:val="22"/>
          <w:szCs w:val="16"/>
        </w:rPr>
      </w:r>
      <w:r>
        <w:rPr>
          <w:b/>
          <w:sz w:val="22"/>
          <w:szCs w:val="16"/>
        </w:rPr>
      </w:r>
      <w:r>
        <w:rPr>
          <w:b/>
          <w:sz w:val="22"/>
          <w:szCs w:val="16"/>
        </w:rPr>
      </w:r>
    </w:p>
    <w:p>
      <w:pPr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муниципальную программу </w:t>
      </w:r>
      <w:r>
        <w:rPr>
          <w:b/>
        </w:rPr>
        <w:t xml:space="preserve">Печенгского муниципального округа «</w:t>
      </w:r>
      <w:r>
        <w:rPr>
          <w:b/>
        </w:rPr>
        <w:t xml:space="preserve">Обеспечение общественного порядка и безопасности населения» на 202</w:t>
      </w:r>
      <w:r>
        <w:rPr>
          <w:b/>
        </w:rPr>
        <w:t xml:space="preserve">6</w:t>
      </w:r>
      <w:r>
        <w:rPr>
          <w:b/>
        </w:rPr>
        <w:t xml:space="preserve"> - 202</w:t>
      </w:r>
      <w:r>
        <w:rPr>
          <w:b/>
        </w:rPr>
        <w:t xml:space="preserve">8</w:t>
      </w:r>
      <w:r>
        <w:rPr>
          <w:b/>
        </w:rPr>
        <w:t xml:space="preserve"> годы, утвержденную постановлением администрации Печенгского муниципального округа от </w:t>
      </w:r>
      <w:r>
        <w:rPr>
          <w:b/>
        </w:rPr>
        <w:t xml:space="preserve">12</w:t>
      </w:r>
      <w:r>
        <w:rPr>
          <w:b/>
        </w:rPr>
        <w:t xml:space="preserve">.11.202</w:t>
      </w:r>
      <w:r>
        <w:rPr>
          <w:b/>
        </w:rPr>
        <w:t xml:space="preserve">5</w:t>
      </w:r>
      <w:r>
        <w:rPr>
          <w:b/>
        </w:rPr>
        <w:t xml:space="preserve"> № 1</w:t>
      </w:r>
      <w:r>
        <w:rPr>
          <w:b/>
        </w:rPr>
        <w:t xml:space="preserve">839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12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Руко</w:t>
      </w:r>
      <w:r>
        <w:rPr>
          <w:rFonts w:eastAsia="Times New Roman"/>
          <w:sz w:val="24"/>
          <w:szCs w:val="24"/>
        </w:rPr>
        <w:t xml:space="preserve">водствуясь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</w:t>
      </w:r>
      <w:r>
        <w:rPr>
          <w:rFonts w:eastAsia="Times New Roman"/>
          <w:sz w:val="24"/>
          <w:szCs w:val="24"/>
        </w:rPr>
        <w:t xml:space="preserve">18.09.2025 № 1488</w:t>
      </w:r>
      <w:r>
        <w:rPr>
          <w:rFonts w:eastAsia="Times New Roman"/>
          <w:sz w:val="24"/>
          <w:szCs w:val="24"/>
        </w:rPr>
        <w:t xml:space="preserve">, в целях повышения эффективности использования бюджетных средств, 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«Обеспечение общественного порядка и безопасности населения</w:t>
      </w:r>
      <w:r>
        <w:rPr>
          <w:bCs/>
          <w:sz w:val="24"/>
          <w:szCs w:val="24"/>
        </w:rPr>
        <w:t xml:space="preserve">» на 202</w:t>
      </w:r>
      <w:r>
        <w:rPr>
          <w:bCs/>
          <w:sz w:val="24"/>
          <w:szCs w:val="24"/>
        </w:rPr>
        <w:t xml:space="preserve">6 </w:t>
      </w:r>
      <w:r>
        <w:rPr>
          <w:bCs/>
          <w:sz w:val="24"/>
          <w:szCs w:val="24"/>
        </w:rPr>
        <w:t xml:space="preserve">- 202</w:t>
      </w: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 годы, </w:t>
      </w:r>
      <w:r>
        <w:rPr>
          <w:sz w:val="24"/>
          <w:szCs w:val="24"/>
        </w:rPr>
        <w:t xml:space="preserve">утвержденную постановлением администрации Печенгского муниципального округа </w:t>
        <w:br/>
        <w:t xml:space="preserve">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839</w:t>
      </w:r>
      <w:r>
        <w:rPr>
          <w:sz w:val="24"/>
          <w:szCs w:val="24"/>
        </w:rPr>
        <w:t xml:space="preserve"> (далее - Программа),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3.4 таблицы 2 «Перечень показателей муниципальной программы»</w:t>
      </w:r>
      <w:r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5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3969"/>
        <w:gridCol w:w="709"/>
        <w:gridCol w:w="567"/>
        <w:gridCol w:w="567"/>
        <w:gridCol w:w="567"/>
        <w:gridCol w:w="567"/>
        <w:gridCol w:w="567"/>
        <w:gridCol w:w="539"/>
        <w:gridCol w:w="878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«3.4.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3969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Количество проведенных мероприятий по предупреждению гибели людей и повреждения имущества.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Шт.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0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1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539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878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3.5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3 «Перечень структурных элементов муниципальной программы»</w:t>
      </w:r>
      <w:r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75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1276"/>
        <w:gridCol w:w="4677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«3.5.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9"/>
                <w:szCs w:val="19"/>
              </w:rPr>
            </w:pPr>
            <w:r>
              <w:rPr>
                <w:rFonts w:eastAsia="Times New Roman"/>
                <w:spacing w:val="1"/>
                <w:sz w:val="19"/>
                <w:szCs w:val="19"/>
              </w:rPr>
              <w:t xml:space="preserve">Комплекс процессных мероприятий 5. «Совершенствование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безопасности, безопасности на водных </w:t>
            </w:r>
            <w:r>
              <w:rPr>
                <w:rFonts w:eastAsia="Times New Roman"/>
                <w:spacing w:val="1"/>
                <w:sz w:val="19"/>
                <w:szCs w:val="19"/>
              </w:rPr>
              <w:t xml:space="preserve">объектах на территории муниципального образования»</w:t>
            </w:r>
            <w:r>
              <w:rPr>
                <w:rFonts w:eastAsia="Times New Roman"/>
                <w:spacing w:val="1"/>
                <w:sz w:val="19"/>
                <w:szCs w:val="19"/>
              </w:rPr>
            </w:r>
            <w:r>
              <w:rPr>
                <w:rFonts w:eastAsia="Times New Roman"/>
                <w:spacing w:val="1"/>
                <w:sz w:val="19"/>
                <w:szCs w:val="19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2026-2028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Отдел ГО, ЧС и ПБ, Отдел образования, Учреждения сферы культуры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W w:w="4677" w:type="dxa"/>
            <w:textDirection w:val="lrTb"/>
            <w:noWrap w:val="false"/>
          </w:tcPr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i/>
                <w:sz w:val="19"/>
                <w:szCs w:val="19"/>
              </w:rPr>
            </w:pPr>
            <w:r>
              <w:rPr>
                <w:i/>
                <w:sz w:val="19"/>
                <w:szCs w:val="19"/>
              </w:rPr>
              <w:t xml:space="preserve">0.3. Количество введенных режимов повышенной готовности, </w:t>
            </w:r>
            <w:r>
              <w:rPr>
                <w:i/>
                <w:sz w:val="19"/>
                <w:szCs w:val="19"/>
              </w:rPr>
              <w:t xml:space="preserve">чрезвычайных ситуаций.</w:t>
            </w:r>
            <w:r>
              <w:rPr>
                <w:i/>
                <w:sz w:val="19"/>
                <w:szCs w:val="19"/>
              </w:rPr>
            </w:r>
            <w:r>
              <w:rPr>
                <w:i/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3.1. Доля обученного населения действиям при ГО и ЧС.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3.2. Количество установленной наглядной агитации с разъяснением правил поведения граждан на водных объектах.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3.3. Количество проведенных конкурсов детского рисунка в образовательных организациях по правилам безопасности поведения на водных объектах.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3.4. Количество проведенных мероприятий по предупрежд</w:t>
            </w:r>
            <w:r>
              <w:rPr>
                <w:sz w:val="19"/>
                <w:szCs w:val="19"/>
              </w:rPr>
              <w:t xml:space="preserve">ению гибели людей и повреждения </w:t>
            </w:r>
            <w:r>
              <w:rPr>
                <w:sz w:val="19"/>
                <w:szCs w:val="19"/>
              </w:rPr>
              <w:t xml:space="preserve">имущества.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3.5. Количество пожаров в жилых постройках, причиной которых является распространение огня при лесном пожаре.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  <w:p>
            <w:pPr>
              <w:jc w:val="both"/>
              <w:tabs>
                <w:tab w:val="left" w:pos="0" w:leader="none"/>
                <w:tab w:val="left" w:pos="993" w:leader="none"/>
                <w:tab w:val="left" w:pos="8280" w:leader="none"/>
                <w:tab w:val="left" w:pos="9355" w:leader="none"/>
              </w:tabs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3.10. Количество муниципальных учреждений, в которых выполнены работы по укреплению противопожарного состояния.»;</w:t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pStyle w:val="87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строк</w:t>
      </w:r>
      <w:r>
        <w:rPr>
          <w:rFonts w:eastAsia="Times New Roman"/>
          <w:sz w:val="24"/>
          <w:szCs w:val="24"/>
        </w:rPr>
        <w:t xml:space="preserve">у</w:t>
      </w:r>
      <w:r>
        <w:rPr>
          <w:rFonts w:eastAsia="Times New Roman"/>
          <w:sz w:val="24"/>
          <w:szCs w:val="24"/>
        </w:rPr>
        <w:t xml:space="preserve"> 3</w:t>
      </w:r>
      <w:r>
        <w:rPr>
          <w:rFonts w:eastAsia="Times New Roman"/>
          <w:sz w:val="24"/>
          <w:szCs w:val="24"/>
        </w:rPr>
        <w:t xml:space="preserve">.</w:t>
      </w:r>
      <w:r>
        <w:rPr>
          <w:rFonts w:eastAsia="Times New Roman"/>
          <w:sz w:val="24"/>
          <w:szCs w:val="24"/>
        </w:rPr>
        <w:t xml:space="preserve">5 </w:t>
      </w:r>
      <w:r>
        <w:rPr>
          <w:rFonts w:eastAsia="Times New Roman"/>
          <w:sz w:val="24"/>
          <w:szCs w:val="24"/>
        </w:rPr>
        <w:t xml:space="preserve">таблицы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 xml:space="preserve">5</w:t>
      </w:r>
      <w:r>
        <w:rPr>
          <w:rFonts w:eastAsia="Times New Roman"/>
          <w:sz w:val="24"/>
          <w:szCs w:val="24"/>
        </w:rPr>
        <w:t xml:space="preserve"> «</w:t>
      </w:r>
      <w:r>
        <w:rPr>
          <w:rFonts w:eastAsia="Times New Roman"/>
          <w:sz w:val="24"/>
          <w:szCs w:val="24"/>
        </w:rPr>
        <w:t xml:space="preserve">Сведения об объемах финансирования муниципальной программы</w:t>
      </w:r>
      <w:r>
        <w:rPr>
          <w:rFonts w:eastAsia="Times New Roman"/>
          <w:sz w:val="24"/>
          <w:szCs w:val="24"/>
        </w:rPr>
        <w:t xml:space="preserve">» </w:t>
      </w:r>
      <w:r>
        <w:rPr>
          <w:rFonts w:eastAsia="Times New Roman"/>
          <w:sz w:val="24"/>
          <w:szCs w:val="24"/>
        </w:rPr>
        <w:t xml:space="preserve">Программы </w:t>
      </w:r>
      <w:r>
        <w:rPr>
          <w:rFonts w:eastAsia="Times New Roman"/>
          <w:sz w:val="24"/>
          <w:szCs w:val="24"/>
        </w:rPr>
        <w:t xml:space="preserve">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709"/>
        <w:gridCol w:w="850"/>
        <w:gridCol w:w="1134"/>
        <w:gridCol w:w="1134"/>
        <w:gridCol w:w="993"/>
        <w:gridCol w:w="992"/>
        <w:gridCol w:w="850"/>
      </w:tblGrid>
      <w:tr>
        <w:tblPrEx/>
        <w:trPr>
          <w:trHeight w:val="229"/>
        </w:trPr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</w:rPr>
            </w:pPr>
            <w:r>
              <w:rPr>
                <w:rFonts w:eastAsia="Times New Roman"/>
                <w:spacing w:val="1"/>
              </w:rPr>
              <w:t xml:space="preserve">«3.</w:t>
            </w:r>
            <w:r>
              <w:rPr>
                <w:rFonts w:eastAsia="Times New Roman"/>
                <w:spacing w:val="1"/>
              </w:rPr>
              <w:t xml:space="preserve">5</w:t>
            </w:r>
            <w:r>
              <w:rPr>
                <w:rFonts w:eastAsia="Times New Roman"/>
                <w:spacing w:val="1"/>
              </w:rPr>
              <w:t xml:space="preserve">.</w:t>
            </w:r>
            <w:r>
              <w:rPr>
                <w:rFonts w:eastAsia="Times New Roman"/>
                <w:spacing w:val="1"/>
              </w:rPr>
            </w:r>
            <w:r>
              <w:rPr>
                <w:rFonts w:eastAsia="Times New Roman"/>
                <w:spacing w:val="1"/>
              </w:rPr>
            </w:r>
          </w:p>
        </w:tc>
        <w:tc>
          <w:tcPr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9"/>
                <w:szCs w:val="19"/>
              </w:rPr>
            </w:pPr>
            <w:r>
              <w:rPr>
                <w:rFonts w:eastAsia="Times New Roman"/>
                <w:spacing w:val="1"/>
                <w:sz w:val="19"/>
                <w:szCs w:val="19"/>
              </w:rPr>
              <w:t xml:space="preserve">Комплекс процессных мероприятий 5. «Совершенствование</w:t>
            </w:r>
            <w:r>
              <w:rPr>
                <w:rFonts w:eastAsia="Times New Roman"/>
                <w:spacing w:val="1"/>
                <w:sz w:val="19"/>
                <w:szCs w:val="19"/>
              </w:rPr>
              <w:t xml:space="preserve"> системы подг</w:t>
            </w:r>
            <w:r>
              <w:rPr>
                <w:rFonts w:eastAsia="Times New Roman"/>
                <w:spacing w:val="1"/>
                <w:sz w:val="19"/>
                <w:szCs w:val="19"/>
              </w:rPr>
              <w:t xml:space="preserve">о</w:t>
            </w:r>
            <w:r>
              <w:rPr>
                <w:rFonts w:eastAsia="Times New Roman"/>
                <w:spacing w:val="1"/>
                <w:sz w:val="19"/>
                <w:szCs w:val="19"/>
              </w:rPr>
              <w:t xml:space="preserve">товки</w:t>
            </w:r>
            <w:r>
              <w:rPr>
                <w:rFonts w:eastAsia="Times New Roman"/>
                <w:spacing w:val="1"/>
                <w:sz w:val="19"/>
                <w:szCs w:val="19"/>
              </w:rPr>
              <w:t xml:space="preserve"> населения по вопросам гражданской обороны, способам защиты и действиям в чрезвычайных ситуациях. Обеспечение пожарной безопасности, </w:t>
            </w:r>
            <w:r>
              <w:rPr>
                <w:rFonts w:eastAsia="Times New Roman"/>
                <w:spacing w:val="1"/>
                <w:sz w:val="19"/>
                <w:szCs w:val="19"/>
              </w:rPr>
              <w:t xml:space="preserve">безопасности на водных объектах</w:t>
            </w:r>
            <w:r>
              <w:rPr>
                <w:rFonts w:eastAsia="Times New Roman"/>
                <w:spacing w:val="1"/>
                <w:sz w:val="19"/>
                <w:szCs w:val="19"/>
              </w:rPr>
              <w:t xml:space="preserve"> на территории муниципального образования»</w:t>
            </w:r>
            <w:r>
              <w:rPr>
                <w:rFonts w:eastAsia="Times New Roman"/>
                <w:spacing w:val="1"/>
                <w:sz w:val="19"/>
                <w:szCs w:val="19"/>
              </w:rPr>
            </w:r>
            <w:r>
              <w:rPr>
                <w:rFonts w:eastAsia="Times New Roman"/>
                <w:spacing w:val="1"/>
                <w:sz w:val="19"/>
                <w:szCs w:val="19"/>
              </w:rPr>
            </w:r>
          </w:p>
        </w:tc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9"/>
                <w:szCs w:val="19"/>
              </w:rPr>
            </w:pPr>
            <w:r>
              <w:rPr>
                <w:rFonts w:eastAsia="Times New Roman"/>
                <w:spacing w:val="1"/>
                <w:sz w:val="19"/>
                <w:szCs w:val="19"/>
              </w:rPr>
              <w:t xml:space="preserve">2026-2028</w:t>
            </w:r>
            <w:r>
              <w:rPr>
                <w:rFonts w:eastAsia="Times New Roman"/>
                <w:spacing w:val="1"/>
                <w:sz w:val="19"/>
                <w:szCs w:val="19"/>
              </w:rPr>
            </w:r>
            <w:r>
              <w:rPr>
                <w:rFonts w:eastAsia="Times New Roman"/>
                <w:spacing w:val="1"/>
                <w:sz w:val="19"/>
                <w:szCs w:val="19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b/>
                <w:sz w:val="19"/>
                <w:szCs w:val="19"/>
              </w:rPr>
            </w:pPr>
            <w:r>
              <w:rPr>
                <w:rFonts w:eastAsia="Times New Roman"/>
                <w:b/>
                <w:sz w:val="19"/>
                <w:szCs w:val="19"/>
              </w:rPr>
              <w:t xml:space="preserve">Всего:</w:t>
            </w:r>
            <w:r>
              <w:rPr>
                <w:rFonts w:eastAsia="Times New Roman"/>
                <w:b/>
                <w:sz w:val="19"/>
                <w:szCs w:val="19"/>
              </w:rPr>
            </w:r>
            <w:r>
              <w:rPr>
                <w:rFonts w:eastAsia="Times New Roman"/>
                <w:b/>
                <w:sz w:val="19"/>
                <w:szCs w:val="19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  <w:sz w:val="18"/>
                <w:szCs w:val="18"/>
              </w:rPr>
            </w:pPr>
            <w:r>
              <w:rPr>
                <w:rFonts w:eastAsia="Times New Roman"/>
                <w:b/>
                <w:spacing w:val="1"/>
                <w:sz w:val="18"/>
                <w:szCs w:val="18"/>
              </w:rPr>
              <w:t xml:space="preserve">6900000,00</w:t>
            </w:r>
            <w:r>
              <w:rPr>
                <w:rFonts w:eastAsia="Times New Roman"/>
                <w:b/>
                <w:spacing w:val="1"/>
                <w:sz w:val="18"/>
                <w:szCs w:val="18"/>
              </w:rPr>
            </w:r>
            <w:r>
              <w:rPr>
                <w:rFonts w:eastAsia="Times New Roman"/>
                <w:b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  <w:sz w:val="18"/>
                <w:szCs w:val="18"/>
              </w:rPr>
            </w:pPr>
            <w:r>
              <w:rPr>
                <w:rFonts w:eastAsia="Times New Roman"/>
                <w:b/>
                <w:spacing w:val="1"/>
                <w:sz w:val="18"/>
                <w:szCs w:val="18"/>
              </w:rPr>
              <w:t xml:space="preserve">5700000,00</w:t>
            </w:r>
            <w:r>
              <w:rPr>
                <w:rFonts w:eastAsia="Times New Roman"/>
                <w:b/>
                <w:spacing w:val="1"/>
                <w:sz w:val="18"/>
                <w:szCs w:val="18"/>
              </w:rPr>
            </w:r>
            <w:r>
              <w:rPr>
                <w:rFonts w:eastAsia="Times New Roman"/>
                <w:b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  <w:sz w:val="18"/>
                <w:szCs w:val="18"/>
              </w:rPr>
            </w:pPr>
            <w:r>
              <w:rPr>
                <w:rFonts w:eastAsia="Times New Roman"/>
                <w:b/>
                <w:spacing w:val="1"/>
                <w:sz w:val="18"/>
                <w:szCs w:val="18"/>
              </w:rPr>
              <w:t xml:space="preserve">600000,00</w:t>
            </w:r>
            <w:r>
              <w:rPr>
                <w:rFonts w:eastAsia="Times New Roman"/>
                <w:b/>
                <w:spacing w:val="1"/>
                <w:sz w:val="18"/>
                <w:szCs w:val="18"/>
              </w:rPr>
            </w:r>
            <w:r>
              <w:rPr>
                <w:rFonts w:eastAsia="Times New Roman"/>
                <w:b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pacing w:val="1"/>
                <w:sz w:val="18"/>
                <w:szCs w:val="18"/>
              </w:rPr>
            </w:pPr>
            <w:r>
              <w:rPr>
                <w:rFonts w:eastAsia="Times New Roman"/>
                <w:b/>
                <w:spacing w:val="1"/>
                <w:sz w:val="18"/>
                <w:szCs w:val="18"/>
              </w:rPr>
              <w:t xml:space="preserve">600000,00</w:t>
            </w:r>
            <w:r>
              <w:rPr>
                <w:rFonts w:eastAsia="Times New Roman"/>
                <w:b/>
                <w:spacing w:val="1"/>
                <w:sz w:val="18"/>
                <w:szCs w:val="18"/>
              </w:rPr>
            </w:r>
            <w:r>
              <w:rPr>
                <w:rFonts w:eastAsia="Times New Roman"/>
                <w:b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</w:t>
            </w:r>
            <w:r>
              <w:rPr>
                <w:rFonts w:eastAsia="Times New Roman"/>
                <w:spacing w:val="1"/>
                <w:sz w:val="18"/>
                <w:szCs w:val="18"/>
              </w:rPr>
              <w:t xml:space="preserve">»;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МБ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  <w:lang w:val="en-US"/>
              </w:rPr>
            </w:pPr>
            <w:r>
              <w:rPr>
                <w:rFonts w:eastAsia="Times New Roman"/>
                <w:spacing w:val="1"/>
                <w:sz w:val="18"/>
                <w:szCs w:val="18"/>
                <w:lang w:val="en-US"/>
              </w:rPr>
              <w:t xml:space="preserve">6900000,00</w:t>
            </w:r>
            <w:r>
              <w:rPr>
                <w:rFonts w:eastAsia="Times New Roman"/>
                <w:spacing w:val="1"/>
                <w:sz w:val="18"/>
                <w:szCs w:val="18"/>
                <w:lang w:val="en-US"/>
              </w:rPr>
            </w:r>
            <w:r>
              <w:rPr>
                <w:rFonts w:eastAsia="Times New Roman"/>
                <w:spacing w:val="1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  <w:lang w:val="en-US"/>
              </w:rPr>
            </w:pPr>
            <w:r>
              <w:rPr>
                <w:rFonts w:eastAsia="Times New Roman"/>
                <w:spacing w:val="1"/>
                <w:sz w:val="18"/>
                <w:szCs w:val="18"/>
                <w:lang w:val="en-US"/>
              </w:rPr>
              <w:t xml:space="preserve">5700000,00</w:t>
            </w:r>
            <w:r>
              <w:rPr>
                <w:rFonts w:eastAsia="Times New Roman"/>
                <w:spacing w:val="1"/>
                <w:sz w:val="18"/>
                <w:szCs w:val="18"/>
                <w:lang w:val="en-US"/>
              </w:rPr>
            </w:r>
            <w:r>
              <w:rPr>
                <w:rFonts w:eastAsia="Times New Roman"/>
                <w:spacing w:val="1"/>
                <w:sz w:val="18"/>
                <w:szCs w:val="18"/>
                <w:lang w:val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600000,00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600000,00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ОБ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widowControl w:val="off"/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ФБ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  <w:tr>
        <w:tblPrEx/>
        <w:trPr>
          <w:trHeight w:val="229"/>
        </w:trPr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spacing w:line="274" w:lineRule="exact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ВБС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0,00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both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tabs>
          <w:tab w:val="left" w:pos="-142" w:leader="none"/>
          <w:tab w:val="left" w:pos="993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6"/>
        <w:ind w:lef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rPr>
          <w:rFonts w:eastAsia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- строку 3.4 таблицы 8 «Сведения об источниках и методике расчета значений показателей муниципальной программы» Программы</w:t>
      </w:r>
      <w:r>
        <w:rPr>
          <w:rFonts w:eastAsia="Times New Roman"/>
          <w:sz w:val="24"/>
          <w:szCs w:val="24"/>
        </w:rPr>
        <w:t xml:space="preserve"> изложить в следующей редакции: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tbl>
      <w:tblPr>
        <w:tblStyle w:val="875"/>
        <w:tblW w:w="0" w:type="auto"/>
        <w:tblInd w:w="108" w:type="dxa"/>
        <w:tblLook w:val="04A0" w:firstRow="1" w:lastRow="0" w:firstColumn="1" w:lastColumn="0" w:noHBand="0" w:noVBand="1"/>
      </w:tblPr>
      <w:tblGrid>
        <w:gridCol w:w="706"/>
        <w:gridCol w:w="2246"/>
        <w:gridCol w:w="1014"/>
        <w:gridCol w:w="966"/>
        <w:gridCol w:w="968"/>
        <w:gridCol w:w="1514"/>
        <w:gridCol w:w="1489"/>
        <w:gridCol w:w="844"/>
      </w:tblGrid>
      <w:tr>
        <w:tblPrEx/>
        <w:trPr/>
        <w:tc>
          <w:tcPr>
            <w:tcW w:w="709" w:type="dxa"/>
            <w:textDirection w:val="lrTb"/>
            <w:noWrap w:val="false"/>
          </w:tcPr>
          <w:p>
            <w:pPr>
              <w:pStyle w:val="876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«3.4.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76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Количество проведенных мероприятий по предупреждению гибели людей и повреждения имущества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pStyle w:val="876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Шт., Ежегодно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991" w:type="dxa"/>
            <w:textDirection w:val="lrTb"/>
            <w:noWrap w:val="false"/>
          </w:tcPr>
          <w:p>
            <w:pPr>
              <w:pStyle w:val="876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pStyle w:val="876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-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471" w:type="dxa"/>
            <w:textDirection w:val="lrTb"/>
            <w:noWrap w:val="false"/>
          </w:tcPr>
          <w:p>
            <w:pPr>
              <w:pStyle w:val="876"/>
              <w:ind w:left="0"/>
              <w:jc w:val="both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Ведомственный мониторинг отдела ГО, ЧС и ПБ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tcW w:w="1506" w:type="dxa"/>
            <w:textDirection w:val="lrTb"/>
            <w:noWrap w:val="false"/>
          </w:tcPr>
          <w:p>
            <w:pPr>
              <w:pStyle w:val="876"/>
              <w:ind w:left="0"/>
              <w:jc w:val="center"/>
              <w:tabs>
                <w:tab w:val="left" w:pos="-142" w:leader="none"/>
                <w:tab w:val="left" w:pos="0" w:leader="none"/>
                <w:tab w:val="left" w:pos="8280" w:leader="none"/>
                <w:tab w:val="left" w:pos="9355" w:leader="none"/>
              </w:tabs>
              <w:rPr>
                <w:rFonts w:eastAsia="Times New Roman"/>
                <w:sz w:val="19"/>
                <w:szCs w:val="19"/>
              </w:rPr>
            </w:pPr>
            <w:r>
              <w:rPr>
                <w:rFonts w:eastAsia="Times New Roman"/>
                <w:sz w:val="19"/>
                <w:szCs w:val="19"/>
              </w:rPr>
              <w:t xml:space="preserve">30 декабря отчетного года</w:t>
            </w:r>
            <w:r>
              <w:rPr>
                <w:rFonts w:eastAsia="Times New Roman"/>
                <w:sz w:val="19"/>
                <w:szCs w:val="19"/>
              </w:rPr>
            </w:r>
            <w:r>
              <w:rPr>
                <w:rFonts w:eastAsia="Times New Roman"/>
                <w:sz w:val="19"/>
                <w:szCs w:val="19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Times New Roman"/>
                <w:spacing w:val="1"/>
                <w:sz w:val="18"/>
                <w:szCs w:val="18"/>
              </w:rPr>
            </w:pPr>
            <w:r>
              <w:rPr>
                <w:rFonts w:eastAsia="Times New Roman"/>
                <w:spacing w:val="1"/>
                <w:sz w:val="18"/>
                <w:szCs w:val="18"/>
              </w:rPr>
              <w:t xml:space="preserve">Отдел ГО, ЧС и ПБ».</w:t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  <w:r>
              <w:rPr>
                <w:rFonts w:eastAsia="Times New Roman"/>
                <w:spacing w:val="1"/>
                <w:sz w:val="18"/>
                <w:szCs w:val="18"/>
              </w:rPr>
            </w:r>
          </w:p>
        </w:tc>
      </w:tr>
    </w:tbl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2</w:t>
      </w:r>
      <w:r>
        <w:rPr>
          <w:rFonts w:eastAsia="Times New Roman"/>
          <w:sz w:val="24"/>
          <w:szCs w:val="24"/>
        </w:rPr>
        <w:t xml:space="preserve">. Настоящее постановление вступает в силу после его подписания.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eastAsia="Times New Roman"/>
          <w:sz w:val="24"/>
          <w:szCs w:val="24"/>
        </w:rPr>
        <w:pBdr>
          <w:top w:val="none" w:color="000000" w:sz="4" w:space="13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eastAsia="Times New Roman"/>
          <w:sz w:val="24"/>
          <w:szCs w:val="24"/>
        </w:rPr>
        <w:t xml:space="preserve">3. </w:t>
      </w:r>
      <w:r>
        <w:rPr>
          <w:sz w:val="24"/>
        </w:rPr>
        <w:t xml:space="preserve">Настоящее постановление опубликовать в официальном издании газета «Печенга» и разместить </w:t>
      </w:r>
      <w:r>
        <w:rPr>
          <w:rFonts w:eastAsia="Times New Roman"/>
          <w:sz w:val="24"/>
          <w:szCs w:val="24"/>
        </w:rPr>
        <w:t xml:space="preserve">на сайте Печенгского муниципального округа в сети Интернет.</w:t>
      </w:r>
      <w:r>
        <w:rPr>
          <w:rFonts w:eastAsia="Times New Roman"/>
          <w:sz w:val="24"/>
          <w:szCs w:val="24"/>
        </w:rPr>
      </w:r>
      <w:r>
        <w:rPr>
          <w:rFonts w:eastAsia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Соболев А.В., 50007</w:t>
      </w:r>
      <w:r>
        <w:rPr>
          <w:highlight w:val="none"/>
        </w:rPr>
      </w:r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Verdana">
    <w:panose1 w:val="020B060403050404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23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">
    <w:multiLevelType w:val="hybridMultilevel"/>
    <w:lvl w:ilvl="0">
      <w:start w:val="2027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70" w:hanging="117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879" w:hanging="117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88" w:hanging="117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97" w:hanging="117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006" w:hanging="117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715" w:hanging="117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>
    <w:multiLevelType w:val="hybridMultilevel"/>
    <w:lvl w:ilvl="0">
      <w:start w:val="23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"/>
  </w:num>
  <w:num w:numId="6">
    <w:abstractNumId w:val="9"/>
  </w:num>
  <w:num w:numId="7">
    <w:abstractNumId w:val="8"/>
  </w:num>
  <w:num w:numId="8">
    <w:abstractNumId w:val="4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5">
    <w:name w:val="Heading 1 Char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676">
    <w:name w:val="Heading 2 Char"/>
    <w:basedOn w:val="700"/>
    <w:link w:val="692"/>
    <w:uiPriority w:val="9"/>
    <w:rPr>
      <w:rFonts w:ascii="Arial" w:hAnsi="Arial" w:eastAsia="Arial" w:cs="Arial"/>
      <w:sz w:val="34"/>
    </w:rPr>
  </w:style>
  <w:style w:type="character" w:styleId="677">
    <w:name w:val="Heading 3 Char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678">
    <w:name w:val="Heading 4 Char"/>
    <w:basedOn w:val="700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679">
    <w:name w:val="Heading 5 Char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680">
    <w:name w:val="Heading 6 Char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681">
    <w:name w:val="Heading 7 Char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8 Char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683">
    <w:name w:val="Heading 9 Char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684">
    <w:name w:val="Title Char"/>
    <w:basedOn w:val="700"/>
    <w:link w:val="712"/>
    <w:uiPriority w:val="10"/>
    <w:rPr>
      <w:sz w:val="48"/>
      <w:szCs w:val="48"/>
    </w:rPr>
  </w:style>
  <w:style w:type="character" w:styleId="685">
    <w:name w:val="Subtitle Char"/>
    <w:basedOn w:val="700"/>
    <w:link w:val="714"/>
    <w:uiPriority w:val="11"/>
    <w:rPr>
      <w:sz w:val="24"/>
      <w:szCs w:val="24"/>
    </w:rPr>
  </w:style>
  <w:style w:type="character" w:styleId="686">
    <w:name w:val="Quote Char"/>
    <w:link w:val="716"/>
    <w:uiPriority w:val="29"/>
    <w:rPr>
      <w:i/>
    </w:rPr>
  </w:style>
  <w:style w:type="character" w:styleId="687">
    <w:name w:val="Intense Quote Char"/>
    <w:link w:val="718"/>
    <w:uiPriority w:val="30"/>
    <w:rPr>
      <w:i/>
    </w:rPr>
  </w:style>
  <w:style w:type="character" w:styleId="688">
    <w:name w:val="Footnote Text Char"/>
    <w:link w:val="850"/>
    <w:uiPriority w:val="99"/>
    <w:rPr>
      <w:sz w:val="18"/>
    </w:rPr>
  </w:style>
  <w:style w:type="character" w:styleId="689">
    <w:name w:val="Endnote Text Char"/>
    <w:link w:val="853"/>
    <w:uiPriority w:val="99"/>
    <w:rPr>
      <w:sz w:val="20"/>
    </w:rPr>
  </w:style>
  <w:style w:type="paragraph" w:styleId="690" w:default="1">
    <w:name w:val="Normal"/>
    <w:qFormat/>
    <w:rPr>
      <w:rFonts w:eastAsia="Calibri"/>
    </w:rPr>
  </w:style>
  <w:style w:type="paragraph" w:styleId="691">
    <w:name w:val="Heading 1"/>
    <w:basedOn w:val="690"/>
    <w:next w:val="690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2">
    <w:name w:val="Heading 2"/>
    <w:basedOn w:val="690"/>
    <w:next w:val="690"/>
    <w:link w:val="70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3">
    <w:name w:val="Heading 3"/>
    <w:basedOn w:val="690"/>
    <w:next w:val="690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4">
    <w:name w:val="Heading 4"/>
    <w:basedOn w:val="690"/>
    <w:next w:val="690"/>
    <w:link w:val="70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690"/>
    <w:next w:val="690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690"/>
    <w:next w:val="690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7">
    <w:name w:val="Heading 7"/>
    <w:basedOn w:val="690"/>
    <w:next w:val="690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690"/>
    <w:next w:val="690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690"/>
    <w:next w:val="690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Заголовок 1 Знак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Заголовок 2 Знак"/>
    <w:basedOn w:val="700"/>
    <w:link w:val="692"/>
    <w:uiPriority w:val="9"/>
    <w:rPr>
      <w:rFonts w:ascii="Arial" w:hAnsi="Arial" w:eastAsia="Arial" w:cs="Arial"/>
      <w:sz w:val="34"/>
    </w:rPr>
  </w:style>
  <w:style w:type="character" w:styleId="705" w:customStyle="1">
    <w:name w:val="Заголовок 3 Знак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Заголовок 4 Знак"/>
    <w:basedOn w:val="700"/>
    <w:link w:val="694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Заголовок 5 Знак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Заголовок 6 Знак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Заголовок 7 Знак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Заголовок 8 Знак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Заголовок 9 Знак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Title"/>
    <w:basedOn w:val="690"/>
    <w:next w:val="690"/>
    <w:link w:val="7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3" w:customStyle="1">
    <w:name w:val="Заголовок Знак"/>
    <w:basedOn w:val="700"/>
    <w:link w:val="712"/>
    <w:uiPriority w:val="10"/>
    <w:rPr>
      <w:sz w:val="48"/>
      <w:szCs w:val="48"/>
    </w:rPr>
  </w:style>
  <w:style w:type="paragraph" w:styleId="714">
    <w:name w:val="Subtitle"/>
    <w:basedOn w:val="690"/>
    <w:next w:val="690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 w:customStyle="1">
    <w:name w:val="Подзаголовок Знак"/>
    <w:basedOn w:val="700"/>
    <w:link w:val="714"/>
    <w:uiPriority w:val="11"/>
    <w:rPr>
      <w:sz w:val="24"/>
      <w:szCs w:val="24"/>
    </w:rPr>
  </w:style>
  <w:style w:type="paragraph" w:styleId="716">
    <w:name w:val="Quote"/>
    <w:basedOn w:val="690"/>
    <w:next w:val="690"/>
    <w:link w:val="717"/>
    <w:uiPriority w:val="29"/>
    <w:qFormat/>
    <w:pPr>
      <w:ind w:left="720" w:right="720"/>
    </w:pPr>
    <w:rPr>
      <w:i/>
    </w:rPr>
  </w:style>
  <w:style w:type="character" w:styleId="717" w:customStyle="1">
    <w:name w:val="Цитата 2 Знак"/>
    <w:link w:val="716"/>
    <w:uiPriority w:val="29"/>
    <w:rPr>
      <w:i/>
    </w:rPr>
  </w:style>
  <w:style w:type="paragraph" w:styleId="718">
    <w:name w:val="Intense Quote"/>
    <w:basedOn w:val="690"/>
    <w:next w:val="690"/>
    <w:link w:val="71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 w:customStyle="1">
    <w:name w:val="Выделенная цитата Знак"/>
    <w:link w:val="718"/>
    <w:uiPriority w:val="30"/>
    <w:rPr>
      <w:i/>
    </w:rPr>
  </w:style>
  <w:style w:type="character" w:styleId="720" w:customStyle="1">
    <w:name w:val="Header Char"/>
    <w:basedOn w:val="700"/>
    <w:uiPriority w:val="99"/>
  </w:style>
  <w:style w:type="character" w:styleId="721" w:customStyle="1">
    <w:name w:val="Footer Char"/>
    <w:basedOn w:val="700"/>
    <w:uiPriority w:val="99"/>
  </w:style>
  <w:style w:type="paragraph" w:styleId="722">
    <w:name w:val="Caption"/>
    <w:basedOn w:val="690"/>
    <w:next w:val="6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 w:customStyle="1">
    <w:name w:val="Caption Char"/>
    <w:uiPriority w:val="99"/>
  </w:style>
  <w:style w:type="table" w:styleId="724" w:customStyle="1">
    <w:name w:val="Table Grid Light"/>
    <w:basedOn w:val="70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5">
    <w:name w:val="Plain Table 1"/>
    <w:basedOn w:val="70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70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70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1"/>
    <w:basedOn w:val="70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2"/>
    <w:basedOn w:val="70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3"/>
    <w:basedOn w:val="70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4"/>
    <w:basedOn w:val="70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5"/>
    <w:basedOn w:val="70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6"/>
    <w:basedOn w:val="70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2"/>
    <w:basedOn w:val="70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1"/>
    <w:basedOn w:val="70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2"/>
    <w:basedOn w:val="70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3"/>
    <w:basedOn w:val="70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4"/>
    <w:basedOn w:val="70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5"/>
    <w:basedOn w:val="70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6"/>
    <w:basedOn w:val="70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"/>
    <w:basedOn w:val="70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1"/>
    <w:basedOn w:val="70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2"/>
    <w:basedOn w:val="70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3"/>
    <w:basedOn w:val="70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4"/>
    <w:basedOn w:val="70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5"/>
    <w:basedOn w:val="70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6"/>
    <w:basedOn w:val="70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4"/>
    <w:basedOn w:val="70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2" w:customStyle="1">
    <w:name w:val="Grid Table 4 - Accent 1"/>
    <w:basedOn w:val="70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3" w:customStyle="1">
    <w:name w:val="Grid Table 4 - Accent 2"/>
    <w:basedOn w:val="70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4" w:customStyle="1">
    <w:name w:val="Grid Table 4 - Accent 3"/>
    <w:basedOn w:val="70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5" w:customStyle="1">
    <w:name w:val="Grid Table 4 - Accent 4"/>
    <w:basedOn w:val="70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6" w:customStyle="1">
    <w:name w:val="Grid Table 4 - Accent 5"/>
    <w:basedOn w:val="70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7" w:customStyle="1">
    <w:name w:val="Grid Table 4 - Accent 6"/>
    <w:basedOn w:val="70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8">
    <w:name w:val="Grid Table 5 Dark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1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2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3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- Accent 4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5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6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5">
    <w:name w:val="Grid Table 6 Colorful"/>
    <w:basedOn w:val="70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6" w:customStyle="1">
    <w:name w:val="Grid Table 6 Colorful - Accent 1"/>
    <w:basedOn w:val="70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7" w:customStyle="1">
    <w:name w:val="Grid Table 6 Colorful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8" w:customStyle="1">
    <w:name w:val="Grid Table 6 Colorful - Accent 3"/>
    <w:basedOn w:val="70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9" w:customStyle="1">
    <w:name w:val="Grid Table 6 Colorful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0" w:customStyle="1">
    <w:name w:val="Grid Table 6 Colorful - Accent 5"/>
    <w:basedOn w:val="70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6 Colorful - Accent 6"/>
    <w:basedOn w:val="70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2">
    <w:name w:val="Grid Table 7 Colorful"/>
    <w:basedOn w:val="70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1"/>
    <w:basedOn w:val="70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2"/>
    <w:basedOn w:val="70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3"/>
    <w:basedOn w:val="70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4"/>
    <w:basedOn w:val="70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5"/>
    <w:basedOn w:val="70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6"/>
    <w:basedOn w:val="70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>
    <w:name w:val="List Table 1 Light"/>
    <w:basedOn w:val="70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1"/>
    <w:basedOn w:val="70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2"/>
    <w:basedOn w:val="70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3"/>
    <w:basedOn w:val="70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4"/>
    <w:basedOn w:val="70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5"/>
    <w:basedOn w:val="70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6"/>
    <w:basedOn w:val="70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2"/>
    <w:basedOn w:val="70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1"/>
    <w:basedOn w:val="70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2"/>
    <w:basedOn w:val="70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3"/>
    <w:basedOn w:val="70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4"/>
    <w:basedOn w:val="70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5"/>
    <w:basedOn w:val="70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6"/>
    <w:basedOn w:val="70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3">
    <w:name w:val="List Table 3"/>
    <w:basedOn w:val="70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1"/>
    <w:basedOn w:val="70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3"/>
    <w:basedOn w:val="70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5"/>
    <w:basedOn w:val="70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6"/>
    <w:basedOn w:val="70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"/>
    <w:basedOn w:val="70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1"/>
    <w:basedOn w:val="70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2"/>
    <w:basedOn w:val="70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3"/>
    <w:basedOn w:val="70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4"/>
    <w:basedOn w:val="70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5"/>
    <w:basedOn w:val="70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6"/>
    <w:basedOn w:val="70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5 Dark"/>
    <w:basedOn w:val="70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1"/>
    <w:basedOn w:val="70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3"/>
    <w:basedOn w:val="70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5"/>
    <w:basedOn w:val="70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6"/>
    <w:basedOn w:val="70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>
    <w:name w:val="List Table 6 Colorful"/>
    <w:basedOn w:val="70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5" w:customStyle="1">
    <w:name w:val="List Table 6 Colorful - Accent 1"/>
    <w:basedOn w:val="70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6" w:customStyle="1">
    <w:name w:val="List Table 6 Colorful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List Table 6 Colorful - Accent 3"/>
    <w:basedOn w:val="70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8" w:customStyle="1">
    <w:name w:val="List Table 6 Colorful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List Table 6 Colorful - Accent 5"/>
    <w:basedOn w:val="70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0" w:customStyle="1">
    <w:name w:val="List Table 6 Colorful - Accent 6"/>
    <w:basedOn w:val="70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1">
    <w:name w:val="List Table 7 Colorful"/>
    <w:basedOn w:val="70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1"/>
    <w:basedOn w:val="70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2"/>
    <w:basedOn w:val="70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3"/>
    <w:basedOn w:val="70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4"/>
    <w:basedOn w:val="70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5"/>
    <w:basedOn w:val="70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6"/>
    <w:basedOn w:val="70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ned - Accent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9" w:customStyle="1">
    <w:name w:val="Lined - Accent 1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0" w:customStyle="1">
    <w:name w:val="Lined - Accent 2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1" w:customStyle="1">
    <w:name w:val="Lined - Accent 3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2" w:customStyle="1">
    <w:name w:val="Lined - Accent 4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3" w:customStyle="1">
    <w:name w:val="Lined - Accent 5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4" w:customStyle="1">
    <w:name w:val="Lined - Accent 6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5" w:customStyle="1">
    <w:name w:val="Bordered &amp; Lined - Accent"/>
    <w:basedOn w:val="70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6" w:customStyle="1">
    <w:name w:val="Bordered &amp; Lined - Accent 1"/>
    <w:basedOn w:val="70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7" w:customStyle="1">
    <w:name w:val="Bordered &amp; Lined - Accent 2"/>
    <w:basedOn w:val="70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8" w:customStyle="1">
    <w:name w:val="Bordered &amp; Lined - Accent 3"/>
    <w:basedOn w:val="70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9" w:customStyle="1">
    <w:name w:val="Bordered &amp; Lined - Accent 4"/>
    <w:basedOn w:val="70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0" w:customStyle="1">
    <w:name w:val="Bordered &amp; Lined - Accent 5"/>
    <w:basedOn w:val="70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1" w:customStyle="1">
    <w:name w:val="Bordered &amp; Lined - Accent 6"/>
    <w:basedOn w:val="70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2" w:customStyle="1">
    <w:name w:val="Bordered"/>
    <w:basedOn w:val="70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3" w:customStyle="1">
    <w:name w:val="Bordered - Accent 1"/>
    <w:basedOn w:val="70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4" w:customStyle="1">
    <w:name w:val="Bordered - Accent 2"/>
    <w:basedOn w:val="70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5" w:customStyle="1">
    <w:name w:val="Bordered - Accent 3"/>
    <w:basedOn w:val="70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6" w:customStyle="1">
    <w:name w:val="Bordered - Accent 4"/>
    <w:basedOn w:val="70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7" w:customStyle="1">
    <w:name w:val="Bordered - Accent 5"/>
    <w:basedOn w:val="70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8" w:customStyle="1">
    <w:name w:val="Bordered - Accent 6"/>
    <w:basedOn w:val="70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9">
    <w:name w:val="Hyperlink"/>
    <w:uiPriority w:val="99"/>
    <w:unhideWhenUsed/>
    <w:rPr>
      <w:color w:val="0000ff" w:themeColor="hyperlink"/>
      <w:u w:val="single"/>
    </w:rPr>
  </w:style>
  <w:style w:type="paragraph" w:styleId="850">
    <w:name w:val="footnote text"/>
    <w:basedOn w:val="690"/>
    <w:link w:val="851"/>
    <w:uiPriority w:val="99"/>
    <w:semiHidden/>
    <w:unhideWhenUsed/>
    <w:pPr>
      <w:spacing w:after="40"/>
    </w:pPr>
    <w:rPr>
      <w:sz w:val="18"/>
    </w:rPr>
  </w:style>
  <w:style w:type="character" w:styleId="851" w:customStyle="1">
    <w:name w:val="Текст сноски Знак"/>
    <w:link w:val="850"/>
    <w:uiPriority w:val="99"/>
    <w:rPr>
      <w:sz w:val="18"/>
    </w:rPr>
  </w:style>
  <w:style w:type="character" w:styleId="852">
    <w:name w:val="footnote reference"/>
    <w:basedOn w:val="700"/>
    <w:uiPriority w:val="99"/>
    <w:unhideWhenUsed/>
    <w:rPr>
      <w:vertAlign w:val="superscript"/>
    </w:rPr>
  </w:style>
  <w:style w:type="paragraph" w:styleId="853">
    <w:name w:val="endnote text"/>
    <w:basedOn w:val="690"/>
    <w:link w:val="854"/>
    <w:uiPriority w:val="99"/>
    <w:semiHidden/>
    <w:unhideWhenUsed/>
  </w:style>
  <w:style w:type="character" w:styleId="854" w:customStyle="1">
    <w:name w:val="Текст концевой сноски Знак"/>
    <w:link w:val="853"/>
    <w:uiPriority w:val="99"/>
    <w:rPr>
      <w:sz w:val="20"/>
    </w:rPr>
  </w:style>
  <w:style w:type="character" w:styleId="855">
    <w:name w:val="endnote reference"/>
    <w:basedOn w:val="700"/>
    <w:uiPriority w:val="99"/>
    <w:semiHidden/>
    <w:unhideWhenUsed/>
    <w:rPr>
      <w:vertAlign w:val="superscript"/>
    </w:rPr>
  </w:style>
  <w:style w:type="paragraph" w:styleId="856">
    <w:name w:val="toc 1"/>
    <w:basedOn w:val="690"/>
    <w:next w:val="690"/>
    <w:uiPriority w:val="39"/>
    <w:unhideWhenUsed/>
    <w:pPr>
      <w:spacing w:after="57"/>
    </w:pPr>
  </w:style>
  <w:style w:type="paragraph" w:styleId="857">
    <w:name w:val="toc 2"/>
    <w:basedOn w:val="690"/>
    <w:next w:val="690"/>
    <w:uiPriority w:val="39"/>
    <w:unhideWhenUsed/>
    <w:pPr>
      <w:ind w:left="283"/>
      <w:spacing w:after="57"/>
    </w:pPr>
  </w:style>
  <w:style w:type="paragraph" w:styleId="858">
    <w:name w:val="toc 3"/>
    <w:basedOn w:val="690"/>
    <w:next w:val="690"/>
    <w:uiPriority w:val="39"/>
    <w:unhideWhenUsed/>
    <w:pPr>
      <w:ind w:left="567"/>
      <w:spacing w:after="57"/>
    </w:pPr>
  </w:style>
  <w:style w:type="paragraph" w:styleId="859">
    <w:name w:val="toc 4"/>
    <w:basedOn w:val="690"/>
    <w:next w:val="690"/>
    <w:uiPriority w:val="39"/>
    <w:unhideWhenUsed/>
    <w:pPr>
      <w:ind w:left="850"/>
      <w:spacing w:after="57"/>
    </w:pPr>
  </w:style>
  <w:style w:type="paragraph" w:styleId="860">
    <w:name w:val="toc 5"/>
    <w:basedOn w:val="690"/>
    <w:next w:val="690"/>
    <w:uiPriority w:val="39"/>
    <w:unhideWhenUsed/>
    <w:pPr>
      <w:ind w:left="1134"/>
      <w:spacing w:after="57"/>
    </w:pPr>
  </w:style>
  <w:style w:type="paragraph" w:styleId="861">
    <w:name w:val="toc 6"/>
    <w:basedOn w:val="690"/>
    <w:next w:val="690"/>
    <w:uiPriority w:val="39"/>
    <w:unhideWhenUsed/>
    <w:pPr>
      <w:ind w:left="1417"/>
      <w:spacing w:after="57"/>
    </w:pPr>
  </w:style>
  <w:style w:type="paragraph" w:styleId="862">
    <w:name w:val="toc 7"/>
    <w:basedOn w:val="690"/>
    <w:next w:val="690"/>
    <w:uiPriority w:val="39"/>
    <w:unhideWhenUsed/>
    <w:pPr>
      <w:ind w:left="1701"/>
      <w:spacing w:after="57"/>
    </w:pPr>
  </w:style>
  <w:style w:type="paragraph" w:styleId="863">
    <w:name w:val="toc 8"/>
    <w:basedOn w:val="690"/>
    <w:next w:val="690"/>
    <w:uiPriority w:val="39"/>
    <w:unhideWhenUsed/>
    <w:pPr>
      <w:ind w:left="1984"/>
      <w:spacing w:after="57"/>
    </w:pPr>
  </w:style>
  <w:style w:type="paragraph" w:styleId="864">
    <w:name w:val="toc 9"/>
    <w:basedOn w:val="690"/>
    <w:next w:val="690"/>
    <w:uiPriority w:val="39"/>
    <w:unhideWhenUsed/>
    <w:pPr>
      <w:ind w:left="2268"/>
      <w:spacing w:after="57"/>
    </w:pPr>
  </w:style>
  <w:style w:type="paragraph" w:styleId="865">
    <w:name w:val="TOC Heading"/>
    <w:uiPriority w:val="39"/>
    <w:unhideWhenUsed/>
  </w:style>
  <w:style w:type="paragraph" w:styleId="866">
    <w:name w:val="table of figures"/>
    <w:basedOn w:val="690"/>
    <w:next w:val="690"/>
    <w:uiPriority w:val="99"/>
    <w:unhideWhenUsed/>
  </w:style>
  <w:style w:type="paragraph" w:styleId="867">
    <w:name w:val="Normal (Web)"/>
    <w:basedOn w:val="690"/>
    <w:semiHidden/>
    <w:pPr>
      <w:spacing w:before="100" w:beforeAutospacing="1" w:after="100" w:afterAutospacing="1"/>
    </w:pPr>
    <w:rPr>
      <w:sz w:val="24"/>
      <w:szCs w:val="24"/>
    </w:rPr>
  </w:style>
  <w:style w:type="paragraph" w:styleId="868" w:customStyle="1">
    <w:name w:val="Абзац списка1"/>
    <w:basedOn w:val="690"/>
    <w:pPr>
      <w:ind w:left="720"/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869">
    <w:name w:val="Balloon Text"/>
    <w:basedOn w:val="690"/>
    <w:link w:val="870"/>
    <w:rPr>
      <w:rFonts w:ascii="Calibri" w:hAnsi="Calibri"/>
      <w:sz w:val="16"/>
      <w:szCs w:val="16"/>
    </w:rPr>
  </w:style>
  <w:style w:type="character" w:styleId="870" w:customStyle="1">
    <w:name w:val="Текст выноски Знак"/>
    <w:link w:val="869"/>
    <w:rPr>
      <w:rFonts w:ascii="Calibri" w:hAnsi="Calibri" w:eastAsia="Calibri"/>
      <w:sz w:val="16"/>
      <w:szCs w:val="16"/>
    </w:rPr>
  </w:style>
  <w:style w:type="paragraph" w:styleId="871">
    <w:name w:val="Header"/>
    <w:basedOn w:val="690"/>
    <w:link w:val="872"/>
    <w:pPr>
      <w:tabs>
        <w:tab w:val="center" w:pos="4677" w:leader="none"/>
        <w:tab w:val="right" w:pos="9355" w:leader="none"/>
      </w:tabs>
    </w:pPr>
  </w:style>
  <w:style w:type="character" w:styleId="872" w:customStyle="1">
    <w:name w:val="Верхний колонтитул Знак"/>
    <w:link w:val="871"/>
    <w:rPr>
      <w:rFonts w:eastAsia="Calibri"/>
    </w:rPr>
  </w:style>
  <w:style w:type="paragraph" w:styleId="873">
    <w:name w:val="Footer"/>
    <w:basedOn w:val="690"/>
    <w:link w:val="874"/>
    <w:pPr>
      <w:tabs>
        <w:tab w:val="center" w:pos="4677" w:leader="none"/>
        <w:tab w:val="right" w:pos="9355" w:leader="none"/>
      </w:tabs>
    </w:pPr>
  </w:style>
  <w:style w:type="character" w:styleId="874" w:customStyle="1">
    <w:name w:val="Нижний колонтитул Знак"/>
    <w:link w:val="873"/>
    <w:rPr>
      <w:rFonts w:eastAsia="Calibri"/>
    </w:rPr>
  </w:style>
  <w:style w:type="table" w:styleId="875">
    <w:name w:val="Table Grid"/>
    <w:basedOn w:val="70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6">
    <w:name w:val="List Paragraph"/>
    <w:basedOn w:val="690"/>
    <w:qFormat/>
    <w:pPr>
      <w:contextualSpacing/>
      <w:ind w:left="720"/>
    </w:pPr>
  </w:style>
  <w:style w:type="paragraph" w:styleId="877" w:customStyle="1">
    <w:name w:val="Знак Знак2"/>
    <w:basedOn w:val="690"/>
    <w:pPr>
      <w:spacing w:after="160" w:line="240" w:lineRule="exact"/>
    </w:pPr>
    <w:rPr>
      <w:rFonts w:ascii="Verdana" w:hAnsi="Verdana" w:eastAsia="Times New Roman" w:cs="Verdana"/>
      <w:lang w:val="en-US" w:eastAsia="en-US"/>
    </w:rPr>
  </w:style>
  <w:style w:type="paragraph" w:styleId="878">
    <w:name w:val="Body Text 2"/>
    <w:basedOn w:val="690"/>
    <w:link w:val="879"/>
    <w:pPr>
      <w:spacing w:after="120" w:line="480" w:lineRule="auto"/>
    </w:pPr>
  </w:style>
  <w:style w:type="character" w:styleId="879" w:customStyle="1">
    <w:name w:val="Основной текст 2 Знак"/>
    <w:basedOn w:val="700"/>
    <w:link w:val="878"/>
    <w:rPr>
      <w:rFonts w:eastAsia="Calibri"/>
    </w:rPr>
  </w:style>
  <w:style w:type="table" w:styleId="880" w:customStyle="1">
    <w:name w:val="Сетка таблицы1"/>
    <w:basedOn w:val="701"/>
    <w:next w:val="87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1">
    <w:name w:val="No Spacing"/>
    <w:uiPriority w:val="1"/>
    <w:qFormat/>
    <w:rPr>
      <w:rFonts w:ascii="Calibri" w:hAnsi="Calibri" w:eastAsia="Calibri"/>
      <w:sz w:val="22"/>
      <w:szCs w:val="22"/>
      <w:lang w:eastAsia="en-US"/>
    </w:rPr>
  </w:style>
  <w:style w:type="table" w:styleId="882" w:customStyle="1">
    <w:name w:val="Сетка таблицы2"/>
    <w:basedOn w:val="701"/>
    <w:next w:val="87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95595-EE53-4B98-BD79-3E5CB1638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RePack by SPecialiST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revision>11</cp:revision>
  <dcterms:created xsi:type="dcterms:W3CDTF">2025-10-24T09:15:00Z</dcterms:created>
  <dcterms:modified xsi:type="dcterms:W3CDTF">2026-01-21T08:29:37Z</dcterms:modified>
</cp:coreProperties>
</file>