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15.01.2026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№ 40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О</w:t>
      </w:r>
      <w:r>
        <w:rPr>
          <w:b/>
          <w:bCs/>
          <w:sz w:val="20"/>
          <w:szCs w:val="20"/>
        </w:rPr>
        <w:t xml:space="preserve"> внесении изменений в </w:t>
      </w:r>
      <w:r>
        <w:rPr>
          <w:b/>
          <w:bCs/>
          <w:sz w:val="20"/>
          <w:szCs w:val="20"/>
        </w:rPr>
        <w:t xml:space="preserve">план реализации муниципальной программы Печенгского муниципального округа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«Обеспечение общественного порядка и безопасности населения» на 2026 - 2028 годы</w:t>
      </w:r>
      <w:r>
        <w:t xml:space="preserve">, </w:t>
      </w:r>
      <w:r>
        <w:rPr>
          <w:b/>
          <w:sz w:val="20"/>
          <w:szCs w:val="20"/>
        </w:rPr>
        <w:t xml:space="preserve">утвержденный постановлением администрации Печенгского муниципального округа 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/>
      <w:bookmarkStart w:id="0" w:name="_GoBack"/>
      <w:r/>
      <w:bookmarkEnd w:id="0"/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от 18.11.2025 № 1888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</w:t>
      </w:r>
      <w: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t xml:space="preserve">ым</w:t>
      </w:r>
      <w:r>
        <w:t xml:space="preserve"> постановлением администрации Печенгского муниципального округа </w:t>
      </w:r>
      <w:r>
        <w:br/>
        <w:t xml:space="preserve">от 18.09.2025 № 1488, </w:t>
      </w:r>
      <w:r>
        <w:t xml:space="preserve">в соответствии с муниципальной программой Печенгского муниципального округа</w:t>
      </w:r>
      <w:r>
        <w:t xml:space="preserve"> «Обеспечение общественного порядка и безопасности населения» на 2026-2028 годы»</w:t>
      </w:r>
      <w:r>
        <w:t xml:space="preserve">,</w:t>
      </w:r>
      <w:r>
        <w:t xml:space="preserve"> </w:t>
      </w:r>
      <w:r>
        <w:t xml:space="preserve">утвержденной </w:t>
      </w:r>
      <w:r>
        <w:t xml:space="preserve">постановлением администрации Печенгского муниципальн</w:t>
      </w:r>
      <w:r>
        <w:t xml:space="preserve">ого округа от 12.11.2025 № 1839</w:t>
      </w:r>
      <w:r>
        <w:t xml:space="preserve">,</w:t>
      </w:r>
      <w:r>
        <w:t xml:space="preserve">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</w:t>
      </w:r>
      <w:r>
        <w:t xml:space="preserve">П</w:t>
      </w:r>
      <w:r>
        <w:t xml:space="preserve">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t xml:space="preserve">, утвержденный постановлением администрации Печенгского муниципального округа от 18.11.2025 № 1888</w:t>
      </w:r>
      <w:r>
        <w:t xml:space="preserve">,</w:t>
      </w:r>
      <w:r>
        <w:t xml:space="preserve"> изложить в редакции </w:t>
      </w:r>
      <w:r>
        <w:t xml:space="preserve">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</w:t>
      </w:r>
      <w:r>
        <w:t xml:space="preserve">с момента подписания</w:t>
      </w:r>
      <w:r>
        <w:t xml:space="preserve">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>
        <w:t xml:space="preserve"> </w:t>
      </w:r>
      <w:r/>
    </w:p>
    <w:p>
      <w:pPr>
        <w:ind w:firstLine="709"/>
        <w:jc w:val="both"/>
        <w:tabs>
          <w:tab w:val="left" w:pos="993" w:leader="none"/>
        </w:tabs>
        <w:sectPr>
          <w:footnotePr/>
          <w:endnotePr/>
          <w:type w:val="nextPage"/>
          <w:pgSz w:w="11906" w:h="16838" w:orient="portrait"/>
          <w:pgMar w:top="1134" w:right="850" w:bottom="397" w:left="1701" w:header="708" w:footer="708" w:gutter="0"/>
          <w:cols w:num="1" w:sep="0" w:space="708" w:equalWidth="1"/>
          <w:docGrid w:linePitch="360"/>
        </w:sectPr>
      </w:pPr>
      <w:r/>
      <w:bookmarkStart w:id="1" w:name="P439"/>
      <w:r/>
      <w:bookmarkEnd w:id="1"/>
      <w:r/>
      <w:r/>
    </w:p>
    <w:p>
      <w:pPr>
        <w:pStyle w:val="899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/>
      <w:bookmarkStart w:id="2" w:name="P446"/>
      <w:r/>
      <w:bookmarkEnd w:id="2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913"/>
      </w:pP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15.01.2026 № 40</w:t>
      </w:r>
      <w:r/>
    </w:p>
    <w:p>
      <w:pPr>
        <w:ind w:left="10913"/>
      </w:pPr>
      <w:r/>
      <w:r/>
    </w:p>
    <w:p>
      <w:pPr>
        <w:ind w:left="10913"/>
      </w:pPr>
      <w:r>
        <w:t xml:space="preserve">«</w:t>
      </w: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18.11.2025 № 1888</w:t>
      </w:r>
      <w:r/>
    </w:p>
    <w:p>
      <w:pPr>
        <w:jc w:val="center"/>
        <w:rPr>
          <w:b/>
          <w:sz w:val="26"/>
          <w:szCs w:val="26"/>
        </w:rPr>
      </w:pPr>
      <w:r/>
      <w:bookmarkStart w:id="3" w:name="p129"/>
      <w:r/>
      <w:bookmarkEnd w:id="3"/>
      <w:r>
        <w:rPr>
          <w:b/>
          <w:sz w:val="26"/>
          <w:szCs w:val="26"/>
        </w:rPr>
        <w:t xml:space="preserve">ПЛАН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right"/>
        <w:spacing w:line="288" w:lineRule="atLeast"/>
      </w:pPr>
      <w:r/>
      <w:r/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993"/>
        <w:gridCol w:w="708"/>
        <w:gridCol w:w="1134"/>
        <w:gridCol w:w="1134"/>
        <w:gridCol w:w="1134"/>
        <w:gridCol w:w="1134"/>
        <w:gridCol w:w="4536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</w:t>
            </w:r>
            <w:r>
              <w:rPr>
                <w:sz w:val="18"/>
                <w:szCs w:val="18"/>
              </w:rPr>
              <w:t xml:space="preserve">п</w:t>
            </w:r>
            <w:r>
              <w:rPr>
                <w:sz w:val="18"/>
                <w:szCs w:val="18"/>
              </w:rPr>
              <w:t xml:space="preserve">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направление (подпрограмма), комплексы процессных и (или) проектных мероприятий, мероприятие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годам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97 001 310,00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44 262 770,00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подведомственные Отделу образования учреждения;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Учреждения сферы культуры; Печенгский кадровый центр; ОМВД России «Печенгский»; МВК; 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97 001 310,00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44 262 770,00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</w:rPr>
              <w:t xml:space="preserve"> «Повышение безопасности дорожного движения и снижение дорожно-транспортного травматизма»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10 00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  <w:lang w:val="en-US"/>
              </w:rPr>
              <w:t xml:space="preserve"> 000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10 00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  <w:lang w:val="en-US"/>
              </w:rPr>
              <w:t xml:space="preserve"> 000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0.1. Количество зарегистрированных дорожно-транспортных происшествий на территории Печенгского муниципального округа с погибшими и пострадавшими гражданами.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1.1. Количество проведенных заседаний МВК по обеспечению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1.2. Количество публикаций о состоянии аварийности на территории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1.3. Количество к</w:t>
            </w:r>
            <w:r>
              <w:rPr>
                <w:sz w:val="16"/>
                <w:szCs w:val="16"/>
              </w:rPr>
              <w:t xml:space="preserve">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1.4. Доля исполненных решений по организации работ по устранению нарушений требований законодательства по безопасности дорожного движения в общем числе таких решений, принятых в работу в текущем году.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«Устранение нарушений требований законодательства по безопасности дорожного движения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предусматривает установку дополнительного освещения; пешеходного ограждения; обустройство пешеходных переходов и пешеходных дорожек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«Формирование безопасного поведения участников дорожного движения и предупреждение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1.5. Количество проведенных мероприятий по профилактике детского дорожно-транспортного травматизма.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1.6. Количество публикаций о проводимых мероприятиях по совершенствованию системы обеспечения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1.7. Количество общеобразовательных учреждений, </w:t>
            </w:r>
            <w:r>
              <w:rPr>
                <w:sz w:val="16"/>
                <w:szCs w:val="16"/>
              </w:rPr>
              <w:t xml:space="preserve">обучающиеся</w:t>
            </w:r>
            <w:r>
              <w:rPr>
                <w:sz w:val="16"/>
                <w:szCs w:val="16"/>
              </w:rPr>
              <w:t xml:space="preserve"> начальных классов, которых обеспечены светоотражающими </w:t>
            </w:r>
            <w:r>
              <w:rPr>
                <w:sz w:val="16"/>
                <w:szCs w:val="16"/>
              </w:rPr>
              <w:t xml:space="preserve">фликерами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1.8. Количество проведенных мероприятий, посвященных пропаганде безопасности дорожного движения, формированию навыков безопасного участия в дорожном движении среди учащихся образовательных учреждений.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1.9. Количество стендов, наглядных пособий в образовательных учреждениях по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ПБ, Отдел образования; 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«Информирование населения о проводимых мероприятиях по совершенствованию системы обеспечения безопасности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аварийности на территории Печенгского муниципального округа; информации о проводимых профилактических операциях по линии БДД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7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«Профилактика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(обновление) наглядных стендов по безопасности дорожного движения в образовательных и дошкольных учреждениях. Выдача учащимся начальных классов светоотражающих </w:t>
            </w:r>
            <w:r>
              <w:rPr>
                <w:sz w:val="16"/>
                <w:szCs w:val="16"/>
              </w:rPr>
              <w:t xml:space="preserve">фликеров</w:t>
            </w:r>
            <w:r>
              <w:rPr>
                <w:sz w:val="16"/>
                <w:szCs w:val="16"/>
              </w:rPr>
              <w:t xml:space="preserve">. Проведение тематических занятий по безопасности дорожного движения в общеобразовательных и дошкольных учреждениях.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«Профилактика правонарушений»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ФКУ УИИ УФСИН; Печенгский кадровый центр; МВК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sz w:val="18"/>
                <w:szCs w:val="18"/>
              </w:rPr>
              <w:t xml:space="preserve"> «Создание условий для обеспечения </w:t>
            </w:r>
            <w:r>
              <w:rPr>
                <w:sz w:val="18"/>
                <w:szCs w:val="18"/>
              </w:rPr>
              <w:t xml:space="preserve">правопорядка в общественных местах»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2.1. Количество проведенных заседаний МВК по профилактике правонарушений в Печенгском муниципальном округе.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2.2. Количество информационных публикаций о состоянии преступности на территории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правонарушений 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преступности на территории </w:t>
            </w:r>
            <w:r>
              <w:rPr>
                <w:sz w:val="16"/>
                <w:szCs w:val="16"/>
              </w:rPr>
              <w:t xml:space="preserve">Печенского</w:t>
            </w:r>
            <w:r>
              <w:rPr>
                <w:sz w:val="16"/>
                <w:szCs w:val="16"/>
              </w:rPr>
              <w:t xml:space="preserve"> муниципального округа; информации о проводимых профилактических мероприятиях. Привлечение к охране общественного порядка народную дружину.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sz w:val="18"/>
                <w:szCs w:val="18"/>
              </w:rPr>
              <w:t xml:space="preserve"> «Развитие системы профилактики правонарушений»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2.3. Количество несовершеннолетних, привлеченных к административной ответственности за совершение правонарушений.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2.4. Количество преступлений и правонарушений, совершенных несовершеннолетними.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2.5. Количество повторно совершенных преступлений.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2.6. Организация и проведение мониторинга миграционной составляющей на рынке труда.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2.7. 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2.8. Оказание содействия в получении юридической, социальной и психологической помощи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2.9. Оказания содействия в восстановлении и формировании социально-полезных связей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2.10. Привлечение организаций различных организ</w:t>
            </w:r>
            <w:r>
              <w:rPr>
                <w:sz w:val="16"/>
                <w:szCs w:val="16"/>
              </w:rPr>
              <w:t xml:space="preserve">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Печенгский кадровый центр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1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</w:rPr>
              <w:t xml:space="preserve"> «Обеспечение защиты населения и территорий от чрезвычайных ситуаций»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75 981 310,00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28 522 770,00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75 981 310,00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28 522 770,00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44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  <w:lang w:val="en-US"/>
              </w:rPr>
            </w:r>
            <w:r>
              <w:rPr>
                <w:b/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5</w:t>
            </w:r>
            <w:r>
              <w:rPr>
                <w:sz w:val="18"/>
                <w:szCs w:val="18"/>
              </w:rPr>
              <w:t xml:space="preserve"> «Совершенствование системы </w:t>
            </w:r>
            <w:r>
              <w:rPr>
                <w:sz w:val="18"/>
                <w:szCs w:val="18"/>
              </w:rPr>
              <w:t xml:space="preserve">подготовки населения по вопросам гражданской обороны, способам защиты и действиям в чрезвычайных ситуациях. Об</w:t>
            </w:r>
            <w:r>
              <w:rPr>
                <w:sz w:val="18"/>
                <w:szCs w:val="18"/>
              </w:rPr>
              <w:t xml:space="preserve">еспечение пожарной </w:t>
            </w:r>
            <w:r>
              <w:rPr>
                <w:sz w:val="18"/>
                <w:szCs w:val="18"/>
              </w:rPr>
              <w:t xml:space="preserve">безопасности, безопасности на водных объектах </w:t>
            </w:r>
            <w:r>
              <w:rPr>
                <w:sz w:val="18"/>
                <w:szCs w:val="18"/>
              </w:rPr>
              <w:t xml:space="preserve">на территории муниципального образования</w:t>
            </w:r>
            <w:r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900 000,00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700 000,00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3.1. Доля обученного населения действиям ГО и ЧС.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3.2. Количество установленной наглядной агитации с </w:t>
            </w:r>
            <w:r>
              <w:rPr>
                <w:sz w:val="16"/>
                <w:szCs w:val="16"/>
              </w:rPr>
              <w:t xml:space="preserve">разъяснением правил поведения граждан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3.3. 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3.4. Количество проведенных мероприятий по предупреждению гибели людей и повреждения имущества.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 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муниципальных учреждений, в которых выполнены работы по укреплению противопожарного состояния.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ПБ, Отдел образования;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6 900 000,00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5 700 000,00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0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«Проведение работ по обеспечению пожарной безопасности в период летнего пожароопасного периода»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</w:t>
            </w:r>
            <w:r>
              <w:rPr>
                <w:b/>
                <w:sz w:val="16"/>
                <w:szCs w:val="16"/>
              </w:rPr>
              <w:t xml:space="preserve">44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</w:t>
            </w:r>
            <w:r>
              <w:rPr>
                <w:b/>
                <w:sz w:val="16"/>
                <w:szCs w:val="16"/>
              </w:rPr>
              <w:t xml:space="preserve">28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работ пожарных добровольцев; пожарных ГОБУ «Мурманская авиабаза».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Обустройство минерализованной полосы.</w:t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</w:t>
            </w:r>
            <w:r>
              <w:rPr>
                <w:sz w:val="16"/>
                <w:szCs w:val="16"/>
              </w:rPr>
              <w:t xml:space="preserve">44</w:t>
            </w:r>
            <w:r>
              <w:rPr>
                <w:sz w:val="16"/>
                <w:szCs w:val="16"/>
              </w:rPr>
              <w:t xml:space="preserve">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</w:t>
            </w:r>
            <w:r>
              <w:rPr>
                <w:sz w:val="16"/>
                <w:szCs w:val="16"/>
              </w:rPr>
              <w:t xml:space="preserve">280</w:t>
            </w:r>
            <w:r>
              <w:rPr>
                <w:sz w:val="16"/>
                <w:szCs w:val="16"/>
              </w:rPr>
              <w:t xml:space="preserve">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</w:t>
            </w:r>
            <w:r>
              <w:rPr>
                <w:sz w:val="16"/>
                <w:szCs w:val="16"/>
              </w:rPr>
              <w:t xml:space="preserve">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</w:t>
            </w:r>
            <w:r>
              <w:rPr>
                <w:sz w:val="16"/>
                <w:szCs w:val="16"/>
              </w:rPr>
              <w:t xml:space="preserve">0 </w:t>
            </w:r>
            <w:r>
              <w:rPr>
                <w:sz w:val="16"/>
                <w:szCs w:val="16"/>
              </w:rPr>
              <w:t xml:space="preserve">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«Укрепление противопожарного состояния муниципальных учреждений»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4 400 000,00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3 400 000,00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Приведение к нормативным требованиям по пожарной безопасности объектов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Учреждения в сфере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3 400 000,00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</w:t>
            </w:r>
            <w:r>
              <w:rPr>
                <w:sz w:val="16"/>
                <w:szCs w:val="16"/>
              </w:rPr>
              <w:t xml:space="preserve">Проведение работ по предупреждению гибели людей на водных объектах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Снижение происшествий на водных объектах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</w:rPr>
              <w:t xml:space="preserve"> «Повышение готовности сил и сре</w:t>
            </w:r>
            <w:r>
              <w:rPr>
                <w:sz w:val="18"/>
                <w:szCs w:val="18"/>
              </w:rPr>
              <w:t xml:space="preserve">дств гр</w:t>
            </w:r>
            <w:r>
              <w:rPr>
                <w:sz w:val="18"/>
                <w:szCs w:val="18"/>
              </w:rPr>
              <w:t xml:space="preserve">ажданской обороны, муниципального звена РСЧС»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  <w:lang w:val="en-US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079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0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22 </w:t>
            </w:r>
            <w:r>
              <w:rPr>
                <w:b/>
                <w:sz w:val="16"/>
                <w:szCs w:val="16"/>
                <w:lang w:val="en-US"/>
              </w:rPr>
              <w:t xml:space="preserve">755</w:t>
            </w:r>
            <w:r>
              <w:rPr>
                <w:b/>
                <w:sz w:val="16"/>
                <w:szCs w:val="16"/>
              </w:rPr>
              <w:t xml:space="preserve"> 100,00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6</w:t>
            </w: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5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6</w:t>
            </w:r>
            <w:r>
              <w:rPr>
                <w:b/>
                <w:sz w:val="16"/>
                <w:szCs w:val="16"/>
                <w:lang w:val="en-US"/>
              </w:rPr>
              <w:t xml:space="preserve">69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Уровень охвата населения средствами оповещения.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3.6. Оснащение волонтеров противопожарным оборудованием, резервным запасом питьевой воды, </w:t>
            </w:r>
            <w:r>
              <w:rPr>
                <w:sz w:val="16"/>
                <w:szCs w:val="16"/>
              </w:rPr>
              <w:t xml:space="preserve">СИЗ</w:t>
            </w:r>
            <w:r>
              <w:rPr>
                <w:sz w:val="16"/>
                <w:szCs w:val="16"/>
              </w:rPr>
              <w:t xml:space="preserve">, при тушении лесных пожаров.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3.7. Количество </w:t>
            </w:r>
            <w:r>
              <w:rPr>
                <w:sz w:val="16"/>
                <w:szCs w:val="16"/>
              </w:rPr>
              <w:t xml:space="preserve">приобретенных</w:t>
            </w:r>
            <w:r>
              <w:rPr>
                <w:sz w:val="16"/>
                <w:szCs w:val="16"/>
              </w:rPr>
              <w:t xml:space="preserve"> и установленных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3.8. Количество принятых и обработанных сообщений по системе 112.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 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68 079 000,00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22 755 100,00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22 654 500,00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22 669 400,00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противопожарного, спасательного оборудования, </w:t>
            </w:r>
            <w:r>
              <w:rPr>
                <w:sz w:val="18"/>
                <w:szCs w:val="18"/>
              </w:rPr>
              <w:t xml:space="preserve">СИЗ</w:t>
            </w:r>
            <w:r>
              <w:rPr>
                <w:sz w:val="18"/>
                <w:szCs w:val="18"/>
              </w:rPr>
              <w:t xml:space="preserve"> и другого имущества для создания резерва администрации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противопожарного оборудования, питьевой воды, дополнительного оборудования для создания резерва администрации.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</w:t>
            </w:r>
            <w:r>
              <w:rPr>
                <w:sz w:val="16"/>
                <w:szCs w:val="16"/>
              </w:rPr>
              <w:t xml:space="preserve">,Ч</w:t>
            </w:r>
            <w:r>
              <w:rPr>
                <w:sz w:val="16"/>
                <w:szCs w:val="16"/>
              </w:rPr>
              <w:t xml:space="preserve">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и установка сетевых </w:t>
            </w:r>
            <w:r>
              <w:rPr>
                <w:sz w:val="18"/>
                <w:szCs w:val="18"/>
                <w:lang w:val="en-US"/>
              </w:rPr>
              <w:t xml:space="preserve">IP</w:t>
            </w:r>
            <w:r>
              <w:rPr>
                <w:sz w:val="18"/>
                <w:szCs w:val="18"/>
              </w:rPr>
              <w:t xml:space="preserve">-камер АПК «Безопасный город»»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1 900 000,00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и установка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 в населенных пунктах.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Отдел ГО</w:t>
            </w:r>
            <w:r>
              <w:rPr>
                <w:sz w:val="16"/>
                <w:szCs w:val="16"/>
              </w:rPr>
              <w:t xml:space="preserve">,Ч</w:t>
            </w:r>
            <w:r>
              <w:rPr>
                <w:sz w:val="16"/>
                <w:szCs w:val="16"/>
              </w:rPr>
              <w:t xml:space="preserve">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1 900 000,00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«Техническое обслуживание системы информирования и оповещения населения»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165 600,00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Поддержание в рабочем состоянии системы информирования и оповещения населения.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Отдел ГО</w:t>
            </w:r>
            <w:r>
              <w:rPr>
                <w:sz w:val="16"/>
                <w:szCs w:val="16"/>
              </w:rPr>
              <w:t xml:space="preserve">,Ч</w:t>
            </w:r>
            <w:r>
              <w:rPr>
                <w:sz w:val="16"/>
                <w:szCs w:val="16"/>
              </w:rPr>
              <w:t xml:space="preserve">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165 600,00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«Обеспечение функционирования МКУ «ЕДДС»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65 713 400,00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21 899 900,00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21 914 200,00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постоянной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65 713 400,00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21 899 900,00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21 914 200,00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проектных мероприятий 7 </w:t>
            </w:r>
            <w:r>
              <w:rPr>
                <w:sz w:val="18"/>
                <w:szCs w:val="18"/>
              </w:rPr>
              <w:t xml:space="preserve">«Проведение капитального ремонта защитных сооружений гражданской обороны»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защитных сооружений гражданской обороны, в отношении которых проведен капитальный ремонт.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«Приведение в нормативное состояние (готовность) защитных сооружений гражданской обороны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Комплексное обследование защитных сооружений гражданской обороны; разработка ПСД на каждое защитное сооружение; капитальный ремонт помещений защитных сооружений гражданской обороны.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4</w:t>
            </w:r>
            <w:r>
              <w:rPr>
                <w:b/>
                <w:sz w:val="18"/>
                <w:szCs w:val="18"/>
              </w:rPr>
              <w:t xml:space="preserve"> «Противодействие терроризму и профилактика экстремизма»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5 730 000,00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образования,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подведомственные Отделу образования учреждения;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5 730 000,00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57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8</w:t>
            </w:r>
            <w:r>
              <w:rPr>
                <w:sz w:val="18"/>
                <w:szCs w:val="18"/>
              </w:rPr>
              <w:t xml:space="preserve"> «Профилактика терроризма и экстремизма»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4.1. Количество проведенных заседаний антитеррористической комиссии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4.2. Количество размещенной информации по профилактике терроризма и экстремизма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4.3. 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4.4.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4.5. 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4.6.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4.7. Количество мероприятий по повышению уровня компетентности обучающихся образовательных организаций в </w:t>
            </w:r>
            <w:r>
              <w:rPr>
                <w:sz w:val="16"/>
                <w:szCs w:val="16"/>
              </w:rPr>
              <w:t xml:space="preserve">вопросах профилактики терроризма, экстремизма, межнациональных и </w:t>
            </w:r>
            <w:r>
              <w:rPr>
                <w:sz w:val="16"/>
                <w:szCs w:val="16"/>
              </w:rPr>
              <w:t xml:space="preserve">межконфессионных</w:t>
            </w:r>
            <w:r>
              <w:rPr>
                <w:sz w:val="16"/>
                <w:szCs w:val="16"/>
              </w:rPr>
              <w:t xml:space="preserve">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4.8.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 Доля лиц, прибывающих в Печенгский муниципальный округ из Донецкой, Луганской народных республик, Запорожской, Харьковской областей и Украины, которым произведены выплаты от общего числа обратившихся данной категории.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образования,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терроризма и экстремизма»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антитеррористической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«Проведение адресной и индивидуальной работы с прибывающими в регионы лицами, из Донецкой, Луганской народных республик, Запорожской, Херсонской областей и Украины»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Выплаты нуждающимся лицам, прибывающим в Печенгский муниципальный округ из Донецкой, Луганской народных республик, Запорожской, Херсонской областей и Украины.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4.9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9.</w:t>
            </w:r>
            <w:r>
              <w:rPr>
                <w:sz w:val="18"/>
                <w:szCs w:val="18"/>
              </w:rPr>
              <w:t xml:space="preserve"> «Повышение антитеррористической защищенности объектов, находящихся в ведении Печенгского муниципального округа»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4.10. Доля осуществленных мероприятий, направленных на усиление антитеррористической защищенности объектов, находящихся в ведении Печенгского муниципального округа, </w:t>
            </w: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общего</w:t>
            </w:r>
            <w:r>
              <w:rPr>
                <w:sz w:val="16"/>
                <w:szCs w:val="16"/>
              </w:rPr>
              <w:t xml:space="preserve"> числа запланированных мероприятий.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подведомственные Отделу образования учреждения;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«Усиление антитеррористической защищенности объектов, находящихся в ведении Печенгского муниципального округа»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10 600 000,00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5 600 000,00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камер видеонаблюдения на объектах;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заборного ограждения объектов;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систем оповещения о готовящемся теракте.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подведомственные Отделу образования учреждения;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  </w:t>
      </w:r>
      <w:r>
        <w:rPr>
          <w:sz w:val="18"/>
          <w:szCs w:val="18"/>
          <w:u w:val="single"/>
        </w:rPr>
        <w:t xml:space="preserve">Соисполнители и участники: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ГО, ЧС и ПБ - Администрация Печенгского муниципального округа (Отдел гражданской обороны, чрезвычайной ситуации и пожарной безопасности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образования – 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</w:t>
      </w:r>
      <w:r>
        <w:rPr>
          <w:sz w:val="18"/>
          <w:szCs w:val="18"/>
        </w:rPr>
        <w:t xml:space="preserve">КСиМП</w:t>
      </w:r>
      <w:r>
        <w:rPr>
          <w:sz w:val="18"/>
          <w:szCs w:val="18"/>
        </w:rPr>
        <w:t xml:space="preserve"> – Отдел культуры, спорта и молодежной политики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«ЕДДС» - муниципальное казенное учреждение «Единая дежурно-диспетчерская служба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«НДС» - муниципальное бюджетное учреждение «</w:t>
      </w:r>
      <w:r>
        <w:rPr>
          <w:sz w:val="18"/>
          <w:szCs w:val="18"/>
        </w:rPr>
        <w:t xml:space="preserve">Никельская</w:t>
      </w:r>
      <w:r>
        <w:rPr>
          <w:sz w:val="18"/>
          <w:szCs w:val="18"/>
        </w:rPr>
        <w:t xml:space="preserve"> дорожная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</w:t>
      </w:r>
      <w:r>
        <w:rPr>
          <w:sz w:val="18"/>
          <w:szCs w:val="18"/>
        </w:rPr>
        <w:t xml:space="preserve">УБиР</w:t>
      </w:r>
      <w:r>
        <w:rPr>
          <w:sz w:val="18"/>
          <w:szCs w:val="18"/>
        </w:rPr>
        <w:t xml:space="preserve">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Печенгский кадровый центр – Печенгский кадровый центр ГОБУ ЦЗН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ОМВД России «Печенгский» - ОМВД России «Печенгский;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МВК – межведомственная комиссия по обеспечению безопасности дорожного движения;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ФКУ УИИ УФСИН – филиал по </w:t>
      </w:r>
      <w:r>
        <w:rPr>
          <w:sz w:val="18"/>
          <w:szCs w:val="18"/>
        </w:rPr>
        <w:t xml:space="preserve">Печенгскому</w:t>
      </w:r>
      <w:r>
        <w:rPr>
          <w:sz w:val="18"/>
          <w:szCs w:val="18"/>
        </w:rPr>
        <w:t xml:space="preserve"> району ФКУ УИИ УФСИН России по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подведомственные Отделу образования учреждения – Муниципальное бюджетное общеобраз</w:t>
      </w:r>
      <w:r>
        <w:rPr>
          <w:sz w:val="18"/>
          <w:szCs w:val="18"/>
        </w:rPr>
        <w:t xml:space="preserve">овательное учреждение «Средняя общеобразовательная школа № 3»; Муниципальное бюджетное общеобразовательное учреждение «Средняя общеобразовательная школа № 5 имени Героя Российской Федерации М.С. Попова»; Муниципальное бюджетное общеобразовательное учрежден</w:t>
      </w:r>
      <w:r>
        <w:rPr>
          <w:sz w:val="18"/>
          <w:szCs w:val="18"/>
        </w:rPr>
        <w:t xml:space="preserve">ие «Средняя общеобразовательная школа № 7 имени Ю.А. Гагарина»; Муниципальное бюджетное общеобразовательное учреждение «Средняя общеобразовательная школа № 9»; Муниципальное бюджетное общеобразовательное учреждение «Средняя общеобразовательная школа № 11»;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общеобразовательное учреждение «Средняя общеобразовательная школа № 19 им. М.Р. </w:t>
      </w:r>
      <w:r>
        <w:rPr>
          <w:sz w:val="18"/>
          <w:szCs w:val="18"/>
        </w:rPr>
        <w:t xml:space="preserve">Янкова</w:t>
      </w:r>
      <w:r>
        <w:rPr>
          <w:sz w:val="18"/>
          <w:szCs w:val="18"/>
        </w:rPr>
        <w:t xml:space="preserve">»; Муниципальное бюджетное общеобразовательное учреждение «Основная общеобразовательная школа № 20 имени М.Ю. Козлова»; Муниципальное бюджетное общеобразоват</w:t>
      </w:r>
      <w:r>
        <w:rPr>
          <w:sz w:val="18"/>
          <w:szCs w:val="18"/>
        </w:rPr>
        <w:t xml:space="preserve">ельное учреждение «Основная общеобразовательная школа № 22 им. Б.Ф. Сафонова»; Муниципальное бюджетное общеобразовательное учреждение «Средняя общеобразовательная школа № 23»; Муниципальное бюджетное дошкольное образовательное учреждение «Детский сад № 1»;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№ 4»; Муниципальное бюджетное дошкольное образовательное учреждение «Детский сад </w:t>
      </w:r>
      <w:r>
        <w:rPr>
          <w:sz w:val="18"/>
          <w:szCs w:val="18"/>
        </w:rPr>
        <w:br/>
        <w:t xml:space="preserve">№ 6»; Муниципальное бюджетное дошкольное образовательное учреждение «Детский сад № 7»; Муниципальное бюджетное дошкольное образовательное учреждение «Детский</w:t>
      </w:r>
      <w:r>
        <w:rPr>
          <w:sz w:val="18"/>
          <w:szCs w:val="18"/>
        </w:rPr>
        <w:t xml:space="preserve"> сад № 8»; Муниципальное бюджетное дошкольное образовательное учреждение «Детский сад № 10»; Муниципальное бюджетное дошкольное образовательное учреждение «Детский сад № 11»; Муниципальное бюджетное дошкольное образовательное учреждение «Детский сад № 13»;</w:t>
      </w:r>
      <w:r>
        <w:rPr>
          <w:sz w:val="18"/>
          <w:szCs w:val="18"/>
        </w:rPr>
        <w:t xml:space="preserve"> Муниципальное бюджетное дошкольное образовательное учреждение «Детский сад № 38»;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Учреждения сферы культуры – Муниципальное бюджетное учреждение культуры «Центр культуры Печенгского муниципального округа»; Муниципальное бюджетное учреждение дополнительного образовани</w:t>
      </w:r>
      <w:r>
        <w:rPr>
          <w:sz w:val="18"/>
          <w:szCs w:val="18"/>
        </w:rPr>
        <w:t xml:space="preserve">я «Детская музыкальная школа» Печенгского муниципального округа; Муниципальное бюджетное учреждение дополнительного образования «Детская художественная школа» Печенгского муниципального округа; Муниципальное бюджетное культурно-просветительное учреждение «</w:t>
      </w:r>
      <w:r>
        <w:rPr>
          <w:sz w:val="18"/>
          <w:szCs w:val="18"/>
        </w:rPr>
        <w:t xml:space="preserve">Печенгское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межпоселенческое</w:t>
      </w:r>
      <w:r>
        <w:rPr>
          <w:sz w:val="18"/>
          <w:szCs w:val="18"/>
        </w:rPr>
        <w:t xml:space="preserve"> библиотечное объединение».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rPr>
          <w:sz w:val="18"/>
          <w:szCs w:val="18"/>
          <w:u w:val="single"/>
        </w:rPr>
        <w:t xml:space="preserve">Используемые сокращения: </w:t>
      </w: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</w:t>
      </w:r>
      <w:r>
        <w:rPr>
          <w:sz w:val="18"/>
          <w:szCs w:val="18"/>
        </w:rPr>
        <w:t xml:space="preserve">.</w:t>
      </w:r>
      <w:r>
        <w:rPr>
          <w:sz w:val="18"/>
          <w:szCs w:val="18"/>
        </w:rPr>
        <w:t xml:space="preserve">».</w:t>
      </w:r>
      <w:r/>
    </w:p>
    <w:p>
      <w:pPr>
        <w:pStyle w:val="899"/>
        <w:jc w:val="both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851" w:right="962" w:bottom="709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5"/>
  </w:num>
  <w:num w:numId="5">
    <w:abstractNumId w:val="19"/>
  </w:num>
  <w:num w:numId="6">
    <w:abstractNumId w:val="14"/>
  </w:num>
  <w:num w:numId="7">
    <w:abstractNumId w:val="11"/>
  </w:num>
  <w:num w:numId="8">
    <w:abstractNumId w:val="13"/>
  </w:num>
  <w:num w:numId="9">
    <w:abstractNumId w:val="1"/>
  </w:num>
  <w:num w:numId="10">
    <w:abstractNumId w:val="6"/>
  </w:num>
  <w:num w:numId="11">
    <w:abstractNumId w:val="20"/>
  </w:num>
  <w:num w:numId="12">
    <w:abstractNumId w:val="2"/>
  </w:num>
  <w:num w:numId="13">
    <w:abstractNumId w:val="16"/>
  </w:num>
  <w:num w:numId="14">
    <w:abstractNumId w:val="1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2"/>
  </w:num>
  <w:num w:numId="18">
    <w:abstractNumId w:val="8"/>
  </w:num>
  <w:num w:numId="19">
    <w:abstractNumId w:val="17"/>
  </w:num>
  <w:num w:numId="20">
    <w:abstractNumId w:val="7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23"/>
    <w:link w:val="71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23"/>
    <w:link w:val="71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23"/>
    <w:link w:val="71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4 Char"/>
    <w:basedOn w:val="723"/>
    <w:link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02">
    <w:name w:val="Heading 5 Char"/>
    <w:basedOn w:val="723"/>
    <w:link w:val="718"/>
    <w:uiPriority w:val="9"/>
    <w:rPr>
      <w:rFonts w:ascii="Arial" w:hAnsi="Arial" w:eastAsia="Arial" w:cs="Arial"/>
      <w:b/>
      <w:bCs/>
      <w:sz w:val="24"/>
      <w:szCs w:val="24"/>
    </w:rPr>
  </w:style>
  <w:style w:type="character" w:styleId="703">
    <w:name w:val="Heading 6 Char"/>
    <w:basedOn w:val="723"/>
    <w:link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04">
    <w:name w:val="Heading 7 Char"/>
    <w:basedOn w:val="723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9 Char"/>
    <w:basedOn w:val="723"/>
    <w:link w:val="72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23"/>
    <w:link w:val="736"/>
    <w:uiPriority w:val="10"/>
    <w:rPr>
      <w:sz w:val="48"/>
      <w:szCs w:val="48"/>
    </w:rPr>
  </w:style>
  <w:style w:type="character" w:styleId="707">
    <w:name w:val="Subtitle Char"/>
    <w:basedOn w:val="723"/>
    <w:link w:val="738"/>
    <w:uiPriority w:val="11"/>
    <w:rPr>
      <w:sz w:val="24"/>
      <w:szCs w:val="24"/>
    </w:rPr>
  </w:style>
  <w:style w:type="character" w:styleId="708">
    <w:name w:val="Quote Char"/>
    <w:link w:val="740"/>
    <w:uiPriority w:val="29"/>
    <w:rPr>
      <w:i/>
    </w:rPr>
  </w:style>
  <w:style w:type="character" w:styleId="709">
    <w:name w:val="Intense Quote Char"/>
    <w:link w:val="742"/>
    <w:uiPriority w:val="30"/>
    <w:rPr>
      <w:i/>
    </w:rPr>
  </w:style>
  <w:style w:type="character" w:styleId="710">
    <w:name w:val="Caption Char"/>
    <w:basedOn w:val="747"/>
    <w:link w:val="745"/>
    <w:uiPriority w:val="99"/>
  </w:style>
  <w:style w:type="character" w:styleId="711">
    <w:name w:val="Footnote Text Char"/>
    <w:link w:val="875"/>
    <w:uiPriority w:val="99"/>
    <w:rPr>
      <w:sz w:val="18"/>
    </w:rPr>
  </w:style>
  <w:style w:type="character" w:styleId="712">
    <w:name w:val="Endnote Text Char"/>
    <w:link w:val="878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4">
    <w:name w:val="Heading 1"/>
    <w:basedOn w:val="713"/>
    <w:next w:val="713"/>
    <w:link w:val="72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5">
    <w:name w:val="Heading 2"/>
    <w:basedOn w:val="713"/>
    <w:next w:val="713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6">
    <w:name w:val="Heading 3"/>
    <w:basedOn w:val="713"/>
    <w:next w:val="713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7">
    <w:name w:val="Heading 4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713"/>
    <w:next w:val="713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9">
    <w:name w:val="Heading 6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713"/>
    <w:next w:val="713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713"/>
    <w:next w:val="713"/>
    <w:link w:val="904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22">
    <w:name w:val="Heading 9"/>
    <w:basedOn w:val="713"/>
    <w:next w:val="713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character" w:styleId="726" w:customStyle="1">
    <w:name w:val="Заголовок 1 Знак"/>
    <w:basedOn w:val="723"/>
    <w:link w:val="714"/>
    <w:uiPriority w:val="9"/>
    <w:rPr>
      <w:rFonts w:ascii="Arial" w:hAnsi="Arial" w:eastAsia="Arial" w:cs="Arial"/>
      <w:sz w:val="40"/>
      <w:szCs w:val="40"/>
    </w:rPr>
  </w:style>
  <w:style w:type="character" w:styleId="727" w:customStyle="1">
    <w:name w:val="Заголовок 2 Знак"/>
    <w:basedOn w:val="723"/>
    <w:link w:val="715"/>
    <w:uiPriority w:val="9"/>
    <w:rPr>
      <w:rFonts w:ascii="Arial" w:hAnsi="Arial" w:eastAsia="Arial" w:cs="Arial"/>
      <w:sz w:val="34"/>
    </w:rPr>
  </w:style>
  <w:style w:type="character" w:styleId="728" w:customStyle="1">
    <w:name w:val="Заголовок 3 Знак"/>
    <w:basedOn w:val="723"/>
    <w:link w:val="716"/>
    <w:uiPriority w:val="9"/>
    <w:rPr>
      <w:rFonts w:ascii="Arial" w:hAnsi="Arial" w:eastAsia="Arial" w:cs="Arial"/>
      <w:sz w:val="30"/>
      <w:szCs w:val="30"/>
    </w:rPr>
  </w:style>
  <w:style w:type="character" w:styleId="729" w:customStyle="1">
    <w:name w:val="Заголовок 4 Знак"/>
    <w:basedOn w:val="723"/>
    <w:link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Заголовок 5 Знак"/>
    <w:basedOn w:val="723"/>
    <w:link w:val="718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Заголовок 6 Знак"/>
    <w:basedOn w:val="723"/>
    <w:link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Заголовок 7 Знак"/>
    <w:basedOn w:val="723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Заголовок 9 Знак"/>
    <w:basedOn w:val="723"/>
    <w:link w:val="722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713"/>
    <w:next w:val="713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Название Знак"/>
    <w:basedOn w:val="723"/>
    <w:link w:val="736"/>
    <w:uiPriority w:val="10"/>
    <w:rPr>
      <w:sz w:val="48"/>
      <w:szCs w:val="48"/>
    </w:rPr>
  </w:style>
  <w:style w:type="paragraph" w:styleId="738">
    <w:name w:val="Subtitle"/>
    <w:basedOn w:val="713"/>
    <w:next w:val="713"/>
    <w:link w:val="739"/>
    <w:uiPriority w:val="11"/>
    <w:qFormat/>
    <w:pPr>
      <w:spacing w:before="200" w:after="200"/>
    </w:pPr>
  </w:style>
  <w:style w:type="character" w:styleId="739" w:customStyle="1">
    <w:name w:val="Подзаголовок Знак"/>
    <w:basedOn w:val="723"/>
    <w:link w:val="738"/>
    <w:uiPriority w:val="11"/>
    <w:rPr>
      <w:sz w:val="24"/>
      <w:szCs w:val="24"/>
    </w:rPr>
  </w:style>
  <w:style w:type="paragraph" w:styleId="740">
    <w:name w:val="Quote"/>
    <w:basedOn w:val="713"/>
    <w:next w:val="713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13"/>
    <w:next w:val="713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23"/>
    <w:uiPriority w:val="99"/>
  </w:style>
  <w:style w:type="paragraph" w:styleId="745">
    <w:name w:val="Footer"/>
    <w:basedOn w:val="713"/>
    <w:link w:val="74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6" w:customStyle="1">
    <w:name w:val="Footer Char"/>
    <w:basedOn w:val="723"/>
    <w:uiPriority w:val="99"/>
  </w:style>
  <w:style w:type="paragraph" w:styleId="747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Нижний колонтитул Знак"/>
    <w:link w:val="745"/>
    <w:uiPriority w:val="99"/>
  </w:style>
  <w:style w:type="table" w:styleId="749">
    <w:name w:val="Table Grid"/>
    <w:basedOn w:val="72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0" w:customStyle="1">
    <w:name w:val="Table Grid Light"/>
    <w:basedOn w:val="72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1" w:customStyle="1">
    <w:name w:val="Plain Table 1"/>
    <w:basedOn w:val="72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Plain Table 2"/>
    <w:basedOn w:val="72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3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 w:customStyle="1">
    <w:name w:val="Plain Table 4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Plain Table 5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1 Light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4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 w:customStyle="1">
    <w:name w:val="Grid Table 4 - Accent 1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9" w:customStyle="1">
    <w:name w:val="Grid Table 4 - Accent 2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0" w:customStyle="1">
    <w:name w:val="Grid Table 4 - Accent 3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1" w:customStyle="1">
    <w:name w:val="Grid Table 4 - Accent 4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2" w:customStyle="1">
    <w:name w:val="Grid Table 4 - Accent 5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3" w:customStyle="1">
    <w:name w:val="Grid Table 4 - Accent 6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4" w:customStyle="1">
    <w:name w:val="Grid Table 5 Dark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6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 w:customStyle="1">
    <w:name w:val="Grid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3" w:customStyle="1">
    <w:name w:val="Grid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4" w:customStyle="1">
    <w:name w:val="Grid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5" w:customStyle="1">
    <w:name w:val="Grid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6" w:customStyle="1">
    <w:name w:val="Grid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7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1 Light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1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2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3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4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5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6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9" w:customStyle="1">
    <w:name w:val="List Table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5 Dark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6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1" w:customStyle="1">
    <w:name w:val="List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2" w:customStyle="1">
    <w:name w:val="List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List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4" w:customStyle="1">
    <w:name w:val="List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List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6" w:customStyle="1">
    <w:name w:val="List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7" w:customStyle="1">
    <w:name w:val="List Table 7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5" w:customStyle="1">
    <w:name w:val="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6" w:customStyle="1">
    <w:name w:val="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7" w:customStyle="1">
    <w:name w:val="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8" w:customStyle="1">
    <w:name w:val="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9" w:customStyle="1">
    <w:name w:val="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0" w:customStyle="1">
    <w:name w:val="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1" w:customStyle="1">
    <w:name w:val="Bordered &amp; 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Bordered &amp; 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Bordered &amp; 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Bordered &amp; 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Bordered &amp; 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Bordered &amp; 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Bordered &amp; 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9" w:customStyle="1">
    <w:name w:val="Bordered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0" w:customStyle="1">
    <w:name w:val="Bordered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1" w:customStyle="1">
    <w:name w:val="Bordered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2" w:customStyle="1">
    <w:name w:val="Bordered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3" w:customStyle="1">
    <w:name w:val="Bordered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4" w:customStyle="1">
    <w:name w:val="Bordered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5">
    <w:name w:val="footnote text"/>
    <w:basedOn w:val="713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Текст сноски Знак"/>
    <w:link w:val="875"/>
    <w:uiPriority w:val="99"/>
    <w:rPr>
      <w:sz w:val="18"/>
    </w:rPr>
  </w:style>
  <w:style w:type="character" w:styleId="877">
    <w:name w:val="footnote reference"/>
    <w:basedOn w:val="723"/>
    <w:uiPriority w:val="99"/>
    <w:unhideWhenUsed/>
    <w:rPr>
      <w:vertAlign w:val="superscript"/>
    </w:rPr>
  </w:style>
  <w:style w:type="paragraph" w:styleId="878">
    <w:name w:val="endnote text"/>
    <w:basedOn w:val="713"/>
    <w:link w:val="879"/>
    <w:uiPriority w:val="99"/>
    <w:semiHidden/>
    <w:unhideWhenUsed/>
    <w:rPr>
      <w:sz w:val="20"/>
    </w:rPr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723"/>
    <w:uiPriority w:val="99"/>
    <w:semiHidden/>
    <w:unhideWhenUsed/>
    <w:rPr>
      <w:vertAlign w:val="superscript"/>
    </w:rPr>
  </w:style>
  <w:style w:type="paragraph" w:styleId="881">
    <w:name w:val="toc 1"/>
    <w:basedOn w:val="713"/>
    <w:next w:val="713"/>
    <w:uiPriority w:val="39"/>
    <w:unhideWhenUsed/>
    <w:pPr>
      <w:spacing w:after="57"/>
    </w:pPr>
  </w:style>
  <w:style w:type="paragraph" w:styleId="882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3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4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5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6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7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88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89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713"/>
    <w:next w:val="713"/>
    <w:uiPriority w:val="99"/>
    <w:unhideWhenUsed/>
  </w:style>
  <w:style w:type="paragraph" w:styleId="89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3">
    <w:name w:val="Body Text"/>
    <w:basedOn w:val="713"/>
    <w:link w:val="894"/>
    <w:pPr>
      <w:spacing w:after="120"/>
      <w:widowControl w:val="off"/>
    </w:pPr>
    <w:rPr>
      <w:sz w:val="20"/>
      <w:szCs w:val="20"/>
    </w:rPr>
  </w:style>
  <w:style w:type="character" w:styleId="894" w:customStyle="1">
    <w:name w:val="Основной текст Знак"/>
    <w:basedOn w:val="723"/>
    <w:link w:val="89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Header"/>
    <w:basedOn w:val="713"/>
    <w:link w:val="89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6" w:customStyle="1">
    <w:name w:val="Верхний колонтитул Знак"/>
    <w:basedOn w:val="723"/>
    <w:link w:val="89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7">
    <w:name w:val="Hyperlink"/>
    <w:basedOn w:val="723"/>
    <w:uiPriority w:val="99"/>
    <w:unhideWhenUsed/>
    <w:rPr>
      <w:color w:val="0000ff" w:themeColor="hyperlink"/>
      <w:u w:val="single"/>
    </w:rPr>
  </w:style>
  <w:style w:type="paragraph" w:styleId="89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9">
    <w:name w:val="Normal (Web)"/>
    <w:basedOn w:val="713"/>
    <w:unhideWhenUsed/>
    <w:pPr>
      <w:spacing w:before="100" w:beforeAutospacing="1" w:after="100" w:afterAutospacing="1"/>
    </w:pPr>
  </w:style>
  <w:style w:type="paragraph" w:styleId="900">
    <w:name w:val="Balloon Text"/>
    <w:basedOn w:val="713"/>
    <w:link w:val="901"/>
    <w:uiPriority w:val="99"/>
    <w:semiHidden/>
    <w:unhideWhenUsed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basedOn w:val="723"/>
    <w:link w:val="90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2">
    <w:name w:val="Placeholder Text"/>
    <w:basedOn w:val="723"/>
    <w:uiPriority w:val="99"/>
    <w:semiHidden/>
    <w:rPr>
      <w:color w:val="808080"/>
    </w:rPr>
  </w:style>
  <w:style w:type="paragraph" w:styleId="903">
    <w:name w:val="List Paragraph"/>
    <w:basedOn w:val="713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4" w:customStyle="1">
    <w:name w:val="Заголовок 8 Знак"/>
    <w:basedOn w:val="723"/>
    <w:link w:val="721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D985D-F804-4B77-B6F6-6DC596A3D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4</cp:revision>
  <dcterms:created xsi:type="dcterms:W3CDTF">2026-01-20T08:06:00Z</dcterms:created>
  <dcterms:modified xsi:type="dcterms:W3CDTF">2026-01-22T09:36:48Z</dcterms:modified>
</cp:coreProperties>
</file>