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о</w:t>
      </w:r>
      <w:r>
        <w:rPr>
          <w:b/>
          <w:color w:val="000000"/>
          <w:szCs w:val="20"/>
        </w:rPr>
        <w:t xml:space="preserve">т</w:t>
      </w:r>
      <w:r>
        <w:rPr>
          <w:b/>
          <w:color w:val="000000"/>
          <w:szCs w:val="20"/>
        </w:rPr>
        <w:t xml:space="preserve"> 19.01.2026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                  </w:t>
      </w:r>
      <w:r>
        <w:rPr>
          <w:b/>
          <w:color w:val="000000"/>
          <w:szCs w:val="20"/>
        </w:rPr>
        <w:t xml:space="preserve">                </w:t>
      </w:r>
      <w:r>
        <w:rPr>
          <w:b/>
          <w:color w:val="000000"/>
          <w:szCs w:val="20"/>
        </w:rPr>
        <w:t xml:space="preserve">                   № 61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</w:t>
      </w:r>
      <w:r>
        <w:rPr>
          <w:b/>
          <w:sz w:val="20"/>
          <w:szCs w:val="20"/>
        </w:rPr>
        <w:t xml:space="preserve">создании </w:t>
      </w:r>
      <w:r>
        <w:rPr>
          <w:b/>
          <w:sz w:val="20"/>
          <w:szCs w:val="20"/>
        </w:rPr>
        <w:t xml:space="preserve">комиссии по оценке эффективности функционирования антимонопольного </w:t>
      </w:r>
      <w:r>
        <w:rPr>
          <w:b/>
          <w:sz w:val="20"/>
          <w:szCs w:val="20"/>
        </w:rPr>
        <w:t xml:space="preserve">комплаенса</w:t>
      </w:r>
      <w:r>
        <w:rPr>
          <w:b/>
          <w:sz w:val="20"/>
          <w:szCs w:val="20"/>
        </w:rPr>
        <w:t xml:space="preserve"> в 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</w:t>
      </w:r>
      <w:r>
        <w:rPr>
          <w:b/>
          <w:sz w:val="20"/>
          <w:szCs w:val="20"/>
        </w:rPr>
        <w:t xml:space="preserve"> и утверждении порядка ее работы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</w:pPr>
      <w:r/>
      <w:r/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</w:pPr>
      <w:r/>
      <w:r/>
    </w:p>
    <w:p>
      <w:pPr>
        <w:ind w:firstLine="709"/>
        <w:jc w:val="both"/>
        <w:tabs>
          <w:tab w:val="left" w:pos="0" w:leader="none"/>
          <w:tab w:val="left" w:pos="284" w:leader="none"/>
          <w:tab w:val="left" w:pos="426" w:leader="none"/>
        </w:tabs>
      </w:pPr>
      <w:r>
        <w:rPr>
          <w:rFonts w:eastAsia="Calibri"/>
          <w:lang w:eastAsia="en-US"/>
        </w:rPr>
        <w:t xml:space="preserve">В соответствии с </w:t>
      </w:r>
      <w:r>
        <w:rPr>
          <w:rFonts w:eastAsia="Calibri"/>
          <w:lang w:eastAsia="en-US"/>
        </w:rPr>
        <w:t xml:space="preserve">постановлением администрации </w:t>
      </w:r>
      <w:r>
        <w:rPr>
          <w:rFonts w:eastAsia="Calibri"/>
          <w:lang w:eastAsia="en-US"/>
        </w:rPr>
        <w:t xml:space="preserve">Печенгского</w:t>
      </w:r>
      <w:r>
        <w:rPr>
          <w:rFonts w:eastAsia="Calibri"/>
          <w:lang w:eastAsia="en-US"/>
        </w:rPr>
        <w:t xml:space="preserve"> муниципального округа от 12.12.2025 № 2105 «</w:t>
      </w:r>
      <w:r>
        <w:t xml:space="preserve">О системе внутреннего обеспечения соответствия требованиям антимонопольного законодательства деятельности администрации </w:t>
      </w:r>
      <w:r>
        <w:t xml:space="preserve">Печенгского</w:t>
      </w:r>
      <w:r>
        <w:t xml:space="preserve"> муниципального округа»</w:t>
      </w:r>
      <w:r>
        <w:rPr>
          <w:rFonts w:eastAsia="Calibri"/>
        </w:rPr>
        <w:t xml:space="preserve">,</w:t>
      </w:r>
      <w:r/>
    </w:p>
    <w:p>
      <w:pPr>
        <w:jc w:val="both"/>
        <w:widowControl w:val="off"/>
        <w:rPr>
          <w:rFonts w:eastAsia="Calibri"/>
          <w:color w:val="000000"/>
          <w:spacing w:val="2"/>
        </w:rPr>
      </w:pPr>
      <w:r>
        <w:rPr>
          <w:rFonts w:eastAsia="Calibri"/>
          <w:color w:val="000000"/>
          <w:spacing w:val="2"/>
        </w:rPr>
      </w:r>
      <w:r>
        <w:rPr>
          <w:rFonts w:eastAsia="Calibri"/>
          <w:color w:val="000000"/>
          <w:spacing w:val="2"/>
        </w:rPr>
      </w:r>
      <w:r>
        <w:rPr>
          <w:rFonts w:eastAsia="Calibri"/>
          <w:color w:val="000000"/>
          <w:spacing w:val="2"/>
        </w:rPr>
      </w:r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widowControl w:val="off"/>
      </w:pPr>
      <w:r/>
      <w:r/>
    </w:p>
    <w:p>
      <w:pPr>
        <w:pStyle w:val="894"/>
        <w:numPr>
          <w:ilvl w:val="0"/>
          <w:numId w:val="44"/>
        </w:numPr>
        <w:ind w:left="0" w:firstLine="709"/>
        <w:jc w:val="both"/>
        <w:tabs>
          <w:tab w:val="left" w:pos="0" w:leader="none"/>
          <w:tab w:val="left" w:pos="993" w:leader="none"/>
          <w:tab w:val="left" w:pos="1560" w:leader="none"/>
        </w:tabs>
      </w:pPr>
      <w:r>
        <w:t xml:space="preserve">Создать комиссию по оценке эффективности функционирования антимонопольного </w:t>
      </w:r>
      <w:r>
        <w:t xml:space="preserve">комплаенса</w:t>
      </w:r>
      <w:r>
        <w:t xml:space="preserve"> в администрации </w:t>
      </w:r>
      <w:r>
        <w:t xml:space="preserve">Печенгского</w:t>
      </w:r>
      <w:r>
        <w:t xml:space="preserve"> муниципального округа.</w:t>
      </w:r>
      <w:r/>
    </w:p>
    <w:p>
      <w:pPr>
        <w:pStyle w:val="894"/>
        <w:numPr>
          <w:ilvl w:val="0"/>
          <w:numId w:val="44"/>
        </w:numPr>
        <w:ind w:left="0" w:firstLine="709"/>
        <w:jc w:val="both"/>
        <w:tabs>
          <w:tab w:val="left" w:pos="0" w:leader="none"/>
          <w:tab w:val="left" w:pos="993" w:leader="none"/>
          <w:tab w:val="left" w:pos="1560" w:leader="none"/>
        </w:tabs>
      </w:pPr>
      <w:r>
        <w:t xml:space="preserve">Утвердить</w:t>
      </w:r>
      <w:r>
        <w:t xml:space="preserve"> </w:t>
      </w:r>
      <w:r>
        <w:t xml:space="preserve">порядок работы </w:t>
      </w:r>
      <w:r>
        <w:t xml:space="preserve">комиссии по оценке эффективности функционирования антимонопольного </w:t>
      </w:r>
      <w:r>
        <w:t xml:space="preserve">комплаенса</w:t>
      </w:r>
      <w:r>
        <w:t xml:space="preserve"> в администрации </w:t>
      </w:r>
      <w:r>
        <w:t xml:space="preserve">Печенгского</w:t>
      </w:r>
      <w:r>
        <w:t xml:space="preserve"> муниципального округа согласно </w:t>
      </w:r>
      <w:r>
        <w:t xml:space="preserve">п</w:t>
      </w:r>
      <w:r>
        <w:t xml:space="preserve">риложению к настоящему постановлению</w:t>
      </w:r>
      <w:r>
        <w:t xml:space="preserve">.</w:t>
      </w:r>
      <w:r/>
    </w:p>
    <w:p>
      <w:pPr>
        <w:pStyle w:val="894"/>
        <w:numPr>
          <w:ilvl w:val="0"/>
          <w:numId w:val="44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rPr>
          <w:rFonts w:eastAsia="Calibri"/>
          <w:lang w:eastAsia="ar-SA"/>
        </w:rPr>
        <w:t xml:space="preserve">Настоящее постановление вступает в силу со дня опубликования</w:t>
      </w:r>
      <w:r>
        <w:rPr>
          <w:rFonts w:eastAsia="Calibri"/>
          <w:lang w:eastAsia="ar-SA"/>
        </w:rPr>
        <w:t xml:space="preserve"> и </w:t>
      </w:r>
      <w:r>
        <w:rPr>
          <w:rFonts w:eastAsia="Calibri"/>
          <w:lang w:eastAsia="ar-SA"/>
        </w:rPr>
        <w:t xml:space="preserve">распространяется на правоотношения, возникшие с 01 января 202</w:t>
      </w:r>
      <w:r>
        <w:rPr>
          <w:rFonts w:eastAsia="Calibri"/>
          <w:lang w:eastAsia="ar-SA"/>
        </w:rPr>
        <w:t xml:space="preserve">6</w:t>
      </w:r>
      <w:r>
        <w:rPr>
          <w:rFonts w:eastAsia="Calibri"/>
          <w:lang w:eastAsia="ar-SA"/>
        </w:rPr>
        <w:t xml:space="preserve"> года.</w:t>
      </w:r>
      <w:r>
        <w:t xml:space="preserve"> </w:t>
      </w:r>
      <w:r/>
    </w:p>
    <w:p>
      <w:pPr>
        <w:pStyle w:val="894"/>
        <w:numPr>
          <w:ilvl w:val="0"/>
          <w:numId w:val="4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Настоящее постановление опубликовать в официальном издании газета «Печенга» и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pPr>
        <w:pStyle w:val="894"/>
        <w:numPr>
          <w:ilvl w:val="0"/>
          <w:numId w:val="44"/>
        </w:numPr>
        <w:contextualSpacing/>
        <w:ind w:left="0" w:firstLine="709"/>
        <w:jc w:val="both"/>
        <w:tabs>
          <w:tab w:val="left" w:pos="567" w:leader="none"/>
          <w:tab w:val="left" w:pos="993" w:leader="none"/>
        </w:tabs>
        <w:rPr>
          <w:color w:val="ff0000"/>
        </w:rPr>
      </w:pPr>
      <w:r>
        <w:t xml:space="preserve">Контроль за</w:t>
      </w:r>
      <w:r>
        <w:t xml:space="preserve"> исполнением настоящего </w:t>
      </w:r>
      <w:r>
        <w:t xml:space="preserve">постановления</w:t>
      </w:r>
      <w:r>
        <w:t xml:space="preserve"> оставляю за собой.</w:t>
      </w:r>
      <w:r>
        <w:rPr>
          <w:color w:val="ff0000"/>
        </w:rPr>
      </w:r>
      <w:r>
        <w:rPr>
          <w:color w:val="ff0000"/>
        </w:rPr>
      </w:r>
    </w:p>
    <w:p>
      <w:pPr>
        <w:pStyle w:val="894"/>
        <w:ind w:left="709"/>
        <w:jc w:val="both"/>
        <w:widowControl w:val="off"/>
        <w:tabs>
          <w:tab w:val="left" w:pos="993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>
        <w:t xml:space="preserve">Глав</w:t>
      </w:r>
      <w:r>
        <w:t xml:space="preserve">а</w:t>
      </w:r>
      <w:r>
        <w:t xml:space="preserve"> </w:t>
      </w:r>
      <w:r>
        <w:t xml:space="preserve">Печенгского</w:t>
      </w:r>
      <w:r>
        <w:t xml:space="preserve"> муниципального округа              </w:t>
      </w:r>
      <w:r>
        <w:t xml:space="preserve">    </w:t>
      </w:r>
      <w:r>
        <w:t xml:space="preserve">                          </w:t>
      </w:r>
      <w:r>
        <w:t xml:space="preserve">   </w:t>
      </w:r>
      <w:r>
        <w:t xml:space="preserve">            </w:t>
      </w:r>
      <w:r>
        <w:t xml:space="preserve">А.В. </w:t>
      </w:r>
      <w:r>
        <w:t xml:space="preserve">Кузнецов</w:t>
      </w:r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bCs/>
          <w:sz w:val="20"/>
          <w:szCs w:val="20"/>
        </w:rPr>
      </w:pPr>
      <w:r>
        <w:rPr>
          <w:sz w:val="20"/>
          <w:szCs w:val="20"/>
        </w:rPr>
        <w:t xml:space="preserve">Ч</w:t>
      </w:r>
      <w:r>
        <w:rPr>
          <w:sz w:val="20"/>
          <w:szCs w:val="20"/>
        </w:rPr>
        <w:t xml:space="preserve">упина</w:t>
      </w:r>
      <w:r>
        <w:rPr>
          <w:sz w:val="20"/>
          <w:szCs w:val="20"/>
        </w:rPr>
        <w:t xml:space="preserve"> Н.В.</w:t>
      </w:r>
      <w:r>
        <w:rPr>
          <w:bCs/>
          <w:sz w:val="20"/>
          <w:szCs w:val="20"/>
        </w:rPr>
        <w:t xml:space="preserve">, 6-</w:t>
      </w:r>
      <w:r>
        <w:rPr>
          <w:bCs/>
          <w:sz w:val="20"/>
          <w:szCs w:val="20"/>
        </w:rPr>
        <w:t xml:space="preserve">20-41</w:t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ind w:left="5529"/>
        <w:jc w:val="both"/>
      </w:pPr>
      <w:r>
        <w:t xml:space="preserve">Приложение</w:t>
      </w:r>
      <w:r/>
    </w:p>
    <w:p>
      <w:pPr>
        <w:ind w:left="5529"/>
        <w:jc w:val="both"/>
      </w:pPr>
      <w:r>
        <w:t xml:space="preserve">к постановлению администрации </w:t>
      </w:r>
      <w:r>
        <w:t xml:space="preserve">Печенгского</w:t>
      </w:r>
      <w:r>
        <w:t xml:space="preserve"> муниципального округа  </w:t>
      </w:r>
      <w:r/>
    </w:p>
    <w:p>
      <w:pPr>
        <w:ind w:left="5529"/>
        <w:jc w:val="both"/>
      </w:pPr>
      <w:r>
        <w:t xml:space="preserve">от </w:t>
      </w:r>
      <w:r>
        <w:t xml:space="preserve">19.01.2026 </w:t>
      </w:r>
      <w:r>
        <w:t xml:space="preserve">№ </w:t>
      </w:r>
      <w:r>
        <w:t xml:space="preserve">61</w:t>
      </w:r>
      <w:r/>
    </w:p>
    <w:p>
      <w:pPr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 </w:t>
      </w: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ind w:firstLine="567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П</w:t>
      </w:r>
      <w:r>
        <w:rPr>
          <w:b/>
          <w:color w:val="000000"/>
        </w:rPr>
        <w:t xml:space="preserve">ОРЯДОК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ind w:firstLine="0"/>
        <w:jc w:val="center"/>
        <w:suppressLineNumbers w:val="0"/>
      </w:pPr>
      <w:r>
        <w:t xml:space="preserve">работы комиссии по оценке эффективности функционирования антимонопольного </w:t>
      </w:r>
      <w:r>
        <w:t xml:space="preserve">комплаенса</w:t>
      </w:r>
      <w:r>
        <w:t xml:space="preserve"> в администрации </w:t>
      </w:r>
      <w:r>
        <w:t xml:space="preserve">Печенгского</w:t>
      </w:r>
      <w:r>
        <w:t xml:space="preserve"> муниципального округа</w:t>
      </w:r>
      <w:r/>
    </w:p>
    <w:p>
      <w:pPr>
        <w:ind w:firstLine="0"/>
        <w:jc w:val="center"/>
        <w:suppressLineNumbers w:val="0"/>
      </w:pPr>
      <w:r/>
      <w:r/>
    </w:p>
    <w:p>
      <w:pPr>
        <w:pStyle w:val="945"/>
        <w:numPr>
          <w:ilvl w:val="0"/>
          <w:numId w:val="45"/>
        </w:numPr>
        <w:ind w:left="0" w:firstLine="0"/>
        <w:jc w:val="center"/>
        <w:rPr>
          <w:rFonts w:ascii="Times New Roman" w:hAnsi="Times New Roman" w:cs="Times New Roman"/>
        </w:rPr>
        <w:outlineLvl w:val="1"/>
        <w:suppressLineNumbers w:val="0"/>
      </w:pPr>
      <w:r>
        <w:rPr>
          <w:rFonts w:ascii="Times New Roman" w:hAnsi="Times New Roman" w:cs="Times New Roman"/>
        </w:rPr>
        <w:t xml:space="preserve">Общие положения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45"/>
        <w:ind w:left="360"/>
        <w:jc w:val="center"/>
        <w:rPr>
          <w:rFonts w:ascii="Times New Roman" w:hAnsi="Times New Roman" w:cs="Times New Roman"/>
          <w:color w:val="ff0000"/>
        </w:rPr>
        <w:outlineLvl w:val="1"/>
      </w:pPr>
      <w:r>
        <w:rPr>
          <w:rFonts w:ascii="Times New Roman" w:hAnsi="Times New Roman" w:cs="Times New Roman"/>
          <w:color w:val="ff0000"/>
        </w:rPr>
      </w:r>
      <w:r>
        <w:rPr>
          <w:rFonts w:ascii="Times New Roman" w:hAnsi="Times New Roman" w:cs="Times New Roman"/>
          <w:color w:val="ff0000"/>
        </w:rPr>
      </w:r>
      <w:r>
        <w:rPr>
          <w:rFonts w:ascii="Times New Roman" w:hAnsi="Times New Roman" w:cs="Times New Roman"/>
          <w:color w:val="ff0000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1.1. </w:t>
      </w:r>
      <w:r>
        <w:rPr>
          <w:rFonts w:ascii="Times New Roman" w:hAnsi="Times New Roman"/>
          <w:sz w:val="24"/>
        </w:rPr>
        <w:t xml:space="preserve">Комиссия</w:t>
      </w:r>
      <w:r>
        <w:rPr>
          <w:rFonts w:ascii="Times New Roman" w:hAnsi="Times New Roman"/>
          <w:sz w:val="24"/>
        </w:rPr>
        <w:t xml:space="preserve"> по оценке эффективности функционирования антимонопольного </w:t>
      </w:r>
      <w:r>
        <w:rPr>
          <w:rFonts w:ascii="Times New Roman" w:hAnsi="Times New Roman"/>
          <w:sz w:val="24"/>
        </w:rPr>
        <w:t xml:space="preserve">комплаенса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в администрации </w:t>
      </w:r>
      <w:r>
        <w:rPr>
          <w:rFonts w:ascii="Times New Roman" w:hAnsi="Times New Roman"/>
          <w:sz w:val="24"/>
        </w:rPr>
        <w:t xml:space="preserve">Печенгского</w:t>
      </w:r>
      <w:r>
        <w:rPr>
          <w:rFonts w:ascii="Times New Roman" w:hAnsi="Times New Roman"/>
          <w:sz w:val="24"/>
        </w:rPr>
        <w:t xml:space="preserve"> муниципального округа </w:t>
      </w:r>
      <w:r>
        <w:rPr>
          <w:rFonts w:ascii="Times New Roman" w:hAnsi="Times New Roman"/>
          <w:sz w:val="24"/>
        </w:rPr>
        <w:t xml:space="preserve">(далее </w:t>
      </w:r>
      <w:r>
        <w:rPr>
          <w:rFonts w:ascii="Times New Roman" w:hAnsi="Times New Roman"/>
          <w:sz w:val="24"/>
        </w:rPr>
        <w:t xml:space="preserve">–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Комиссия</w:t>
      </w:r>
      <w:r>
        <w:rPr>
          <w:rFonts w:ascii="Times New Roman" w:hAnsi="Times New Roman"/>
          <w:sz w:val="24"/>
        </w:rPr>
        <w:t xml:space="preserve">, Администрация</w:t>
      </w:r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sz w:val="24"/>
        </w:rPr>
        <w:t xml:space="preserve">–</w:t>
      </w:r>
      <w:r>
        <w:rPr>
          <w:rFonts w:ascii="Times New Roman" w:hAnsi="Times New Roman"/>
          <w:sz w:val="24"/>
        </w:rPr>
        <w:t xml:space="preserve"> это совещательный орган, созданный </w:t>
      </w:r>
      <w:r>
        <w:rPr>
          <w:rFonts w:ascii="Times New Roman" w:hAnsi="Times New Roman"/>
          <w:sz w:val="24"/>
        </w:rPr>
        <w:t xml:space="preserve">А</w:t>
      </w:r>
      <w:r>
        <w:rPr>
          <w:rFonts w:ascii="Times New Roman" w:hAnsi="Times New Roman"/>
          <w:sz w:val="24"/>
        </w:rPr>
        <w:t xml:space="preserve">дминистрацией, </w:t>
      </w:r>
      <w:r>
        <w:rPr>
          <w:rFonts w:ascii="Times New Roman" w:hAnsi="Times New Roman"/>
          <w:sz w:val="24"/>
          <w:szCs w:val="24"/>
        </w:rPr>
        <w:t xml:space="preserve">осуществляющий оценку эффективности функционирования антимонопольного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1.2. </w:t>
      </w:r>
      <w:r>
        <w:rPr>
          <w:rFonts w:ascii="Times New Roman" w:hAnsi="Times New Roman"/>
          <w:sz w:val="24"/>
        </w:rPr>
        <w:t xml:space="preserve">Комиссия</w:t>
      </w:r>
      <w:r>
        <w:rPr>
          <w:rFonts w:ascii="Times New Roman" w:hAnsi="Times New Roman"/>
          <w:sz w:val="24"/>
        </w:rPr>
        <w:t xml:space="preserve"> в своей деятельности руководствуется </w:t>
      </w:r>
      <w:hyperlink r:id="rId1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 w:history="1">
        <w:r>
          <w:rPr>
            <w:rFonts w:ascii="Times New Roman" w:hAnsi="Times New Roman"/>
            <w:sz w:val="24"/>
          </w:rPr>
          <w:t xml:space="preserve">Конституцией</w:t>
        </w:r>
      </w:hyperlink>
      <w:r>
        <w:rPr>
          <w:rFonts w:ascii="Times New Roman" w:hAnsi="Times New Roman"/>
          <w:sz w:val="24"/>
        </w:rPr>
        <w:t xml:space="preserve"> Российской Федерации, федеральными и региональными законами, нормативными правовыми актами Президента Российской Федерации, Правительства Российской Федерации, Правительства Мурманской области, </w:t>
      </w:r>
      <w:hyperlink r:id="rId11" w:tooltip="Решение Совета депутатов города Мурманска от 02.04.2018 N 45-787 (ред. от 17.11.2023) &quot;Об утверждении Устава муниципального образования город Мурманск и признании утратившими силу отдельных решений Совета депутатов города Мурманска&quot; (Зарегистрировано в Управле" w:history="1">
        <w:r>
          <w:rPr>
            <w:rFonts w:ascii="Times New Roman" w:hAnsi="Times New Roman"/>
            <w:sz w:val="24"/>
          </w:rPr>
          <w:t xml:space="preserve">Уставом</w:t>
        </w:r>
      </w:hyperlink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Печенгского</w:t>
      </w:r>
      <w:r>
        <w:rPr>
          <w:rFonts w:ascii="Times New Roman" w:hAnsi="Times New Roman"/>
          <w:sz w:val="24"/>
        </w:rPr>
        <w:t xml:space="preserve"> муниципального округа Мурманской области</w:t>
      </w:r>
      <w:r>
        <w:rPr>
          <w:rFonts w:ascii="Times New Roman" w:hAnsi="Times New Roman"/>
          <w:sz w:val="24"/>
        </w:rPr>
        <w:t xml:space="preserve">, </w:t>
      </w:r>
      <w:hyperlink r:id="rId12" w:tooltip="Постановление Администрации города Мурманска от 26.04.2019 N 1548 (ред. от 28.05.2019) &quot;О системе внутреннего обеспечения соответствия требованиям антимонопольного законодательства деятельности администрации города Мурманска&quot; (вместе с &quot;Положением о системе вн" w:history="1">
        <w:r>
          <w:rPr>
            <w:rFonts w:ascii="Times New Roman" w:hAnsi="Times New Roman"/>
            <w:sz w:val="24"/>
          </w:rPr>
          <w:t xml:space="preserve">постановлением</w:t>
        </w:r>
      </w:hyperlink>
      <w:r>
        <w:rPr>
          <w:rFonts w:ascii="Times New Roman" w:hAnsi="Times New Roman"/>
          <w:sz w:val="24"/>
        </w:rPr>
        <w:t xml:space="preserve"> администрации 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Печенгского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 муниципального округа от 12.12.2025 № 2105 «</w:t>
      </w:r>
      <w:r>
        <w:rPr>
          <w:rFonts w:ascii="Times New Roman" w:hAnsi="Times New Roman"/>
          <w:sz w:val="24"/>
          <w:szCs w:val="24"/>
        </w:rPr>
        <w:t xml:space="preserve">О системе внутреннего обеспечения соответствия требованиям антимонопольного законодательства деятельности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округа»</w:t>
      </w:r>
      <w:r>
        <w:rPr>
          <w:rFonts w:ascii="Times New Roman" w:hAnsi="Times New Roman"/>
          <w:sz w:val="24"/>
        </w:rPr>
        <w:t xml:space="preserve">, а также настоящим Порядком.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ind w:firstLine="709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</w:r>
      <w:r>
        <w:rPr>
          <w:rFonts w:ascii="Times New Roman" w:hAnsi="Times New Roman"/>
          <w:color w:val="ff0000"/>
        </w:rPr>
      </w:r>
      <w:r>
        <w:rPr>
          <w:rFonts w:ascii="Times New Roman" w:hAnsi="Times New Roman"/>
          <w:color w:val="ff0000"/>
        </w:rPr>
      </w:r>
    </w:p>
    <w:p>
      <w:pPr>
        <w:pStyle w:val="945"/>
        <w:numPr>
          <w:ilvl w:val="0"/>
          <w:numId w:val="45"/>
        </w:numPr>
        <w:ind w:left="0" w:firstLine="0"/>
        <w:jc w:val="center"/>
        <w:rPr>
          <w:rFonts w:ascii="Times New Roman" w:hAnsi="Times New Roman" w:cs="Times New Roman"/>
        </w:rPr>
        <w:outlineLvl w:val="1"/>
        <w:suppressLineNumbers w:val="0"/>
      </w:pPr>
      <w:r>
        <w:rPr>
          <w:rFonts w:ascii="Times New Roman" w:hAnsi="Times New Roman" w:cs="Times New Roman"/>
        </w:rPr>
        <w:t xml:space="preserve">Функции </w:t>
      </w:r>
      <w:r>
        <w:rPr>
          <w:rFonts w:ascii="Times New Roman" w:hAnsi="Times New Roman" w:cs="Times New Roman"/>
        </w:rPr>
        <w:t xml:space="preserve">Комиссии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45"/>
        <w:ind w:left="360" w:firstLine="709"/>
        <w:jc w:val="center"/>
        <w:rPr>
          <w:rFonts w:ascii="Times New Roman" w:hAnsi="Times New Roman" w:cs="Times New Roman"/>
          <w:color w:val="ff0000"/>
        </w:rPr>
        <w:outlineLvl w:val="1"/>
      </w:pPr>
      <w:r>
        <w:rPr>
          <w:rFonts w:ascii="Times New Roman" w:hAnsi="Times New Roman" w:cs="Times New Roman"/>
          <w:color w:val="ff0000"/>
        </w:rPr>
      </w:r>
      <w:r>
        <w:rPr>
          <w:rFonts w:ascii="Times New Roman" w:hAnsi="Times New Roman" w:cs="Times New Roman"/>
          <w:color w:val="ff0000"/>
        </w:rPr>
      </w:r>
      <w:r>
        <w:rPr>
          <w:rFonts w:ascii="Times New Roman" w:hAnsi="Times New Roman" w:cs="Times New Roman"/>
          <w:color w:val="ff0000"/>
        </w:rPr>
      </w:r>
    </w:p>
    <w:p>
      <w:pPr>
        <w:pStyle w:val="934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Комиссия</w:t>
      </w:r>
      <w:r>
        <w:rPr>
          <w:rFonts w:ascii="Times New Roman" w:hAnsi="Times New Roman"/>
          <w:sz w:val="24"/>
        </w:rPr>
        <w:t xml:space="preserve"> осуществляет следующие функции: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934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1) рассмотрение и оценка мероприятий </w:t>
      </w:r>
      <w:r>
        <w:rPr>
          <w:rFonts w:ascii="Times New Roman" w:hAnsi="Times New Roman"/>
          <w:sz w:val="24"/>
        </w:rPr>
        <w:t xml:space="preserve">А</w:t>
      </w:r>
      <w:r>
        <w:rPr>
          <w:rFonts w:ascii="Times New Roman" w:hAnsi="Times New Roman"/>
          <w:sz w:val="24"/>
        </w:rPr>
        <w:t xml:space="preserve">дминистрации в части, касающейся функционирования антимонопольного комплаенса;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934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2) рассмотрение и утверждение доклада об </w:t>
      </w:r>
      <w:r>
        <w:rPr>
          <w:rFonts w:ascii="Times New Roman" w:hAnsi="Times New Roman"/>
          <w:sz w:val="24"/>
        </w:rPr>
        <w:t xml:space="preserve">антимонопольном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комплаенсе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934"/>
        <w:ind w:firstLine="709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</w:r>
      <w:r>
        <w:rPr>
          <w:rFonts w:ascii="Times New Roman" w:hAnsi="Times New Roman"/>
          <w:color w:val="ff0000"/>
        </w:rPr>
      </w:r>
      <w:r>
        <w:rPr>
          <w:rFonts w:ascii="Times New Roman" w:hAnsi="Times New Roman"/>
          <w:color w:val="ff0000"/>
        </w:rPr>
      </w:r>
    </w:p>
    <w:p>
      <w:pPr>
        <w:pStyle w:val="945"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  <w:t xml:space="preserve">3. Порядок работы </w:t>
      </w:r>
      <w:r>
        <w:rPr>
          <w:rFonts w:ascii="Times New Roman" w:hAnsi="Times New Roman" w:cs="Times New Roman"/>
        </w:rPr>
        <w:t xml:space="preserve">Комиссии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34"/>
        <w:jc w:val="center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</w:r>
      <w:r>
        <w:rPr>
          <w:rFonts w:ascii="Times New Roman" w:hAnsi="Times New Roman"/>
          <w:color w:val="ff0000"/>
        </w:rPr>
      </w:r>
      <w:r>
        <w:rPr>
          <w:rFonts w:ascii="Times New Roman" w:hAnsi="Times New Roman"/>
          <w:color w:val="ff0000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3.1. </w:t>
      </w:r>
      <w:r>
        <w:rPr>
          <w:rFonts w:ascii="Times New Roman" w:hAnsi="Times New Roman"/>
          <w:sz w:val="24"/>
        </w:rPr>
        <w:t xml:space="preserve">Комиссия</w:t>
      </w:r>
      <w:r>
        <w:rPr>
          <w:rFonts w:ascii="Times New Roman" w:hAnsi="Times New Roman"/>
          <w:sz w:val="24"/>
        </w:rPr>
        <w:t xml:space="preserve"> образуется в количестве </w:t>
      </w:r>
      <w:r>
        <w:rPr>
          <w:rFonts w:ascii="Times New Roman" w:hAnsi="Times New Roman"/>
          <w:sz w:val="24"/>
        </w:rPr>
        <w:t xml:space="preserve">не менее </w:t>
      </w:r>
      <w:r>
        <w:rPr>
          <w:rFonts w:ascii="Times New Roman" w:hAnsi="Times New Roman"/>
          <w:sz w:val="24"/>
        </w:rPr>
        <w:t xml:space="preserve">7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человек.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Комиссия</w:t>
      </w:r>
      <w:r>
        <w:rPr>
          <w:rFonts w:ascii="Times New Roman" w:hAnsi="Times New Roman"/>
          <w:sz w:val="24"/>
        </w:rPr>
        <w:t xml:space="preserve"> формируется из представителей </w:t>
      </w:r>
      <w:r>
        <w:rPr>
          <w:rFonts w:ascii="Times New Roman" w:hAnsi="Times New Roman"/>
          <w:sz w:val="24"/>
        </w:rPr>
        <w:t xml:space="preserve">А</w:t>
      </w:r>
      <w:r>
        <w:rPr>
          <w:rFonts w:ascii="Times New Roman" w:hAnsi="Times New Roman"/>
          <w:sz w:val="24"/>
        </w:rPr>
        <w:t xml:space="preserve">дминистрации, </w:t>
      </w:r>
      <w:r>
        <w:rPr>
          <w:rFonts w:ascii="Times New Roman" w:hAnsi="Times New Roman"/>
          <w:sz w:val="24"/>
        </w:rPr>
        <w:t xml:space="preserve">учреждений </w:t>
      </w:r>
      <w:r>
        <w:rPr>
          <w:rFonts w:ascii="Times New Roman" w:hAnsi="Times New Roman"/>
          <w:sz w:val="24"/>
        </w:rPr>
        <w:t xml:space="preserve">Печенгского</w:t>
      </w:r>
      <w:r>
        <w:rPr>
          <w:rFonts w:ascii="Times New Roman" w:hAnsi="Times New Roman"/>
          <w:sz w:val="24"/>
        </w:rPr>
        <w:t xml:space="preserve"> муниципального округа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В состав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входит председатель, заместитель председателя и иные члены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Секретарь в состав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не входит.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Функции секретаря Комиссии исполняет муниципальный служащий отдела экономического развития </w:t>
      </w:r>
      <w:r>
        <w:rPr>
          <w:rFonts w:ascii="Times New Roman" w:hAnsi="Times New Roman"/>
          <w:sz w:val="24"/>
        </w:rPr>
        <w:t xml:space="preserve">А</w:t>
      </w:r>
      <w:r>
        <w:rPr>
          <w:rFonts w:ascii="Times New Roman" w:hAnsi="Times New Roman"/>
          <w:sz w:val="24"/>
        </w:rPr>
        <w:t xml:space="preserve">дминистрации </w:t>
      </w:r>
      <w:r>
        <w:rPr>
          <w:rFonts w:ascii="Times New Roman" w:hAnsi="Times New Roman"/>
          <w:sz w:val="24"/>
        </w:rPr>
        <w:t xml:space="preserve">(далее – ОЭР Администрации)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Персональный состав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утверждается постановлением </w:t>
      </w:r>
      <w:r>
        <w:rPr>
          <w:rFonts w:ascii="Times New Roman" w:hAnsi="Times New Roman"/>
          <w:sz w:val="24"/>
        </w:rPr>
        <w:t xml:space="preserve">А</w:t>
      </w:r>
      <w:r>
        <w:rPr>
          <w:rFonts w:ascii="Times New Roman" w:hAnsi="Times New Roman"/>
          <w:sz w:val="24"/>
        </w:rPr>
        <w:t xml:space="preserve">дминистрации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</w:t>
      </w:r>
      <w:bookmarkStart w:id="0" w:name="_GoBack"/>
      <w:r/>
      <w:bookmarkEnd w:id="0"/>
      <w:r>
        <w:rPr>
          <w:rFonts w:ascii="Times New Roman" w:hAnsi="Times New Roman"/>
          <w:sz w:val="24"/>
        </w:rPr>
        <w:t xml:space="preserve">2. Председатель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: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 осуществляет руководство </w:t>
      </w:r>
      <w:r>
        <w:rPr>
          <w:rFonts w:ascii="Times New Roman" w:hAnsi="Times New Roman"/>
          <w:sz w:val="24"/>
        </w:rPr>
        <w:t xml:space="preserve">ее</w:t>
      </w:r>
      <w:r>
        <w:rPr>
          <w:rFonts w:ascii="Times New Roman" w:hAnsi="Times New Roman"/>
          <w:sz w:val="24"/>
        </w:rPr>
        <w:t xml:space="preserve"> деятельностью;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 дает поручения членам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по вопросам, отнесенным к компетенции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 назначает дату, время, место проведения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 согласовывает повестку дня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 ведет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 подписывает протоколы заседаний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В случае отсутствия председателя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его обязанности исполняет заместитель председателя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3.3. Члены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имеют право: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 знакомиться с документами и материалами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, непосредственно касающимися деятельности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 выступать на заседаниях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, вносить предложения по вопросам, входящим в компетенцию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 голосовать на заседаниях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3.4. Секретарь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: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 готовит материалы к заседаниям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 извещает членов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о дате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 рассылает членам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повестку дня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с приложением материалов по вынесенным вопросам;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- ведет протокол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Секретарь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извещает членов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о дате заседания не позднее</w:t>
      </w:r>
      <w:r>
        <w:rPr>
          <w:rFonts w:ascii="Times New Roman" w:hAnsi="Times New Roman"/>
          <w:sz w:val="24"/>
        </w:rPr>
        <w:t xml:space="preserve">,</w:t>
      </w:r>
      <w:r>
        <w:rPr>
          <w:rFonts w:ascii="Times New Roman" w:hAnsi="Times New Roman"/>
          <w:sz w:val="24"/>
        </w:rPr>
        <w:t xml:space="preserve"> чем за три рабочих дня до начала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3.5. Деятельность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осуществляется в форме заседания, на котором рассматриваются вопросы, относящиеся к компетенции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проводятся по мере необходимости, но не реже одного раза в год.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Формой работы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является заседание, проводимое в очной и (или) заочной формах.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3.6. Необходимость проведения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определяет председатель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на основании информации, предоставленной </w:t>
      </w:r>
      <w:r>
        <w:rPr>
          <w:rFonts w:ascii="Times New Roman" w:hAnsi="Times New Roman"/>
          <w:sz w:val="24"/>
        </w:rPr>
        <w:t xml:space="preserve">ОЭР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А</w:t>
      </w:r>
      <w:r>
        <w:rPr>
          <w:rFonts w:ascii="Times New Roman" w:hAnsi="Times New Roman"/>
          <w:sz w:val="24"/>
        </w:rPr>
        <w:t xml:space="preserve">дминистрации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Проект повестки дня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формируется </w:t>
      </w:r>
      <w:r>
        <w:rPr>
          <w:rFonts w:ascii="Times New Roman" w:hAnsi="Times New Roman"/>
          <w:sz w:val="24"/>
        </w:rPr>
        <w:t xml:space="preserve">секретарем Комиссии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 согласовывается с председателем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, а в случае его отсутствия - с заместителем председателя.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Согласованная повестка дня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рассылается членам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с приложением материалов по вынесенным вопросам не позднее</w:t>
      </w:r>
      <w:r>
        <w:rPr>
          <w:rFonts w:ascii="Times New Roman" w:hAnsi="Times New Roman"/>
          <w:sz w:val="24"/>
        </w:rPr>
        <w:t xml:space="preserve">,</w:t>
      </w:r>
      <w:r>
        <w:rPr>
          <w:rFonts w:ascii="Times New Roman" w:hAnsi="Times New Roman"/>
          <w:sz w:val="24"/>
        </w:rPr>
        <w:t xml:space="preserve"> чем за три рабочих дня до начала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3.7. Решение о проведении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в форме заочного голосования (методом письменного опроса членов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) принимает председатель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, а в случае его отсутствия - заместитель председателя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В случае проведения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в заочной форме секретарь </w:t>
      </w:r>
      <w:r>
        <w:rPr>
          <w:rFonts w:ascii="Times New Roman" w:hAnsi="Times New Roman"/>
          <w:sz w:val="24"/>
        </w:rPr>
        <w:t xml:space="preserve">Комиссии </w:t>
      </w:r>
      <w:r>
        <w:rPr>
          <w:rFonts w:ascii="Times New Roman" w:hAnsi="Times New Roman"/>
          <w:sz w:val="24"/>
        </w:rPr>
        <w:t xml:space="preserve">направляет членам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повестку дня заседания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, материалы по вопросам повестки дня, опросный лист, а также информационное письмо с указанием даты окончания срока представления секретарю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заполненного опросного листа.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Члены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в течение срока, указанного в информационном письме, в письменной форме выражают свое мнение по каждому предложенному для рассмотрения вопросу, направив секретарю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заполненные ими опросные листы.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Опросные листы, предоставленные позднее установленного срока, не учитываются при подсчете голосов и определении результатов заочного голосования.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3.8. Заседание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считается правомочным при участии в нем не менее двух третей от общего числа членов соответствующего состава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3.9. Решения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принимаются путем открытого голосования большинством голосов присутствующих на заседании членов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При равенстве голосов членов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голос председателя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является решающим.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3.10. Организационное обеспечение деятельности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 осуществляет </w:t>
      </w:r>
      <w:r>
        <w:rPr>
          <w:rFonts w:ascii="Times New Roman" w:hAnsi="Times New Roman"/>
          <w:sz w:val="24"/>
        </w:rPr>
        <w:t xml:space="preserve">ОЭР А</w:t>
      </w:r>
      <w:r>
        <w:rPr>
          <w:rFonts w:ascii="Times New Roman" w:hAnsi="Times New Roman"/>
          <w:sz w:val="24"/>
        </w:rPr>
        <w:t xml:space="preserve">дминистрации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34"/>
        <w:contextualSpacing/>
        <w:ind w:firstLine="709"/>
        <w:jc w:val="both"/>
        <w:spacing w:before="0" w:beforeAutospacing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3.11. </w:t>
      </w:r>
      <w:r>
        <w:rPr>
          <w:rFonts w:ascii="Times New Roman" w:hAnsi="Times New Roman"/>
          <w:sz w:val="24"/>
        </w:rPr>
        <w:t xml:space="preserve">ОЭР А</w:t>
      </w:r>
      <w:r>
        <w:rPr>
          <w:rFonts w:ascii="Times New Roman" w:hAnsi="Times New Roman"/>
          <w:sz w:val="24"/>
        </w:rPr>
        <w:t xml:space="preserve">дминистрации </w:t>
      </w:r>
      <w:r>
        <w:rPr>
          <w:rFonts w:ascii="Times New Roman" w:hAnsi="Times New Roman"/>
          <w:sz w:val="24"/>
        </w:rPr>
        <w:t xml:space="preserve">осуществляет хранение протоколов заседаний </w:t>
      </w:r>
      <w:r>
        <w:rPr>
          <w:rFonts w:ascii="Times New Roman" w:hAnsi="Times New Roman"/>
          <w:sz w:val="24"/>
        </w:rPr>
        <w:t xml:space="preserve">Комиссии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left="5529"/>
        <w:jc w:val="both"/>
      </w:pPr>
      <w:r/>
      <w:r/>
    </w:p>
    <w:p>
      <w:pPr>
        <w:ind w:left="5529"/>
        <w:jc w:val="both"/>
      </w:pPr>
      <w:r/>
      <w:r/>
    </w:p>
    <w:sectPr>
      <w:footnotePr/>
      <w:endnotePr/>
      <w:type w:val="nextPage"/>
      <w:pgSz w:w="11906" w:h="16838" w:orient="portrait"/>
      <w:pgMar w:top="1134" w:right="70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40"/>
      </w:pPr>
      <w:r>
        <w:separator/>
      </w:r>
      <w:r/>
    </w:p>
  </w:footnote>
  <w:footnote w:type="continuationSeparator" w:id="0">
    <w:p>
      <w:pPr>
        <w:pStyle w:val="94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89" w:hanging="1800"/>
      </w:pPr>
      <w:rPr>
        <w:rFonts w:hint="default"/>
      </w:rPr>
    </w:lvl>
  </w:abstractNum>
  <w:abstractNum w:abstractNumId="2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3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32"/>
  </w:num>
  <w:num w:numId="2">
    <w:abstractNumId w:val="33"/>
  </w:num>
  <w:num w:numId="3">
    <w:abstractNumId w:val="30"/>
  </w:num>
  <w:num w:numId="4">
    <w:abstractNumId w:val="3"/>
  </w:num>
  <w:num w:numId="5">
    <w:abstractNumId w:val="29"/>
  </w:num>
  <w:num w:numId="6">
    <w:abstractNumId w:val="22"/>
  </w:num>
  <w:num w:numId="7">
    <w:abstractNumId w:val="5"/>
  </w:num>
  <w:num w:numId="8">
    <w:abstractNumId w:val="25"/>
  </w:num>
  <w:num w:numId="9">
    <w:abstractNumId w:val="6"/>
  </w:num>
  <w:num w:numId="10">
    <w:abstractNumId w:val="35"/>
  </w:num>
  <w:num w:numId="11">
    <w:abstractNumId w:val="28"/>
  </w:num>
  <w:num w:numId="12">
    <w:abstractNumId w:val="0"/>
  </w:num>
  <w:num w:numId="13">
    <w:abstractNumId w:val="13"/>
  </w:num>
  <w:num w:numId="14">
    <w:abstractNumId w:val="23"/>
  </w:num>
  <w:num w:numId="15">
    <w:abstractNumId w:val="44"/>
  </w:num>
  <w:num w:numId="16">
    <w:abstractNumId w:val="20"/>
  </w:num>
  <w:num w:numId="17">
    <w:abstractNumId w:val="4"/>
  </w:num>
  <w:num w:numId="18">
    <w:abstractNumId w:val="21"/>
  </w:num>
  <w:num w:numId="19">
    <w:abstractNumId w:val="15"/>
  </w:num>
  <w:num w:numId="20">
    <w:abstractNumId w:val="18"/>
  </w:num>
  <w:num w:numId="21">
    <w:abstractNumId w:val="31"/>
  </w:num>
  <w:num w:numId="22">
    <w:abstractNumId w:val="16"/>
  </w:num>
  <w:num w:numId="23">
    <w:abstractNumId w:val="14"/>
  </w:num>
  <w:num w:numId="24">
    <w:abstractNumId w:val="2"/>
  </w:num>
  <w:num w:numId="25">
    <w:abstractNumId w:val="38"/>
  </w:num>
  <w:num w:numId="26">
    <w:abstractNumId w:val="9"/>
  </w:num>
  <w:num w:numId="27">
    <w:abstractNumId w:val="41"/>
  </w:num>
  <w:num w:numId="28">
    <w:abstractNumId w:val="1"/>
  </w:num>
  <w:num w:numId="29">
    <w:abstractNumId w:val="12"/>
  </w:num>
  <w:num w:numId="30">
    <w:abstractNumId w:val="40"/>
  </w:num>
  <w:num w:numId="31">
    <w:abstractNumId w:val="43"/>
  </w:num>
  <w:num w:numId="32">
    <w:abstractNumId w:val="34"/>
  </w:num>
  <w:num w:numId="33">
    <w:abstractNumId w:val="27"/>
  </w:num>
  <w:num w:numId="34">
    <w:abstractNumId w:val="26"/>
  </w:num>
  <w:num w:numId="35">
    <w:abstractNumId w:val="19"/>
  </w:num>
  <w:num w:numId="36">
    <w:abstractNumId w:val="10"/>
  </w:num>
  <w:num w:numId="37">
    <w:abstractNumId w:val="7"/>
  </w:num>
  <w:num w:numId="38">
    <w:abstractNumId w:val="8"/>
  </w:num>
  <w:num w:numId="39">
    <w:abstractNumId w:val="11"/>
  </w:num>
  <w:num w:numId="40">
    <w:abstractNumId w:val="36"/>
  </w:num>
  <w:num w:numId="41">
    <w:abstractNumId w:val="39"/>
  </w:num>
  <w:num w:numId="42">
    <w:abstractNumId w:val="17"/>
  </w:num>
  <w:num w:numId="43">
    <w:abstractNumId w:val="42"/>
  </w:num>
  <w:num w:numId="44">
    <w:abstractNumId w:val="37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4">
    <w:name w:val="Heading 1 Char"/>
    <w:basedOn w:val="891"/>
    <w:link w:val="882"/>
    <w:uiPriority w:val="9"/>
    <w:rPr>
      <w:rFonts w:ascii="Arial" w:hAnsi="Arial" w:eastAsia="Arial" w:cs="Arial"/>
      <w:sz w:val="40"/>
      <w:szCs w:val="40"/>
    </w:rPr>
  </w:style>
  <w:style w:type="character" w:styleId="745">
    <w:name w:val="Heading 2 Char"/>
    <w:basedOn w:val="891"/>
    <w:link w:val="883"/>
    <w:uiPriority w:val="9"/>
    <w:rPr>
      <w:rFonts w:ascii="Arial" w:hAnsi="Arial" w:eastAsia="Arial" w:cs="Arial"/>
      <w:sz w:val="34"/>
    </w:rPr>
  </w:style>
  <w:style w:type="character" w:styleId="746">
    <w:name w:val="Heading 3 Char"/>
    <w:basedOn w:val="891"/>
    <w:link w:val="884"/>
    <w:uiPriority w:val="9"/>
    <w:rPr>
      <w:rFonts w:ascii="Arial" w:hAnsi="Arial" w:eastAsia="Arial" w:cs="Arial"/>
      <w:sz w:val="30"/>
      <w:szCs w:val="30"/>
    </w:rPr>
  </w:style>
  <w:style w:type="character" w:styleId="747">
    <w:name w:val="Heading 4 Char"/>
    <w:basedOn w:val="891"/>
    <w:link w:val="885"/>
    <w:uiPriority w:val="9"/>
    <w:rPr>
      <w:rFonts w:ascii="Arial" w:hAnsi="Arial" w:eastAsia="Arial" w:cs="Arial"/>
      <w:b/>
      <w:bCs/>
      <w:sz w:val="26"/>
      <w:szCs w:val="26"/>
    </w:rPr>
  </w:style>
  <w:style w:type="character" w:styleId="748">
    <w:name w:val="Heading 5 Char"/>
    <w:basedOn w:val="891"/>
    <w:link w:val="886"/>
    <w:uiPriority w:val="9"/>
    <w:rPr>
      <w:rFonts w:ascii="Arial" w:hAnsi="Arial" w:eastAsia="Arial" w:cs="Arial"/>
      <w:b/>
      <w:bCs/>
      <w:sz w:val="24"/>
      <w:szCs w:val="24"/>
    </w:rPr>
  </w:style>
  <w:style w:type="character" w:styleId="749">
    <w:name w:val="Heading 6 Char"/>
    <w:basedOn w:val="891"/>
    <w:link w:val="887"/>
    <w:uiPriority w:val="9"/>
    <w:rPr>
      <w:rFonts w:ascii="Arial" w:hAnsi="Arial" w:eastAsia="Arial" w:cs="Arial"/>
      <w:b/>
      <w:bCs/>
      <w:sz w:val="22"/>
      <w:szCs w:val="22"/>
    </w:rPr>
  </w:style>
  <w:style w:type="character" w:styleId="750">
    <w:name w:val="Heading 7 Char"/>
    <w:basedOn w:val="891"/>
    <w:link w:val="8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8 Char"/>
    <w:basedOn w:val="891"/>
    <w:link w:val="889"/>
    <w:uiPriority w:val="9"/>
    <w:rPr>
      <w:rFonts w:ascii="Arial" w:hAnsi="Arial" w:eastAsia="Arial" w:cs="Arial"/>
      <w:i/>
      <w:iCs/>
      <w:sz w:val="22"/>
      <w:szCs w:val="22"/>
    </w:rPr>
  </w:style>
  <w:style w:type="character" w:styleId="752">
    <w:name w:val="Heading 9 Char"/>
    <w:basedOn w:val="891"/>
    <w:link w:val="890"/>
    <w:uiPriority w:val="9"/>
    <w:rPr>
      <w:rFonts w:ascii="Arial" w:hAnsi="Arial" w:eastAsia="Arial" w:cs="Arial"/>
      <w:i/>
      <w:iCs/>
      <w:sz w:val="21"/>
      <w:szCs w:val="21"/>
    </w:rPr>
  </w:style>
  <w:style w:type="character" w:styleId="753">
    <w:name w:val="Title Char"/>
    <w:basedOn w:val="891"/>
    <w:link w:val="896"/>
    <w:uiPriority w:val="10"/>
    <w:rPr>
      <w:sz w:val="48"/>
      <w:szCs w:val="48"/>
    </w:rPr>
  </w:style>
  <w:style w:type="character" w:styleId="754">
    <w:name w:val="Subtitle Char"/>
    <w:basedOn w:val="891"/>
    <w:link w:val="897"/>
    <w:uiPriority w:val="11"/>
    <w:rPr>
      <w:sz w:val="24"/>
      <w:szCs w:val="24"/>
    </w:rPr>
  </w:style>
  <w:style w:type="character" w:styleId="755">
    <w:name w:val="Quote Char"/>
    <w:link w:val="898"/>
    <w:uiPriority w:val="29"/>
    <w:rPr>
      <w:i/>
    </w:rPr>
  </w:style>
  <w:style w:type="character" w:styleId="756">
    <w:name w:val="Intense Quote Char"/>
    <w:link w:val="899"/>
    <w:uiPriority w:val="30"/>
    <w:rPr>
      <w:i/>
    </w:rPr>
  </w:style>
  <w:style w:type="character" w:styleId="757">
    <w:name w:val="Header Char"/>
    <w:basedOn w:val="891"/>
    <w:link w:val="900"/>
    <w:uiPriority w:val="99"/>
  </w:style>
  <w:style w:type="character" w:styleId="758">
    <w:name w:val="Footer Char"/>
    <w:basedOn w:val="891"/>
    <w:link w:val="901"/>
    <w:uiPriority w:val="99"/>
  </w:style>
  <w:style w:type="paragraph" w:styleId="759">
    <w:name w:val="Caption"/>
    <w:basedOn w:val="881"/>
    <w:next w:val="88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0">
    <w:name w:val="Caption Char"/>
    <w:basedOn w:val="759"/>
    <w:link w:val="901"/>
    <w:uiPriority w:val="99"/>
  </w:style>
  <w:style w:type="table" w:styleId="761">
    <w:name w:val="Table Grid Light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>
    <w:name w:val="Plain Table 1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>
    <w:name w:val="Plain Table 2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4">
    <w:name w:val="Plain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5">
    <w:name w:val="Plain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Plain Table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7">
    <w:name w:val="Grid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9">
    <w:name w:val="Grid Table 4 - Accent 1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0">
    <w:name w:val="Grid Table 4 - Accent 2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Grid Table 4 - Accent 3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2">
    <w:name w:val="Grid Table 4 - Accent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Grid Table 4 - Accent 5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4">
    <w:name w:val="Grid Table 4 - Accent 6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5">
    <w:name w:val="Grid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2">
    <w:name w:val="Grid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3">
    <w:name w:val="Grid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4">
    <w:name w:val="Grid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5">
    <w:name w:val="Grid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6">
    <w:name w:val="Grid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7">
    <w:name w:val="Grid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8">
    <w:name w:val="Grid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9">
    <w:name w:val="Grid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4">
    <w:name w:val="List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5">
    <w:name w:val="List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6">
    <w:name w:val="List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7">
    <w:name w:val="List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8">
    <w:name w:val="List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9">
    <w:name w:val="List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0">
    <w:name w:val="List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2">
    <w:name w:val="List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3">
    <w:name w:val="List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4">
    <w:name w:val="List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5">
    <w:name w:val="List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6">
    <w:name w:val="List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7">
    <w:name w:val="List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8">
    <w:name w:val="List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9">
    <w:name w:val="List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0">
    <w:name w:val="List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1">
    <w:name w:val="List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2">
    <w:name w:val="List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3">
    <w:name w:val="List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4">
    <w:name w:val="List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5">
    <w:name w:val="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6">
    <w:name w:val="Bordered &amp; 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867">
    <w:name w:val="endnote text"/>
    <w:basedOn w:val="881"/>
    <w:link w:val="868"/>
    <w:uiPriority w:val="99"/>
    <w:semiHidden/>
    <w:unhideWhenUsed/>
    <w:pPr>
      <w:spacing w:after="0" w:line="240" w:lineRule="auto"/>
    </w:pPr>
    <w:rPr>
      <w:sz w:val="20"/>
    </w:rPr>
  </w:style>
  <w:style w:type="character" w:styleId="868">
    <w:name w:val="Endnote Text Char"/>
    <w:link w:val="867"/>
    <w:uiPriority w:val="99"/>
    <w:rPr>
      <w:sz w:val="20"/>
    </w:rPr>
  </w:style>
  <w:style w:type="character" w:styleId="869">
    <w:name w:val="endnote reference"/>
    <w:basedOn w:val="891"/>
    <w:uiPriority w:val="99"/>
    <w:semiHidden/>
    <w:unhideWhenUsed/>
    <w:rPr>
      <w:vertAlign w:val="superscript"/>
    </w:rPr>
  </w:style>
  <w:style w:type="paragraph" w:styleId="870">
    <w:name w:val="toc 1"/>
    <w:basedOn w:val="881"/>
    <w:next w:val="881"/>
    <w:uiPriority w:val="39"/>
    <w:unhideWhenUsed/>
    <w:pPr>
      <w:ind w:left="0" w:right="0" w:firstLine="0"/>
      <w:spacing w:after="57"/>
    </w:pPr>
  </w:style>
  <w:style w:type="paragraph" w:styleId="871">
    <w:name w:val="toc 2"/>
    <w:basedOn w:val="881"/>
    <w:next w:val="881"/>
    <w:uiPriority w:val="39"/>
    <w:unhideWhenUsed/>
    <w:pPr>
      <w:ind w:left="283" w:right="0" w:firstLine="0"/>
      <w:spacing w:after="57"/>
    </w:pPr>
  </w:style>
  <w:style w:type="paragraph" w:styleId="872">
    <w:name w:val="toc 3"/>
    <w:basedOn w:val="881"/>
    <w:next w:val="881"/>
    <w:uiPriority w:val="39"/>
    <w:unhideWhenUsed/>
    <w:pPr>
      <w:ind w:left="567" w:right="0" w:firstLine="0"/>
      <w:spacing w:after="57"/>
    </w:pPr>
  </w:style>
  <w:style w:type="paragraph" w:styleId="873">
    <w:name w:val="toc 4"/>
    <w:basedOn w:val="881"/>
    <w:next w:val="881"/>
    <w:uiPriority w:val="39"/>
    <w:unhideWhenUsed/>
    <w:pPr>
      <w:ind w:left="850" w:right="0" w:firstLine="0"/>
      <w:spacing w:after="57"/>
    </w:pPr>
  </w:style>
  <w:style w:type="paragraph" w:styleId="874">
    <w:name w:val="toc 5"/>
    <w:basedOn w:val="881"/>
    <w:next w:val="881"/>
    <w:uiPriority w:val="39"/>
    <w:unhideWhenUsed/>
    <w:pPr>
      <w:ind w:left="1134" w:right="0" w:firstLine="0"/>
      <w:spacing w:after="57"/>
    </w:pPr>
  </w:style>
  <w:style w:type="paragraph" w:styleId="875">
    <w:name w:val="toc 6"/>
    <w:basedOn w:val="881"/>
    <w:next w:val="881"/>
    <w:uiPriority w:val="39"/>
    <w:unhideWhenUsed/>
    <w:pPr>
      <w:ind w:left="1417" w:right="0" w:firstLine="0"/>
      <w:spacing w:after="57"/>
    </w:pPr>
  </w:style>
  <w:style w:type="paragraph" w:styleId="876">
    <w:name w:val="toc 7"/>
    <w:basedOn w:val="881"/>
    <w:next w:val="881"/>
    <w:uiPriority w:val="39"/>
    <w:unhideWhenUsed/>
    <w:pPr>
      <w:ind w:left="1701" w:right="0" w:firstLine="0"/>
      <w:spacing w:after="57"/>
    </w:pPr>
  </w:style>
  <w:style w:type="paragraph" w:styleId="877">
    <w:name w:val="toc 8"/>
    <w:basedOn w:val="881"/>
    <w:next w:val="881"/>
    <w:uiPriority w:val="39"/>
    <w:unhideWhenUsed/>
    <w:pPr>
      <w:ind w:left="1984" w:right="0" w:firstLine="0"/>
      <w:spacing w:after="57"/>
    </w:pPr>
  </w:style>
  <w:style w:type="paragraph" w:styleId="878">
    <w:name w:val="toc 9"/>
    <w:basedOn w:val="881"/>
    <w:next w:val="881"/>
    <w:uiPriority w:val="39"/>
    <w:unhideWhenUsed/>
    <w:pPr>
      <w:ind w:left="2268" w:right="0" w:firstLine="0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881"/>
    <w:next w:val="881"/>
    <w:uiPriority w:val="99"/>
    <w:unhideWhenUsed/>
    <w:pPr>
      <w:spacing w:after="0" w:afterAutospacing="0"/>
    </w:pPr>
  </w:style>
  <w:style w:type="paragraph" w:styleId="881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882">
    <w:name w:val="Heading 1"/>
    <w:basedOn w:val="881"/>
    <w:next w:val="8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883">
    <w:name w:val="Heading 2"/>
    <w:basedOn w:val="881"/>
    <w:next w:val="881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884">
    <w:name w:val="Heading 3"/>
    <w:basedOn w:val="881"/>
    <w:next w:val="881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885">
    <w:name w:val="Heading 4"/>
    <w:basedOn w:val="881"/>
    <w:next w:val="881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886">
    <w:name w:val="Heading 5"/>
    <w:basedOn w:val="881"/>
    <w:next w:val="881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887">
    <w:name w:val="Heading 6"/>
    <w:basedOn w:val="881"/>
    <w:next w:val="88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888">
    <w:name w:val="Heading 7"/>
    <w:basedOn w:val="881"/>
    <w:next w:val="881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889">
    <w:name w:val="Heading 8"/>
    <w:basedOn w:val="881"/>
    <w:next w:val="88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890">
    <w:name w:val="Heading 9"/>
    <w:basedOn w:val="881"/>
    <w:next w:val="881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891" w:default="1">
    <w:name w:val="Default Paragraph Font"/>
    <w:uiPriority w:val="1"/>
    <w:semiHidden/>
    <w:unhideWhenUsed/>
  </w:style>
  <w:style w:type="table" w:styleId="8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3" w:default="1">
    <w:name w:val="No List"/>
    <w:uiPriority w:val="99"/>
    <w:semiHidden/>
    <w:unhideWhenUsed/>
  </w:style>
  <w:style w:type="paragraph" w:styleId="894">
    <w:name w:val="List Paragraph"/>
    <w:basedOn w:val="881"/>
    <w:uiPriority w:val="34"/>
    <w:qFormat/>
    <w:pPr>
      <w:ind w:left="720"/>
    </w:pPr>
  </w:style>
  <w:style w:type="paragraph" w:styleId="895">
    <w:name w:val="No Spacing"/>
    <w:basedOn w:val="881"/>
    <w:uiPriority w:val="1"/>
    <w:qFormat/>
    <w:rPr>
      <w:color w:val="000000"/>
    </w:rPr>
  </w:style>
  <w:style w:type="paragraph" w:styleId="896">
    <w:name w:val="Title"/>
    <w:basedOn w:val="881"/>
    <w:next w:val="881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97">
    <w:name w:val="Subtitle"/>
    <w:basedOn w:val="881"/>
    <w:next w:val="881"/>
    <w:uiPriority w:val="11"/>
    <w:qFormat/>
    <w:rPr>
      <w:i/>
      <w:color w:val="444444"/>
      <w:sz w:val="52"/>
    </w:rPr>
  </w:style>
  <w:style w:type="paragraph" w:styleId="898">
    <w:name w:val="Quote"/>
    <w:basedOn w:val="881"/>
    <w:next w:val="881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99">
    <w:name w:val="Intense Quote"/>
    <w:basedOn w:val="881"/>
    <w:next w:val="881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00">
    <w:name w:val="Header"/>
    <w:basedOn w:val="88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01">
    <w:name w:val="Footer"/>
    <w:basedOn w:val="88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02">
    <w:name w:val="Table Grid"/>
    <w:basedOn w:val="892"/>
    <w:rPr>
      <w:rFonts w:ascii="Times New Roman" w:hAnsi="Times New Roman" w:eastAsia="Times New Roman"/>
      <w:szCs w:val="20"/>
    </w:rPr>
    <w:tblPr/>
  </w:style>
  <w:style w:type="table" w:styleId="903" w:customStyle="1">
    <w:name w:val="Lined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04" w:customStyle="1">
    <w:name w:val="Lined - Accent 1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05" w:customStyle="1">
    <w:name w:val="Lined - Accent 2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06" w:customStyle="1">
    <w:name w:val="Lined - Accent 3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07" w:customStyle="1">
    <w:name w:val="Lined - Accent 4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08" w:customStyle="1">
    <w:name w:val="Lined - Accent 5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09" w:customStyle="1">
    <w:name w:val="Lined - Accent 6"/>
    <w:basedOn w:val="89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10" w:customStyle="1">
    <w:name w:val="Bordered"/>
    <w:basedOn w:val="892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11" w:customStyle="1">
    <w:name w:val="Bordered - Accent 1"/>
    <w:basedOn w:val="892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12" w:customStyle="1">
    <w:name w:val="Bordered - Accent 2"/>
    <w:basedOn w:val="892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13" w:customStyle="1">
    <w:name w:val="Bordered - Accent 3"/>
    <w:basedOn w:val="892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14" w:customStyle="1">
    <w:name w:val="Bordered - Accent 4"/>
    <w:basedOn w:val="892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15" w:customStyle="1">
    <w:name w:val="Bordered - Accent 5"/>
    <w:basedOn w:val="892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16" w:customStyle="1">
    <w:name w:val="Bordered - Accent 6"/>
    <w:basedOn w:val="892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17" w:customStyle="1">
    <w:name w:val="Bordered &amp; Lined"/>
    <w:basedOn w:val="892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18" w:customStyle="1">
    <w:name w:val="Bordered &amp; Lined - Accent 1"/>
    <w:basedOn w:val="892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19" w:customStyle="1">
    <w:name w:val="Bordered &amp; Lined - Accent 2"/>
    <w:basedOn w:val="892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0" w:customStyle="1">
    <w:name w:val="Bordered &amp; Lined - Accent 3"/>
    <w:basedOn w:val="892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21" w:customStyle="1">
    <w:name w:val="Bordered &amp; Lined - Accent 4"/>
    <w:basedOn w:val="892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2" w:customStyle="1">
    <w:name w:val="Bordered &amp; Lined - Accent 5"/>
    <w:basedOn w:val="892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3" w:customStyle="1">
    <w:name w:val="Bordered &amp; Lined - Accent 6"/>
    <w:basedOn w:val="892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24">
    <w:name w:val="Hyperlink"/>
    <w:semiHidden/>
    <w:rPr>
      <w:color w:val="0000ff"/>
      <w:u w:val="single"/>
    </w:rPr>
  </w:style>
  <w:style w:type="paragraph" w:styleId="925">
    <w:name w:val="footnote text"/>
    <w:basedOn w:val="881"/>
    <w:uiPriority w:val="99"/>
    <w:semiHidden/>
    <w:unhideWhenUsed/>
    <w:rPr>
      <w:sz w:val="20"/>
    </w:rPr>
  </w:style>
  <w:style w:type="character" w:styleId="926" w:customStyle="1">
    <w:name w:val="Footnote Text Char"/>
    <w:basedOn w:val="891"/>
    <w:uiPriority w:val="99"/>
    <w:semiHidden/>
    <w:rPr>
      <w:sz w:val="20"/>
    </w:rPr>
  </w:style>
  <w:style w:type="character" w:styleId="927">
    <w:name w:val="footnote reference"/>
    <w:basedOn w:val="891"/>
    <w:uiPriority w:val="99"/>
    <w:semiHidden/>
    <w:unhideWhenUsed/>
    <w:rPr>
      <w:vertAlign w:val="superscript"/>
    </w:rPr>
  </w:style>
  <w:style w:type="paragraph" w:styleId="928">
    <w:name w:val="Balloon Text"/>
    <w:basedOn w:val="881"/>
    <w:semiHidden/>
    <w:rPr>
      <w:rFonts w:ascii="Tahoma" w:hAnsi="Tahoma"/>
      <w:sz w:val="16"/>
      <w:szCs w:val="16"/>
    </w:rPr>
  </w:style>
  <w:style w:type="character" w:styleId="929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30">
    <w:name w:val="Normal (Web)"/>
    <w:basedOn w:val="881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31" w:customStyle="1">
    <w:name w:val="МОН Знак"/>
    <w:rPr>
      <w:sz w:val="24"/>
      <w:szCs w:val="24"/>
    </w:rPr>
  </w:style>
  <w:style w:type="paragraph" w:styleId="932" w:customStyle="1">
    <w:name w:val="МОН"/>
    <w:basedOn w:val="881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33">
    <w:name w:val="Strong"/>
    <w:rPr>
      <w:b/>
      <w:bCs/>
    </w:rPr>
  </w:style>
  <w:style w:type="paragraph" w:styleId="934" w:customStyle="1">
    <w:name w:val="ConsPlusNormal"/>
    <w:link w:val="944"/>
    <w:pPr>
      <w:ind w:firstLine="720"/>
    </w:pPr>
    <w:rPr>
      <w:rFonts w:ascii="Arial" w:hAnsi="Arial" w:eastAsia="Times New Roman"/>
      <w:lang w:eastAsia="ru-RU" w:bidi="ar-SA"/>
    </w:rPr>
  </w:style>
  <w:style w:type="paragraph" w:styleId="935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36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37">
    <w:name w:val="Body Text 2"/>
    <w:basedOn w:val="881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38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39" w:customStyle="1">
    <w:name w:val="GenStyleDefNum"/>
  </w:style>
  <w:style w:type="paragraph" w:styleId="940" w:customStyle="1">
    <w:name w:val="GenStyleDefPar"/>
  </w:style>
  <w:style w:type="table" w:styleId="941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42" w:customStyle="1">
    <w:name w:val="docdata"/>
    <w:basedOn w:val="88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43" w:customStyle="1">
    <w:name w:val="extended-text__short"/>
    <w:basedOn w:val="891"/>
  </w:style>
  <w:style w:type="character" w:styleId="944" w:customStyle="1">
    <w:name w:val="ConsPlusNormal Знак"/>
    <w:link w:val="934"/>
    <w:rPr>
      <w:rFonts w:ascii="Arial" w:hAnsi="Arial" w:eastAsia="Times New Roman"/>
      <w:lang w:eastAsia="ru-RU" w:bidi="ar-SA"/>
    </w:rPr>
  </w:style>
  <w:style w:type="paragraph" w:styleId="945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 w:eastAsiaTheme="minorEastAsia"/>
      <w:b/>
      <w:bCs/>
      <w:sz w:val="24"/>
      <w:szCs w:val="24"/>
      <w:lang w:eastAsia="ru-RU" w:bidi="ar-SA"/>
    </w:rPr>
  </w:style>
  <w:style w:type="character" w:styleId="946">
    <w:name w:val="Placeholder Text"/>
    <w:basedOn w:val="891"/>
    <w:uiPriority w:val="99"/>
    <w:semiHidden/>
    <w:rPr>
      <w:color w:val="808080"/>
    </w:rPr>
  </w:style>
  <w:style w:type="paragraph" w:styleId="947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eastAsia="Times New Roman" w:cs="Courier New"/>
      <w:szCs w:val="20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login.consultant.ru/link/?req=doc&amp;base=LAW&amp;n=2875&amp;date=16.01.2026" TargetMode="External"/><Relationship Id="rId11" Type="http://schemas.openxmlformats.org/officeDocument/2006/relationships/hyperlink" Target="https://login.consultant.ru/link/?req=doc&amp;base=RLAW087&amp;n=133855&amp;date=16.01.2026&amp;dst=101252&amp;field=134" TargetMode="External"/><Relationship Id="rId12" Type="http://schemas.openxmlformats.org/officeDocument/2006/relationships/hyperlink" Target="https://login.consultant.ru/link/?req=doc&amp;base=RLAW087&amp;n=92639&amp;date=16.01.202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7</cp:revision>
  <dcterms:created xsi:type="dcterms:W3CDTF">2026-01-19T05:33:00Z</dcterms:created>
  <dcterms:modified xsi:type="dcterms:W3CDTF">2026-01-27T08:44:33Z</dcterms:modified>
</cp:coreProperties>
</file>