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о</w:t>
      </w:r>
      <w:r>
        <w:rPr>
          <w:b/>
          <w:color w:val="000000"/>
          <w:szCs w:val="20"/>
        </w:rPr>
        <w:t xml:space="preserve">т</w:t>
      </w:r>
      <w:r>
        <w:rPr>
          <w:b/>
          <w:color w:val="000000"/>
          <w:szCs w:val="20"/>
        </w:rPr>
        <w:t xml:space="preserve"> 21.01.2026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                  </w:t>
      </w:r>
      <w:r>
        <w:rPr>
          <w:b/>
          <w:color w:val="000000"/>
          <w:szCs w:val="20"/>
        </w:rPr>
        <w:t xml:space="preserve">                                   </w:t>
      </w:r>
      <w:r>
        <w:rPr>
          <w:b/>
          <w:color w:val="000000"/>
          <w:szCs w:val="20"/>
        </w:rPr>
        <w:t xml:space="preserve">№ 89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б утверждении состава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комиссии по оценке эффективности функционирования антимонопольного </w:t>
      </w:r>
      <w:r>
        <w:rPr>
          <w:b/>
          <w:sz w:val="20"/>
          <w:szCs w:val="20"/>
        </w:rPr>
        <w:t xml:space="preserve">комплаенса</w:t>
      </w:r>
      <w:r>
        <w:rPr>
          <w:b/>
          <w:sz w:val="20"/>
          <w:szCs w:val="20"/>
        </w:rPr>
        <w:t xml:space="preserve"> в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</w:pPr>
      <w:r/>
      <w:r/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</w:pPr>
      <w:r>
        <w:rPr>
          <w:rFonts w:eastAsia="Calibri"/>
          <w:lang w:eastAsia="en-US"/>
        </w:rPr>
        <w:t xml:space="preserve">В соответствии с </w:t>
      </w:r>
      <w:r>
        <w:rPr>
          <w:rFonts w:eastAsia="Calibri"/>
          <w:lang w:eastAsia="en-US"/>
        </w:rPr>
        <w:t xml:space="preserve">постановлением администрации </w:t>
      </w:r>
      <w:r>
        <w:rPr>
          <w:rFonts w:eastAsia="Calibri"/>
          <w:lang w:eastAsia="en-US"/>
        </w:rPr>
        <w:t xml:space="preserve">Печенгского</w:t>
      </w:r>
      <w:r>
        <w:rPr>
          <w:rFonts w:eastAsia="Calibri"/>
          <w:lang w:eastAsia="en-US"/>
        </w:rPr>
        <w:t xml:space="preserve"> муниципального округа от </w:t>
      </w:r>
      <w:r>
        <w:rPr>
          <w:rFonts w:eastAsia="Calibri"/>
          <w:lang w:eastAsia="en-US"/>
        </w:rPr>
        <w:t xml:space="preserve">19.01.2026</w:t>
      </w:r>
      <w:r>
        <w:rPr>
          <w:rFonts w:eastAsia="Calibri"/>
          <w:lang w:eastAsia="en-US"/>
        </w:rPr>
        <w:t xml:space="preserve"> № </w:t>
      </w:r>
      <w:r>
        <w:rPr>
          <w:rFonts w:eastAsia="Calibri"/>
          <w:lang w:eastAsia="en-US"/>
        </w:rPr>
        <w:t xml:space="preserve">61</w:t>
      </w:r>
      <w:r>
        <w:rPr>
          <w:rFonts w:eastAsia="Calibri"/>
          <w:lang w:eastAsia="en-US"/>
        </w:rPr>
        <w:t xml:space="preserve"> «</w:t>
      </w:r>
      <w:r>
        <w:t xml:space="preserve">О</w:t>
      </w:r>
      <w:r>
        <w:t xml:space="preserve"> создании</w:t>
      </w:r>
      <w:r>
        <w:t xml:space="preserve"> </w:t>
      </w:r>
      <w:r>
        <w:t xml:space="preserve">комиссии по оценке эффективности функционирования антимонопольного </w:t>
      </w:r>
      <w:r>
        <w:t xml:space="preserve">комплаенса</w:t>
      </w:r>
      <w:r>
        <w:t xml:space="preserve"> в администрации </w:t>
      </w:r>
      <w:r>
        <w:t xml:space="preserve">Печенгского</w:t>
      </w:r>
      <w:r>
        <w:t xml:space="preserve"> муниципального округа и утверждении порядка ее работы»</w:t>
      </w:r>
      <w:r>
        <w:rPr>
          <w:rFonts w:eastAsia="Calibri"/>
        </w:rPr>
        <w:t xml:space="preserve">,</w:t>
      </w:r>
      <w:r/>
    </w:p>
    <w:p>
      <w:pPr>
        <w:jc w:val="both"/>
        <w:widowControl w:val="off"/>
        <w:rPr>
          <w:rFonts w:eastAsia="Calibri"/>
          <w:color w:val="000000"/>
          <w:spacing w:val="2"/>
        </w:rPr>
      </w:pPr>
      <w:r>
        <w:rPr>
          <w:rFonts w:eastAsia="Calibri"/>
          <w:color w:val="000000"/>
          <w:spacing w:val="2"/>
        </w:rPr>
      </w:r>
      <w:r>
        <w:rPr>
          <w:rFonts w:eastAsia="Calibri"/>
          <w:color w:val="000000"/>
          <w:spacing w:val="2"/>
        </w:rPr>
      </w:r>
      <w:r>
        <w:rPr>
          <w:rFonts w:eastAsia="Calibri"/>
          <w:color w:val="000000"/>
          <w:spacing w:val="2"/>
        </w:rPr>
      </w:r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</w:pPr>
      <w:r/>
      <w:r/>
    </w:p>
    <w:p>
      <w:pPr>
        <w:pStyle w:val="894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993" w:leader="none"/>
          <w:tab w:val="left" w:pos="1560" w:leader="none"/>
        </w:tabs>
      </w:pPr>
      <w:r>
        <w:t xml:space="preserve">Утвердить состав</w:t>
      </w:r>
      <w:r>
        <w:t xml:space="preserve"> комисси</w:t>
      </w:r>
      <w:r>
        <w:t xml:space="preserve">и</w:t>
      </w:r>
      <w:r>
        <w:t xml:space="preserve"> по оценке эффективности функционирования антимонопольного </w:t>
      </w:r>
      <w:r>
        <w:t xml:space="preserve">комплаенса</w:t>
      </w:r>
      <w:r>
        <w:t xml:space="preserve"> в администрации </w:t>
      </w:r>
      <w:r>
        <w:t xml:space="preserve">Печенгского</w:t>
      </w:r>
      <w:r>
        <w:t xml:space="preserve"> муниципального округа</w:t>
      </w:r>
      <w:r>
        <w:t xml:space="preserve"> согласно приложению к настоящему постановлению</w:t>
      </w:r>
      <w:r>
        <w:t xml:space="preserve">.</w:t>
      </w:r>
      <w:r/>
    </w:p>
    <w:p>
      <w:pPr>
        <w:pStyle w:val="894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color w:val="ff0000"/>
        </w:rPr>
      </w:pPr>
      <w:r>
        <w:t xml:space="preserve">Настоящее постановление вступает в силу после его подписания.</w:t>
      </w:r>
      <w:r>
        <w:rPr>
          <w:color w:val="ff0000"/>
        </w:rPr>
        <w:t xml:space="preserve"> </w:t>
      </w:r>
      <w:r>
        <w:rPr>
          <w:color w:val="ff0000"/>
        </w:rPr>
      </w:r>
      <w:r>
        <w:rPr>
          <w:color w:val="ff0000"/>
        </w:rPr>
      </w:r>
    </w:p>
    <w:p>
      <w:pPr>
        <w:pStyle w:val="894"/>
        <w:numPr>
          <w:ilvl w:val="0"/>
          <w:numId w:val="44"/>
        </w:numPr>
        <w:contextualSpacing/>
        <w:ind w:left="0" w:firstLine="709"/>
        <w:jc w:val="both"/>
        <w:tabs>
          <w:tab w:val="left" w:pos="567" w:leader="none"/>
          <w:tab w:val="left" w:pos="993" w:leader="none"/>
        </w:tabs>
        <w:rPr>
          <w:color w:val="ff0000"/>
        </w:rPr>
      </w:pPr>
      <w:r>
        <w:t xml:space="preserve">Настоящее постановление разместить на официальном сайте </w:t>
      </w:r>
      <w:r>
        <w:t xml:space="preserve">Печенгского</w:t>
      </w:r>
      <w:r>
        <w:t xml:space="preserve"> муниципального округа в сети Интернет</w:t>
      </w:r>
      <w:r>
        <w:t xml:space="preserve">.</w:t>
      </w:r>
      <w:r>
        <w:t xml:space="preserve"> </w:t>
      </w:r>
      <w:r>
        <w:rPr>
          <w:color w:val="ff0000"/>
        </w:rPr>
      </w:r>
      <w:r>
        <w:rPr>
          <w:color w:val="ff0000"/>
        </w:rPr>
      </w:r>
    </w:p>
    <w:p>
      <w:pPr>
        <w:pStyle w:val="894"/>
        <w:numPr>
          <w:ilvl w:val="0"/>
          <w:numId w:val="44"/>
        </w:numPr>
        <w:contextualSpacing/>
        <w:ind w:left="0" w:firstLine="709"/>
        <w:jc w:val="both"/>
        <w:tabs>
          <w:tab w:val="left" w:pos="567" w:leader="none"/>
          <w:tab w:val="left" w:pos="993" w:leader="none"/>
        </w:tabs>
        <w:rPr>
          <w:color w:val="ff0000"/>
        </w:rPr>
      </w:pPr>
      <w:r>
        <w:t xml:space="preserve">Контроль за</w:t>
      </w:r>
      <w:r>
        <w:t xml:space="preserve"> исполнением настоящего </w:t>
      </w:r>
      <w:r>
        <w:t xml:space="preserve">постановления</w:t>
      </w:r>
      <w:r>
        <w:t xml:space="preserve"> оставляю за собой.</w:t>
      </w:r>
      <w:r>
        <w:rPr>
          <w:color w:val="ff0000"/>
        </w:rPr>
      </w:r>
      <w:r>
        <w:rPr>
          <w:color w:val="ff0000"/>
        </w:rPr>
      </w:r>
    </w:p>
    <w:p>
      <w:pPr>
        <w:pStyle w:val="894"/>
        <w:ind w:left="709"/>
        <w:jc w:val="both"/>
        <w:widowControl w:val="off"/>
        <w:tabs>
          <w:tab w:val="left" w:pos="993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 округа              </w:t>
      </w:r>
      <w:r>
        <w:t xml:space="preserve">    </w:t>
      </w:r>
      <w:r>
        <w:t xml:space="preserve">                          </w:t>
      </w:r>
      <w:r>
        <w:t xml:space="preserve">   </w:t>
      </w:r>
      <w:r>
        <w:t xml:space="preserve">            </w:t>
      </w:r>
      <w:r>
        <w:t xml:space="preserve">А.В. </w:t>
      </w:r>
      <w:r>
        <w:t xml:space="preserve">Кузнецов</w:t>
      </w:r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Ч</w:t>
      </w:r>
      <w:r>
        <w:rPr>
          <w:sz w:val="20"/>
          <w:szCs w:val="20"/>
        </w:rPr>
        <w:t xml:space="preserve">упина</w:t>
      </w:r>
      <w:r>
        <w:rPr>
          <w:sz w:val="20"/>
          <w:szCs w:val="20"/>
        </w:rPr>
        <w:t xml:space="preserve"> Н.В.</w:t>
      </w:r>
      <w:r>
        <w:rPr>
          <w:bCs/>
          <w:sz w:val="20"/>
          <w:szCs w:val="20"/>
        </w:rPr>
        <w:t xml:space="preserve">, 6-</w:t>
      </w:r>
      <w:r>
        <w:rPr>
          <w:bCs/>
          <w:sz w:val="20"/>
          <w:szCs w:val="20"/>
        </w:rPr>
        <w:t xml:space="preserve">20-41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</w:pPr>
      <w:r>
        <w:t xml:space="preserve">Приложение</w:t>
      </w:r>
      <w:r/>
    </w:p>
    <w:p>
      <w:pPr>
        <w:ind w:left="5529"/>
        <w:jc w:val="both"/>
      </w:pPr>
      <w:r>
        <w:t xml:space="preserve">к постановлению администрации </w:t>
      </w:r>
      <w:r>
        <w:t xml:space="preserve">Печенгского</w:t>
      </w:r>
      <w:r>
        <w:t xml:space="preserve"> муниципального округа  </w:t>
      </w:r>
      <w:r/>
    </w:p>
    <w:p>
      <w:pPr>
        <w:ind w:left="5529"/>
        <w:jc w:val="both"/>
      </w:pPr>
      <w:r>
        <w:t xml:space="preserve">от </w:t>
      </w:r>
      <w:r>
        <w:t xml:space="preserve">21.01.2026 </w:t>
      </w:r>
      <w:r>
        <w:t xml:space="preserve">№ </w:t>
      </w:r>
      <w:r>
        <w:t xml:space="preserve">89</w:t>
      </w:r>
      <w:r/>
    </w:p>
    <w:p>
      <w:pPr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</w:t>
      </w: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ind w:firstLine="567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СОСТАВ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ind w:firstLine="0"/>
        <w:jc w:val="center"/>
        <w:suppressLineNumbers w:val="0"/>
      </w:pPr>
      <w:r>
        <w:t xml:space="preserve">комиссии по оценке эффективности функционирования антимонопольного </w:t>
      </w:r>
      <w:r>
        <w:t xml:space="preserve">комплаенса</w:t>
      </w:r>
      <w:r>
        <w:t xml:space="preserve"> в администрации </w:t>
      </w:r>
      <w:r>
        <w:t xml:space="preserve">Печенгского</w:t>
      </w:r>
      <w:r>
        <w:t xml:space="preserve"> муниципального округа</w:t>
      </w:r>
      <w:r/>
    </w:p>
    <w:p>
      <w:pPr>
        <w:ind w:firstLine="567"/>
        <w:jc w:val="center"/>
      </w:pPr>
      <w:r/>
      <w:r/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90"/>
        <w:gridCol w:w="336"/>
        <w:gridCol w:w="6488"/>
      </w:tblGrid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</w:pPr>
            <w:r/>
            <w:r/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</w:pPr>
            <w:r>
              <w:t xml:space="preserve">Чупина</w:t>
            </w:r>
            <w:r>
              <w:t xml:space="preserve"> </w:t>
            </w:r>
            <w:r/>
          </w:p>
          <w:p>
            <w:pPr>
              <w:ind w:left="-57"/>
            </w:pPr>
            <w:r>
              <w:t xml:space="preserve">Наталья Васильевна</w:t>
            </w:r>
            <w:r/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</w:pPr>
            <w:r>
              <w:t xml:space="preserve">–</w:t>
            </w:r>
            <w:r/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</w:pPr>
            <w:r>
              <w:t xml:space="preserve">и</w:t>
            </w:r>
            <w:r>
              <w:t xml:space="preserve">.о</w:t>
            </w:r>
            <w:r>
              <w:t xml:space="preserve">. заместителя Главы </w:t>
            </w:r>
            <w:r>
              <w:t xml:space="preserve">Печенгского</w:t>
            </w:r>
            <w:r>
              <w:t xml:space="preserve"> муниципального округа по экономике и финансам</w:t>
            </w:r>
            <w:r>
              <w:t xml:space="preserve">, председател</w:t>
            </w:r>
            <w:r>
              <w:t xml:space="preserve">ь </w:t>
            </w:r>
            <w:r>
              <w:t xml:space="preserve">комиссии;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</w:pPr>
            <w:r>
              <w:t xml:space="preserve">Самойлов</w:t>
            </w:r>
            <w:r/>
          </w:p>
          <w:p>
            <w:pPr>
              <w:ind w:left="-57"/>
            </w:pPr>
            <w:r>
              <w:t xml:space="preserve">Сергей Анатольевич</w:t>
            </w:r>
            <w:r/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</w:pPr>
            <w:r>
              <w:t xml:space="preserve">–</w:t>
            </w:r>
            <w:r/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</w:pPr>
            <w:r>
              <w:t xml:space="preserve">начальник юридического отдела администрации </w:t>
            </w:r>
            <w:r>
              <w:t xml:space="preserve">Печенгского</w:t>
            </w:r>
            <w:r>
              <w:t xml:space="preserve"> муниципального округа,</w:t>
            </w:r>
            <w:r>
              <w:t xml:space="preserve"> </w:t>
            </w:r>
            <w:r>
              <w:t xml:space="preserve">заместитель председателя комиссии.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</w:tr>
    </w:tbl>
    <w:p>
      <w:pPr>
        <w:pStyle w:val="947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7"/>
        <w:ind w:firstLine="720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908"/>
        <w:gridCol w:w="336"/>
        <w:gridCol w:w="6470"/>
      </w:tblGrid>
      <w:tr>
        <w:tblPrEx/>
        <w:trPr>
          <w:jc w:val="center"/>
          <w:trHeight w:val="1658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</w:pPr>
            <w:r>
              <w:t xml:space="preserve">В</w:t>
            </w:r>
            <w:r>
              <w:t xml:space="preserve">еверица</w:t>
            </w:r>
            <w:r/>
          </w:p>
          <w:p>
            <w:pPr>
              <w:ind w:left="-57"/>
            </w:pPr>
            <w:r>
              <w:t xml:space="preserve">Варвара Андреевна</w:t>
            </w:r>
            <w:r/>
          </w:p>
          <w:p>
            <w:pPr>
              <w:ind w:left="-57"/>
            </w:pPr>
            <w:r/>
            <w:r/>
          </w:p>
          <w:p>
            <w:pPr>
              <w:ind w:left="-57"/>
            </w:pPr>
            <w:r>
              <w:t xml:space="preserve">Матросова</w:t>
            </w:r>
            <w:r/>
          </w:p>
          <w:p>
            <w:pPr>
              <w:ind w:left="-57"/>
            </w:pPr>
            <w:r>
              <w:t xml:space="preserve">Наталия Валерьевна</w:t>
            </w:r>
            <w:r/>
          </w:p>
          <w:p>
            <w:pPr>
              <w:ind w:left="-57"/>
            </w:pPr>
            <w:r/>
            <w:r/>
          </w:p>
          <w:p>
            <w:pPr>
              <w:ind w:left="-57"/>
            </w:pPr>
            <w:r>
              <w:t xml:space="preserve">Морозова</w:t>
            </w:r>
            <w:r/>
          </w:p>
          <w:p>
            <w:pPr>
              <w:ind w:left="-57"/>
            </w:pPr>
            <w:r>
              <w:t xml:space="preserve">Марина Евгеньевна</w:t>
            </w:r>
            <w:r/>
          </w:p>
          <w:p>
            <w:pPr>
              <w:ind w:left="-57"/>
            </w:pPr>
            <w:r/>
            <w:r/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</w:pPr>
            <w:r>
              <w:t xml:space="preserve">–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–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–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r>
              <w:t xml:space="preserve">председатель комитета по управлению имуществом администрации </w:t>
            </w:r>
            <w:r>
              <w:t xml:space="preserve">Печенгского</w:t>
            </w:r>
            <w:r>
              <w:t xml:space="preserve"> муниципального округа;</w:t>
            </w:r>
            <w:r/>
          </w:p>
          <w:p>
            <w:r/>
            <w:r/>
          </w:p>
          <w:p>
            <w:r>
              <w:t xml:space="preserve">начальник отдела по размещению муниципальных закупок администрации </w:t>
            </w:r>
            <w:r>
              <w:t xml:space="preserve">Печенгского</w:t>
            </w:r>
            <w:r>
              <w:t xml:space="preserve"> муниципального округа;</w:t>
            </w:r>
            <w:r/>
          </w:p>
          <w:p>
            <w:r/>
            <w:r/>
          </w:p>
          <w:p>
            <w:r>
              <w:t xml:space="preserve">заведующий сектором муниципальной службы и кадров администрации </w:t>
            </w:r>
            <w:r>
              <w:t xml:space="preserve">Печенгского</w:t>
            </w:r>
            <w:r>
              <w:t xml:space="preserve"> муниципального округа;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</w:pPr>
            <w:r>
              <w:t xml:space="preserve">Неманова</w:t>
            </w:r>
            <w:r/>
          </w:p>
          <w:p>
            <w:pPr>
              <w:ind w:left="-57"/>
            </w:pPr>
            <w:r>
              <w:t xml:space="preserve">Татьяна Николаевна</w:t>
            </w:r>
            <w:r/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</w:pPr>
            <w:r>
              <w:t xml:space="preserve">–</w:t>
            </w:r>
            <w:r/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</w:pPr>
            <w:r>
              <w:t xml:space="preserve">начальник </w:t>
            </w:r>
            <w:r>
              <w:t xml:space="preserve">отдела по сопровождению деятельности муниципальных заказчиков МКУ «Управление по обеспечению деятельности администрации </w:t>
            </w:r>
            <w:r>
              <w:t xml:space="preserve">Печенгского</w:t>
            </w:r>
            <w:r>
              <w:t xml:space="preserve"> округа» 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</w:pPr>
            <w:r>
              <w:t xml:space="preserve">Стрелкова</w:t>
            </w:r>
            <w:r/>
          </w:p>
          <w:p>
            <w:pPr>
              <w:ind w:left="-57"/>
            </w:pPr>
            <w:r>
              <w:t xml:space="preserve">Татьяна Игоревна</w:t>
            </w:r>
            <w:r/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</w:pPr>
            <w:r>
              <w:t xml:space="preserve">–</w:t>
            </w:r>
            <w:r/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</w:pPr>
            <w:r>
              <w:t xml:space="preserve">з</w:t>
            </w:r>
            <w:r>
              <w:t xml:space="preserve">аведующий сектором правовой работы юридического отдела</w:t>
            </w:r>
            <w:r>
              <w:t xml:space="preserve"> администрации </w:t>
            </w:r>
            <w:r>
              <w:t xml:space="preserve">Печенгского</w:t>
            </w:r>
            <w:r>
              <w:t xml:space="preserve"> муниципального округа.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</w:pPr>
            <w:r/>
            <w:r/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</w:pPr>
            <w:r/>
            <w:r/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</w:pPr>
            <w:r/>
            <w:bookmarkStart w:id="0" w:name="_GoBack"/>
            <w:r/>
            <w:bookmarkEnd w:id="0"/>
            <w:r/>
            <w:r/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tabs>
                <w:tab w:val="left" w:pos="-9678" w:leader="none"/>
              </w:tabs>
            </w:pPr>
            <w:r/>
            <w:r/>
          </w:p>
        </w:tc>
      </w:tr>
    </w:tbl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sectPr>
      <w:footnotePr/>
      <w:endnotePr/>
      <w:type w:val="nextPage"/>
      <w:pgSz w:w="11906" w:h="16838" w:orient="portrait"/>
      <w:pgMar w:top="1134" w:right="707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40"/>
      </w:pPr>
      <w:r>
        <w:separator/>
      </w:r>
      <w:r/>
    </w:p>
  </w:footnote>
  <w:footnote w:type="continuationSeparator" w:id="0">
    <w:p>
      <w:pPr>
        <w:pStyle w:val="94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3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32"/>
  </w:num>
  <w:num w:numId="2">
    <w:abstractNumId w:val="33"/>
  </w:num>
  <w:num w:numId="3">
    <w:abstractNumId w:val="30"/>
  </w:num>
  <w:num w:numId="4">
    <w:abstractNumId w:val="3"/>
  </w:num>
  <w:num w:numId="5">
    <w:abstractNumId w:val="29"/>
  </w:num>
  <w:num w:numId="6">
    <w:abstractNumId w:val="22"/>
  </w:num>
  <w:num w:numId="7">
    <w:abstractNumId w:val="5"/>
  </w:num>
  <w:num w:numId="8">
    <w:abstractNumId w:val="25"/>
  </w:num>
  <w:num w:numId="9">
    <w:abstractNumId w:val="6"/>
  </w:num>
  <w:num w:numId="10">
    <w:abstractNumId w:val="35"/>
  </w:num>
  <w:num w:numId="11">
    <w:abstractNumId w:val="28"/>
  </w:num>
  <w:num w:numId="12">
    <w:abstractNumId w:val="0"/>
  </w:num>
  <w:num w:numId="13">
    <w:abstractNumId w:val="13"/>
  </w:num>
  <w:num w:numId="14">
    <w:abstractNumId w:val="23"/>
  </w:num>
  <w:num w:numId="15">
    <w:abstractNumId w:val="44"/>
  </w:num>
  <w:num w:numId="16">
    <w:abstractNumId w:val="20"/>
  </w:num>
  <w:num w:numId="17">
    <w:abstractNumId w:val="4"/>
  </w:num>
  <w:num w:numId="18">
    <w:abstractNumId w:val="21"/>
  </w:num>
  <w:num w:numId="19">
    <w:abstractNumId w:val="15"/>
  </w:num>
  <w:num w:numId="20">
    <w:abstractNumId w:val="18"/>
  </w:num>
  <w:num w:numId="21">
    <w:abstractNumId w:val="31"/>
  </w:num>
  <w:num w:numId="22">
    <w:abstractNumId w:val="16"/>
  </w:num>
  <w:num w:numId="23">
    <w:abstractNumId w:val="14"/>
  </w:num>
  <w:num w:numId="24">
    <w:abstractNumId w:val="2"/>
  </w:num>
  <w:num w:numId="25">
    <w:abstractNumId w:val="38"/>
  </w:num>
  <w:num w:numId="26">
    <w:abstractNumId w:val="9"/>
  </w:num>
  <w:num w:numId="27">
    <w:abstractNumId w:val="41"/>
  </w:num>
  <w:num w:numId="28">
    <w:abstractNumId w:val="1"/>
  </w:num>
  <w:num w:numId="29">
    <w:abstractNumId w:val="12"/>
  </w:num>
  <w:num w:numId="30">
    <w:abstractNumId w:val="40"/>
  </w:num>
  <w:num w:numId="31">
    <w:abstractNumId w:val="43"/>
  </w:num>
  <w:num w:numId="32">
    <w:abstractNumId w:val="34"/>
  </w:num>
  <w:num w:numId="33">
    <w:abstractNumId w:val="27"/>
  </w:num>
  <w:num w:numId="34">
    <w:abstractNumId w:val="26"/>
  </w:num>
  <w:num w:numId="35">
    <w:abstractNumId w:val="19"/>
  </w:num>
  <w:num w:numId="36">
    <w:abstractNumId w:val="10"/>
  </w:num>
  <w:num w:numId="37">
    <w:abstractNumId w:val="7"/>
  </w:num>
  <w:num w:numId="38">
    <w:abstractNumId w:val="8"/>
  </w:num>
  <w:num w:numId="39">
    <w:abstractNumId w:val="11"/>
  </w:num>
  <w:num w:numId="40">
    <w:abstractNumId w:val="36"/>
  </w:num>
  <w:num w:numId="41">
    <w:abstractNumId w:val="39"/>
  </w:num>
  <w:num w:numId="42">
    <w:abstractNumId w:val="17"/>
  </w:num>
  <w:num w:numId="43">
    <w:abstractNumId w:val="42"/>
  </w:num>
  <w:num w:numId="44">
    <w:abstractNumId w:val="37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4">
    <w:name w:val="Heading 1 Char"/>
    <w:basedOn w:val="891"/>
    <w:link w:val="882"/>
    <w:uiPriority w:val="9"/>
    <w:rPr>
      <w:rFonts w:ascii="Arial" w:hAnsi="Arial" w:eastAsia="Arial" w:cs="Arial"/>
      <w:sz w:val="40"/>
      <w:szCs w:val="40"/>
    </w:rPr>
  </w:style>
  <w:style w:type="character" w:styleId="745">
    <w:name w:val="Heading 2 Char"/>
    <w:basedOn w:val="891"/>
    <w:link w:val="883"/>
    <w:uiPriority w:val="9"/>
    <w:rPr>
      <w:rFonts w:ascii="Arial" w:hAnsi="Arial" w:eastAsia="Arial" w:cs="Arial"/>
      <w:sz w:val="34"/>
    </w:rPr>
  </w:style>
  <w:style w:type="character" w:styleId="746">
    <w:name w:val="Heading 3 Char"/>
    <w:basedOn w:val="891"/>
    <w:link w:val="884"/>
    <w:uiPriority w:val="9"/>
    <w:rPr>
      <w:rFonts w:ascii="Arial" w:hAnsi="Arial" w:eastAsia="Arial" w:cs="Arial"/>
      <w:sz w:val="30"/>
      <w:szCs w:val="30"/>
    </w:rPr>
  </w:style>
  <w:style w:type="character" w:styleId="747">
    <w:name w:val="Heading 4 Char"/>
    <w:basedOn w:val="891"/>
    <w:link w:val="885"/>
    <w:uiPriority w:val="9"/>
    <w:rPr>
      <w:rFonts w:ascii="Arial" w:hAnsi="Arial" w:eastAsia="Arial" w:cs="Arial"/>
      <w:b/>
      <w:bCs/>
      <w:sz w:val="26"/>
      <w:szCs w:val="26"/>
    </w:rPr>
  </w:style>
  <w:style w:type="character" w:styleId="748">
    <w:name w:val="Heading 5 Char"/>
    <w:basedOn w:val="891"/>
    <w:link w:val="886"/>
    <w:uiPriority w:val="9"/>
    <w:rPr>
      <w:rFonts w:ascii="Arial" w:hAnsi="Arial" w:eastAsia="Arial" w:cs="Arial"/>
      <w:b/>
      <w:bCs/>
      <w:sz w:val="24"/>
      <w:szCs w:val="24"/>
    </w:rPr>
  </w:style>
  <w:style w:type="character" w:styleId="749">
    <w:name w:val="Heading 6 Char"/>
    <w:basedOn w:val="891"/>
    <w:link w:val="887"/>
    <w:uiPriority w:val="9"/>
    <w:rPr>
      <w:rFonts w:ascii="Arial" w:hAnsi="Arial" w:eastAsia="Arial" w:cs="Arial"/>
      <w:b/>
      <w:bCs/>
      <w:sz w:val="22"/>
      <w:szCs w:val="22"/>
    </w:rPr>
  </w:style>
  <w:style w:type="character" w:styleId="750">
    <w:name w:val="Heading 7 Char"/>
    <w:basedOn w:val="891"/>
    <w:link w:val="8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8 Char"/>
    <w:basedOn w:val="891"/>
    <w:link w:val="889"/>
    <w:uiPriority w:val="9"/>
    <w:rPr>
      <w:rFonts w:ascii="Arial" w:hAnsi="Arial" w:eastAsia="Arial" w:cs="Arial"/>
      <w:i/>
      <w:iCs/>
      <w:sz w:val="22"/>
      <w:szCs w:val="22"/>
    </w:rPr>
  </w:style>
  <w:style w:type="character" w:styleId="752">
    <w:name w:val="Heading 9 Char"/>
    <w:basedOn w:val="891"/>
    <w:link w:val="890"/>
    <w:uiPriority w:val="9"/>
    <w:rPr>
      <w:rFonts w:ascii="Arial" w:hAnsi="Arial" w:eastAsia="Arial" w:cs="Arial"/>
      <w:i/>
      <w:iCs/>
      <w:sz w:val="21"/>
      <w:szCs w:val="21"/>
    </w:rPr>
  </w:style>
  <w:style w:type="character" w:styleId="753">
    <w:name w:val="Title Char"/>
    <w:basedOn w:val="891"/>
    <w:link w:val="896"/>
    <w:uiPriority w:val="10"/>
    <w:rPr>
      <w:sz w:val="48"/>
      <w:szCs w:val="48"/>
    </w:rPr>
  </w:style>
  <w:style w:type="character" w:styleId="754">
    <w:name w:val="Subtitle Char"/>
    <w:basedOn w:val="891"/>
    <w:link w:val="897"/>
    <w:uiPriority w:val="11"/>
    <w:rPr>
      <w:sz w:val="24"/>
      <w:szCs w:val="24"/>
    </w:rPr>
  </w:style>
  <w:style w:type="character" w:styleId="755">
    <w:name w:val="Quote Char"/>
    <w:link w:val="898"/>
    <w:uiPriority w:val="29"/>
    <w:rPr>
      <w:i/>
    </w:rPr>
  </w:style>
  <w:style w:type="character" w:styleId="756">
    <w:name w:val="Intense Quote Char"/>
    <w:link w:val="899"/>
    <w:uiPriority w:val="30"/>
    <w:rPr>
      <w:i/>
    </w:rPr>
  </w:style>
  <w:style w:type="character" w:styleId="757">
    <w:name w:val="Header Char"/>
    <w:basedOn w:val="891"/>
    <w:link w:val="900"/>
    <w:uiPriority w:val="99"/>
  </w:style>
  <w:style w:type="character" w:styleId="758">
    <w:name w:val="Footer Char"/>
    <w:basedOn w:val="891"/>
    <w:link w:val="901"/>
    <w:uiPriority w:val="99"/>
  </w:style>
  <w:style w:type="paragraph" w:styleId="759">
    <w:name w:val="Caption"/>
    <w:basedOn w:val="881"/>
    <w:next w:val="88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0">
    <w:name w:val="Caption Char"/>
    <w:basedOn w:val="759"/>
    <w:link w:val="901"/>
    <w:uiPriority w:val="99"/>
  </w:style>
  <w:style w:type="table" w:styleId="761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9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0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2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4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5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2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3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4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5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6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7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8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9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4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5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6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7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8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9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0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2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3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4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5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6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7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8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9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0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1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2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3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4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5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91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82">
    <w:name w:val="Heading 1"/>
    <w:basedOn w:val="881"/>
    <w:next w:val="8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83">
    <w:name w:val="Heading 2"/>
    <w:basedOn w:val="881"/>
    <w:next w:val="881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84">
    <w:name w:val="Heading 3"/>
    <w:basedOn w:val="881"/>
    <w:next w:val="881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85">
    <w:name w:val="Heading 4"/>
    <w:basedOn w:val="881"/>
    <w:next w:val="881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86">
    <w:name w:val="Heading 5"/>
    <w:basedOn w:val="881"/>
    <w:next w:val="881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87">
    <w:name w:val="Heading 6"/>
    <w:basedOn w:val="881"/>
    <w:next w:val="88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88">
    <w:name w:val="Heading 7"/>
    <w:basedOn w:val="881"/>
    <w:next w:val="881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89">
    <w:name w:val="Heading 8"/>
    <w:basedOn w:val="881"/>
    <w:next w:val="8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90">
    <w:name w:val="Heading 9"/>
    <w:basedOn w:val="881"/>
    <w:next w:val="881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91" w:default="1">
    <w:name w:val="Default Paragraph Font"/>
    <w:uiPriority w:val="1"/>
    <w:semiHidden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paragraph" w:styleId="894">
    <w:name w:val="List Paragraph"/>
    <w:basedOn w:val="881"/>
    <w:uiPriority w:val="34"/>
    <w:qFormat/>
    <w:pPr>
      <w:ind w:left="720"/>
    </w:pPr>
  </w:style>
  <w:style w:type="paragraph" w:styleId="895">
    <w:name w:val="No Spacing"/>
    <w:basedOn w:val="881"/>
    <w:uiPriority w:val="1"/>
    <w:qFormat/>
    <w:rPr>
      <w:color w:val="000000"/>
    </w:rPr>
  </w:style>
  <w:style w:type="paragraph" w:styleId="896">
    <w:name w:val="Title"/>
    <w:basedOn w:val="881"/>
    <w:next w:val="881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97">
    <w:name w:val="Subtitle"/>
    <w:basedOn w:val="881"/>
    <w:next w:val="881"/>
    <w:uiPriority w:val="11"/>
    <w:qFormat/>
    <w:rPr>
      <w:i/>
      <w:color w:val="444444"/>
      <w:sz w:val="52"/>
    </w:rPr>
  </w:style>
  <w:style w:type="paragraph" w:styleId="898">
    <w:name w:val="Quote"/>
    <w:basedOn w:val="881"/>
    <w:next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99">
    <w:name w:val="Intense Quote"/>
    <w:basedOn w:val="881"/>
    <w:next w:val="881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00">
    <w:name w:val="Header"/>
    <w:basedOn w:val="88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01">
    <w:name w:val="Footer"/>
    <w:basedOn w:val="88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02">
    <w:name w:val="Table Grid"/>
    <w:basedOn w:val="892"/>
    <w:rPr>
      <w:rFonts w:ascii="Times New Roman" w:hAnsi="Times New Roman" w:eastAsia="Times New Roman"/>
      <w:szCs w:val="20"/>
    </w:rPr>
    <w:tblPr/>
  </w:style>
  <w:style w:type="table" w:styleId="903" w:customStyle="1">
    <w:name w:val="Lined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04" w:customStyle="1">
    <w:name w:val="Lined - Accent 1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05" w:customStyle="1">
    <w:name w:val="Lined - Accent 2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06" w:customStyle="1">
    <w:name w:val="Lined - Accent 3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07" w:customStyle="1">
    <w:name w:val="Lined - Accent 4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08" w:customStyle="1">
    <w:name w:val="Lined - Accent 5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09" w:customStyle="1">
    <w:name w:val="Lined - Accent 6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10" w:customStyle="1">
    <w:name w:val="Bordered"/>
    <w:basedOn w:val="892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11" w:customStyle="1">
    <w:name w:val="Bordered - Accent 1"/>
    <w:basedOn w:val="892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12" w:customStyle="1">
    <w:name w:val="Bordered - Accent 2"/>
    <w:basedOn w:val="892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13" w:customStyle="1">
    <w:name w:val="Bordered - Accent 3"/>
    <w:basedOn w:val="892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14" w:customStyle="1">
    <w:name w:val="Bordered - Accent 4"/>
    <w:basedOn w:val="892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15" w:customStyle="1">
    <w:name w:val="Bordered - Accent 5"/>
    <w:basedOn w:val="892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16" w:customStyle="1">
    <w:name w:val="Bordered - Accent 6"/>
    <w:basedOn w:val="892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17" w:customStyle="1">
    <w:name w:val="Bordered &amp; Lined"/>
    <w:basedOn w:val="892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18" w:customStyle="1">
    <w:name w:val="Bordered &amp; Lined - Accent 1"/>
    <w:basedOn w:val="892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19" w:customStyle="1">
    <w:name w:val="Bordered &amp; Lined - Accent 2"/>
    <w:basedOn w:val="892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0" w:customStyle="1">
    <w:name w:val="Bordered &amp; Lined - Accent 3"/>
    <w:basedOn w:val="892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21" w:customStyle="1">
    <w:name w:val="Bordered &amp; Lined - Accent 4"/>
    <w:basedOn w:val="892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2" w:customStyle="1">
    <w:name w:val="Bordered &amp; Lined - Accent 5"/>
    <w:basedOn w:val="892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3" w:customStyle="1">
    <w:name w:val="Bordered &amp; Lined - Accent 6"/>
    <w:basedOn w:val="892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24">
    <w:name w:val="Hyperlink"/>
    <w:semiHidden/>
    <w:rPr>
      <w:color w:val="0000ff"/>
      <w:u w:val="single"/>
    </w:rPr>
  </w:style>
  <w:style w:type="paragraph" w:styleId="925">
    <w:name w:val="footnote text"/>
    <w:basedOn w:val="881"/>
    <w:uiPriority w:val="99"/>
    <w:semiHidden/>
    <w:unhideWhenUsed/>
    <w:rPr>
      <w:sz w:val="20"/>
    </w:rPr>
  </w:style>
  <w:style w:type="character" w:styleId="926" w:customStyle="1">
    <w:name w:val="Footnote Text Char"/>
    <w:basedOn w:val="891"/>
    <w:uiPriority w:val="99"/>
    <w:semiHidden/>
    <w:rPr>
      <w:sz w:val="20"/>
    </w:rPr>
  </w:style>
  <w:style w:type="character" w:styleId="927">
    <w:name w:val="footnote reference"/>
    <w:basedOn w:val="891"/>
    <w:uiPriority w:val="99"/>
    <w:semiHidden/>
    <w:unhideWhenUsed/>
    <w:rPr>
      <w:vertAlign w:val="superscript"/>
    </w:rPr>
  </w:style>
  <w:style w:type="paragraph" w:styleId="928">
    <w:name w:val="Balloon Text"/>
    <w:basedOn w:val="881"/>
    <w:semiHidden/>
    <w:rPr>
      <w:rFonts w:ascii="Tahoma" w:hAnsi="Tahoma"/>
      <w:sz w:val="16"/>
      <w:szCs w:val="16"/>
    </w:rPr>
  </w:style>
  <w:style w:type="character" w:styleId="929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30">
    <w:name w:val="Normal (Web)"/>
    <w:basedOn w:val="881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31" w:customStyle="1">
    <w:name w:val="МОН Знак"/>
    <w:rPr>
      <w:sz w:val="24"/>
      <w:szCs w:val="24"/>
    </w:rPr>
  </w:style>
  <w:style w:type="paragraph" w:styleId="932" w:customStyle="1">
    <w:name w:val="МОН"/>
    <w:basedOn w:val="88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33">
    <w:name w:val="Strong"/>
    <w:rPr>
      <w:b/>
      <w:bCs/>
    </w:rPr>
  </w:style>
  <w:style w:type="paragraph" w:styleId="934" w:customStyle="1">
    <w:name w:val="ConsPlusNormal"/>
    <w:link w:val="944"/>
    <w:pPr>
      <w:ind w:firstLine="720"/>
    </w:pPr>
    <w:rPr>
      <w:rFonts w:ascii="Arial" w:hAnsi="Arial" w:eastAsia="Times New Roman"/>
      <w:lang w:eastAsia="ru-RU" w:bidi="ar-SA"/>
    </w:rPr>
  </w:style>
  <w:style w:type="paragraph" w:styleId="935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36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37">
    <w:name w:val="Body Text 2"/>
    <w:basedOn w:val="88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38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39" w:customStyle="1">
    <w:name w:val="GenStyleDefNum"/>
  </w:style>
  <w:style w:type="paragraph" w:styleId="940" w:customStyle="1">
    <w:name w:val="GenStyleDefPar"/>
  </w:style>
  <w:style w:type="table" w:styleId="941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42" w:customStyle="1">
    <w:name w:val="docdata"/>
    <w:basedOn w:val="88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43" w:customStyle="1">
    <w:name w:val="extended-text__short"/>
    <w:basedOn w:val="891"/>
  </w:style>
  <w:style w:type="character" w:styleId="944" w:customStyle="1">
    <w:name w:val="ConsPlusNormal Знак"/>
    <w:link w:val="934"/>
    <w:rPr>
      <w:rFonts w:ascii="Arial" w:hAnsi="Arial" w:eastAsia="Times New Roman"/>
      <w:lang w:eastAsia="ru-RU" w:bidi="ar-SA"/>
    </w:rPr>
  </w:style>
  <w:style w:type="paragraph" w:styleId="94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 w:eastAsiaTheme="minorEastAsia"/>
      <w:b/>
      <w:bCs/>
      <w:sz w:val="24"/>
      <w:szCs w:val="24"/>
      <w:lang w:eastAsia="ru-RU" w:bidi="ar-SA"/>
    </w:rPr>
  </w:style>
  <w:style w:type="character" w:styleId="946">
    <w:name w:val="Placeholder Text"/>
    <w:basedOn w:val="891"/>
    <w:uiPriority w:val="99"/>
    <w:semiHidden/>
    <w:rPr>
      <w:color w:val="808080"/>
    </w:rPr>
  </w:style>
  <w:style w:type="paragraph" w:styleId="947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eastAsia="Times New Roman" w:cs="Courier New"/>
      <w:szCs w:val="20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8</cp:revision>
  <dcterms:created xsi:type="dcterms:W3CDTF">2026-01-20T05:26:00Z</dcterms:created>
  <dcterms:modified xsi:type="dcterms:W3CDTF">2026-01-27T08:44:58Z</dcterms:modified>
</cp:coreProperties>
</file>