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b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09600" cy="742950"/>
                <wp:effectExtent l="0" t="0" r="0" b="0"/>
                <wp:docPr id="1" name="Рисунок 1" descr="Описание: №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7" descr="Описание: № 1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48.00pt;height:58.50pt;mso-wrap-distance-left:0.00pt;mso-wrap-distance-top:0.00pt;mso-wrap-distance-right:0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lang w:eastAsia="ru-RU"/>
        </w:rPr>
        <w:t xml:space="preserve">от 22.01.2026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lang w:eastAsia="ru-RU"/>
        </w:rPr>
        <w:t xml:space="preserve">                                                                                                                          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lang w:eastAsia="ru-RU"/>
        </w:rPr>
        <w:t xml:space="preserve">№ 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lang w:eastAsia="ru-RU"/>
        </w:rPr>
        <w:t xml:space="preserve">97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lang w:eastAsia="ru-RU"/>
        </w:rPr>
        <w:t xml:space="preserve">п.г.т. Никель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b/>
          <w:bCs/>
          <w:i w:val="0"/>
          <w:color w:val="000000"/>
          <w:lang w:eastAsia="ru-RU"/>
        </w:rPr>
        <w:t xml:space="preserve">Об утверждении Порядка привлечения остатков средств на единый счет бюджета муниципального образования Печенгский муниципальный округ и возврата привлеченных средств</w:t>
      </w:r>
      <w:r>
        <w:rPr>
          <w:rFonts w:ascii="Times New Roman" w:hAnsi="Times New Roman" w:eastAsia="Times New Roman" w:cs="Times New Roman"/>
          <w:b/>
          <w:iCs w:val="0"/>
          <w:color w:val="000000"/>
          <w:lang w:eastAsia="ru-RU"/>
        </w:rPr>
      </w:r>
      <w:r>
        <w:rPr>
          <w:rFonts w:ascii="Times New Roman" w:hAnsi="Times New Roman" w:eastAsia="Times New Roman" w:cs="Times New Roman"/>
          <w:b/>
          <w:iCs w:val="0"/>
          <w:color w:val="00000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i w:val="0"/>
          <w:iCs w:val="0"/>
          <w:color w:val="000000"/>
          <w:lang w:eastAsia="ru-RU"/>
        </w:rPr>
        <w:outlineLvl w:val="3"/>
      </w:pPr>
      <w:r>
        <w:rPr>
          <w:rFonts w:ascii="Times New Roman" w:hAnsi="Times New Roman" w:eastAsia="Times New Roman" w:cs="Times New Roman"/>
          <w:i w:val="0"/>
          <w:iCs w:val="0"/>
          <w:color w:val="000000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i w:val="0"/>
          <w:iCs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i w:val="0"/>
          <w:iCs w:val="0"/>
          <w:color w:val="ff0000"/>
          <w:sz w:val="24"/>
          <w:szCs w:val="24"/>
          <w:lang w:eastAsia="ru-RU"/>
        </w:rPr>
        <w:outlineLvl w:val="3"/>
      </w:pP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В соответствии со ст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атьей 236.1 Бюджетного кодекса Р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оссийской Федерации, постановлением Правительства Российской Федерации от 30.03.2020 № 368 </w:t>
        <w:br/>
        <w:t xml:space="preserve">«Об утверждении Правил привлечения 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Ф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едеральным казначейством остатков средств на единый счет федерального бюджета и возврата привлеченных средств и общих требований к порядку привлечения остатков средств на единый счет бюджета субъекта Российской Федерации (местного бюджета) и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 возврата привлеченных средств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», а также в целях перевода бюджетных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 и автономных муниципальных учреждений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 на казначейское обслуживание на Единую бюджетную платформу в государственную информационную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 систему управления общественными финансами «Электронный бюджет», </w:t>
      </w:r>
      <w:r>
        <w:rPr>
          <w:rFonts w:ascii="Times New Roman" w:hAnsi="Times New Roman" w:eastAsia="Times New Roman" w:cs="Times New Roman"/>
          <w:i w:val="0"/>
          <w:iCs w:val="0"/>
          <w:color w:val="ff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color w:val="ff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276" w:leader="none"/>
        </w:tabs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1. 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Утвердить прилагаемый Порядок привлечения остатков средств на единый счет бюджета муниципального образования Печенгский муниципальный округ и возврата привлеченных средств согласно приложению к настоящему постановлению.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276" w:leader="none"/>
        </w:tabs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2. Признать утратившими силу следующие постановления администрации Печенгского муниципального округа: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276" w:leader="none"/>
        </w:tabs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 от 11.01.2021 № 1 «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Об утверждении Порядка привлечения остатков средств на единый счет бюджета муниципального образования Печенгский муниципальный округ и возврата привлеченных средств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»;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276" w:leader="none"/>
        </w:tabs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 от 15.01.2021 № 4а «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О внесении 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изменений в Порядок привлечения остатков средств на единый счет бюджета муниципального образования Печенгский муниципальный округ и возврата привлеченных средств, утвержденный постановлением администрации Печенгского муниципального округа от 11.01.2021 № 1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»;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276" w:leader="none"/>
        </w:tabs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 от 15.12.2022 № 1758 «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О внесении 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изменений в порядок привлечения остатков средств на единый счет бюджета муниципального образования Печенгский муниципальный округ и возврата привлеченных средств, утвержденный постановлением администрации Печенгского муниципального округа от 11.01.2021 № 1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»;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276" w:leader="none"/>
        </w:tabs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 от 22.12.2022 № 1810 «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О внесении изменений в порядок привлечения остатков средств на единый счет бюджета муниципального образования Печенгский муниципальный округ и возврата привлеченных средств, утвержденный постановлением администрации Печенгского муниципального округа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от 11.01.2021 № 1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»;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276" w:leader="none"/>
        </w:tabs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-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 от 27.12.2023 № 2027 «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О внесении 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изменений в порядок привлечения остатков средств на единый счет бюджета муниципального образования Печенгский муниципальный округ и возврата привлеченных средств, утвержденный постановлением администрации Печенгского муниципального округа от 11.01.2021 № 1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».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276" w:leader="none"/>
        </w:tabs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 Настоящее постановление вступает в силу с 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26 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января 202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 года и подлежит размещению </w:t>
      </w:r>
      <w:r>
        <w:rPr>
          <w:rFonts w:ascii="Times New Roman" w:hAnsi="Times New Roman" w:eastAsia="Times New Roman" w:cs="Times New Roman"/>
          <w:bCs/>
          <w:i w:val="0"/>
          <w:iCs w:val="0"/>
          <w:color w:val="000000"/>
          <w:sz w:val="24"/>
          <w:szCs w:val="24"/>
          <w:lang w:eastAsia="ru-RU"/>
        </w:rPr>
        <w:t xml:space="preserve">на 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сайте </w:t>
      </w:r>
      <w:hyperlink r:id="rId11" w:tooltip="http://pechengamr.gov-murman.ru" w:history="1">
        <w:r>
          <w:rPr>
            <w:rFonts w:ascii="Times New Roman" w:hAnsi="Times New Roman" w:eastAsia="Times New Roman" w:cs="Times New Roman"/>
            <w:i w:val="0"/>
            <w:iCs w:val="0"/>
            <w:sz w:val="24"/>
            <w:szCs w:val="24"/>
            <w:lang w:eastAsia="ru-RU"/>
          </w:rPr>
          <w:t xml:space="preserve">http://pechengamr.gov-murman.ru</w:t>
        </w:r>
      </w:hyperlink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276" w:leader="none"/>
        </w:tabs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1276" w:leader="none"/>
        </w:tabs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Глав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а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 Печенгского муниципального округа     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ab/>
        <w:t xml:space="preserve">                                  </w:t>
      </w:r>
      <w:r>
        <w:rPr>
          <w:rFonts w:ascii="Times New Roman" w:hAnsi="Times New Roman" w:eastAsia="Times New Roman" w:cs="Times New Roman"/>
          <w:i w:val="0"/>
          <w:iCs w:val="0"/>
          <w:color w:val="000000"/>
          <w:sz w:val="24"/>
          <w:szCs w:val="24"/>
          <w:lang w:eastAsia="ru-RU"/>
        </w:rPr>
        <w:t xml:space="preserve">              А.В. Кузнецов</w:t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pP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  <w:r>
        <w:rPr>
          <w:rFonts w:ascii="Times New Roman" w:hAnsi="Times New Roman" w:eastAsia="Times New Roman" w:cs="Times New Roman"/>
          <w:b/>
          <w:i w:val="0"/>
          <w:iCs w:val="0"/>
          <w:color w:val="000000"/>
          <w:sz w:val="28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Cs w:val="0"/>
          <w:i w:val="0"/>
          <w:color w:val="000000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highlight w:val="none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highlight w:val="none"/>
          <w:lang w:eastAsia="ru-RU"/>
        </w:rPr>
      </w:r>
      <w:r>
        <w:rPr>
          <w:rFonts w:ascii="Times New Roman" w:hAnsi="Times New Roman" w:eastAsia="Times New Roman" w:cs="Times New Roman"/>
          <w:bCs w:val="0"/>
          <w:i w:val="0"/>
          <w:color w:val="000000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Cs w:val="0"/>
          <w:i w:val="0"/>
          <w:color w:val="00000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highlight w:val="none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highlight w:val="none"/>
          <w:lang w:eastAsia="ru-RU"/>
        </w:rPr>
      </w:r>
      <w:r>
        <w:rPr>
          <w:rFonts w:ascii="Times New Roman" w:hAnsi="Times New Roman" w:eastAsia="Times New Roman" w:cs="Times New Roman"/>
          <w:bCs w:val="0"/>
          <w:i w:val="0"/>
          <w:color w:val="00000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Cs w:val="0"/>
          <w:i w:val="0"/>
          <w:color w:val="00000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highlight w:val="none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highlight w:val="none"/>
          <w:lang w:eastAsia="ru-RU"/>
        </w:rPr>
      </w:r>
      <w:r>
        <w:rPr>
          <w:rFonts w:ascii="Times New Roman" w:hAnsi="Times New Roman" w:eastAsia="Times New Roman" w:cs="Times New Roman"/>
          <w:bCs w:val="0"/>
          <w:i w:val="0"/>
          <w:color w:val="00000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Cs w:val="0"/>
          <w:i w:val="0"/>
          <w:color w:val="00000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highlight w:val="none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highlight w:val="none"/>
          <w:lang w:eastAsia="ru-RU"/>
        </w:rPr>
      </w:r>
      <w:r>
        <w:rPr>
          <w:rFonts w:ascii="Times New Roman" w:hAnsi="Times New Roman" w:eastAsia="Times New Roman" w:cs="Times New Roman"/>
          <w:bCs w:val="0"/>
          <w:i w:val="0"/>
          <w:color w:val="00000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Cs w:val="0"/>
          <w:i w:val="0"/>
          <w:color w:val="00000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highlight w:val="none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highlight w:val="none"/>
          <w:lang w:eastAsia="ru-RU"/>
        </w:rPr>
      </w:r>
      <w:r>
        <w:rPr>
          <w:rFonts w:ascii="Times New Roman" w:hAnsi="Times New Roman" w:eastAsia="Times New Roman" w:cs="Times New Roman"/>
          <w:bCs w:val="0"/>
          <w:i w:val="0"/>
          <w:color w:val="000000"/>
          <w:highlight w:val="none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i w:val="0"/>
          <w:iCs w:val="0"/>
          <w:color w:val="000000"/>
          <w:highlight w:val="none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color w:val="000000"/>
          <w:lang w:eastAsia="ru-RU"/>
        </w:rPr>
        <w:t xml:space="preserve">Исп. </w:t>
      </w:r>
      <w:r>
        <w:rPr>
          <w:rFonts w:ascii="Times New Roman" w:hAnsi="Times New Roman" w:eastAsia="Times New Roman" w:cs="Times New Roman"/>
          <w:i w:val="0"/>
          <w:iCs w:val="0"/>
          <w:color w:val="000000"/>
          <w:lang w:eastAsia="ru-RU"/>
        </w:rPr>
        <w:t xml:space="preserve">Ионова О.В.</w:t>
      </w:r>
      <w:r>
        <w:rPr>
          <w:rFonts w:ascii="Times New Roman" w:hAnsi="Times New Roman" w:eastAsia="Times New Roman" w:cs="Times New Roman"/>
          <w:i w:val="0"/>
          <w:iCs w:val="0"/>
          <w:color w:val="000000"/>
          <w:lang w:eastAsia="ru-RU"/>
        </w:rPr>
        <w:t xml:space="preserve">, 50270</w:t>
      </w:r>
      <w:r>
        <w:rPr>
          <w:rFonts w:ascii="Times New Roman" w:hAnsi="Times New Roman" w:eastAsia="Times New Roman" w:cs="Times New Roman"/>
          <w:i w:val="0"/>
          <w:iCs w:val="0"/>
          <w:color w:val="000000"/>
          <w:highlight w:val="none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color w:val="000000"/>
          <w:highlight w:val="none"/>
          <w:lang w:eastAsia="ru-RU"/>
        </w:rPr>
      </w:r>
    </w:p>
    <w:p>
      <w:pPr>
        <w:ind w:left="5245"/>
        <w:spacing w:after="0" w:line="240" w:lineRule="auto"/>
        <w:rPr>
          <w:rFonts w:ascii="Times New Roman" w:hAnsi="Times New Roman" w:eastAsia="Times New Roman" w:cs="Times New Roman"/>
          <w:i w:val="0"/>
          <w:iCs w:val="0"/>
          <w:sz w:val="24"/>
          <w:szCs w:val="22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sz w:val="24"/>
          <w:szCs w:val="22"/>
          <w:lang w:eastAsia="ru-RU"/>
        </w:rPr>
        <w:t xml:space="preserve">Приложение </w:t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2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2"/>
          <w:lang w:eastAsia="ru-RU"/>
        </w:rPr>
      </w:r>
    </w:p>
    <w:p>
      <w:pPr>
        <w:ind w:left="5245"/>
        <w:spacing w:after="0" w:line="240" w:lineRule="auto"/>
        <w:rPr>
          <w:rFonts w:ascii="Times New Roman" w:hAnsi="Times New Roman" w:eastAsia="Times New Roman" w:cs="Times New Roman"/>
          <w:i w:val="0"/>
          <w:iCs w:val="0"/>
          <w:sz w:val="24"/>
          <w:szCs w:val="22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sz w:val="24"/>
          <w:szCs w:val="22"/>
          <w:lang w:eastAsia="ru-RU"/>
        </w:rPr>
        <w:t xml:space="preserve">к постановлению администрации </w:t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2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2"/>
          <w:lang w:eastAsia="ru-RU"/>
        </w:rPr>
      </w:r>
    </w:p>
    <w:p>
      <w:pPr>
        <w:ind w:left="5245"/>
        <w:spacing w:after="0" w:line="240" w:lineRule="auto"/>
        <w:rPr>
          <w:rFonts w:ascii="Times New Roman" w:hAnsi="Times New Roman" w:eastAsia="Times New Roman" w:cs="Times New Roman"/>
          <w:i w:val="0"/>
          <w:iCs w:val="0"/>
          <w:sz w:val="24"/>
          <w:szCs w:val="22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sz w:val="24"/>
          <w:szCs w:val="22"/>
          <w:lang w:eastAsia="ru-RU"/>
        </w:rPr>
        <w:t xml:space="preserve">Печенгского муниципального округа </w:t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2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2"/>
          <w:lang w:eastAsia="ru-RU"/>
        </w:rPr>
      </w:r>
    </w:p>
    <w:p>
      <w:pPr>
        <w:ind w:left="5245"/>
        <w:spacing w:after="0" w:line="240" w:lineRule="auto"/>
        <w:rPr>
          <w:rFonts w:ascii="Times New Roman" w:hAnsi="Times New Roman" w:eastAsia="Times New Roman" w:cs="Times New Roman"/>
          <w:i w:val="0"/>
          <w:iCs w:val="0"/>
          <w:sz w:val="24"/>
          <w:szCs w:val="22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sz w:val="24"/>
          <w:szCs w:val="22"/>
          <w:lang w:eastAsia="ru-RU"/>
        </w:rPr>
        <w:t xml:space="preserve">от 22.01.2026 </w:t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2"/>
          <w:lang w:eastAsia="ru-RU"/>
        </w:rPr>
        <w:t xml:space="preserve">№ 97</w:t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2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2"/>
          <w:lang w:eastAsia="ru-RU"/>
        </w:rPr>
      </w:r>
    </w:p>
    <w:p>
      <w:pPr>
        <w:ind w:left="5245"/>
        <w:spacing w:after="0" w:line="240" w:lineRule="auto"/>
        <w:rPr>
          <w:rFonts w:ascii="Times New Roman" w:hAnsi="Times New Roman" w:eastAsia="Times New Roman" w:cs="Times New Roman"/>
          <w:bCs w:val="0"/>
          <w:i w:val="0"/>
          <w:sz w:val="22"/>
          <w:szCs w:val="22"/>
          <w:lang w:eastAsia="ru-RU"/>
        </w:rPr>
        <w:outlineLvl w:val="0"/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</w:r>
      <w:r>
        <w:rPr>
          <w:rFonts w:ascii="Times New Roman" w:hAnsi="Times New Roman" w:eastAsia="Times New Roman" w:cs="Times New Roman"/>
          <w:bCs w:val="0"/>
          <w:i w:val="0"/>
          <w:sz w:val="22"/>
          <w:szCs w:val="22"/>
          <w:lang w:eastAsia="ru-RU"/>
        </w:rPr>
      </w:r>
    </w:p>
    <w:p>
      <w:pPr>
        <w:ind w:left="5245"/>
        <w:spacing w:after="0" w:line="240" w:lineRule="auto"/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  <w:outlineLvl w:val="0"/>
      </w:pP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2"/>
          <w:szCs w:val="22"/>
          <w:lang w:eastAsia="ru-RU"/>
        </w:rPr>
      </w:r>
    </w:p>
    <w:p>
      <w:pPr>
        <w:ind w:firstLine="0"/>
        <w:jc w:val="center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cs="Times New Roman"/>
          <w:b/>
          <w:i w:val="0"/>
          <w:sz w:val="24"/>
          <w:szCs w:val="24"/>
        </w:rPr>
        <w:suppressLineNumbers w:val="0"/>
      </w:pPr>
      <w:r>
        <w:rPr>
          <w:rFonts w:ascii="Times New Roman" w:hAnsi="Times New Roman" w:cs="Times New Roman"/>
          <w:b/>
          <w:i w:val="0"/>
          <w:sz w:val="24"/>
          <w:szCs w:val="24"/>
        </w:rPr>
        <w:t xml:space="preserve">П</w:t>
      </w:r>
      <w:r>
        <w:rPr>
          <w:rFonts w:ascii="Times New Roman" w:hAnsi="Times New Roman" w:cs="Times New Roman"/>
          <w:b/>
          <w:i w:val="0"/>
          <w:sz w:val="24"/>
          <w:szCs w:val="24"/>
        </w:rPr>
        <w:t xml:space="preserve">ОРЯДОК</w:t>
      </w:r>
      <w:r>
        <w:rPr>
          <w:rFonts w:ascii="Times New Roman" w:hAnsi="Times New Roman" w:cs="Times New Roman"/>
          <w:b/>
          <w:i w:val="0"/>
          <w:sz w:val="24"/>
          <w:szCs w:val="24"/>
        </w:rPr>
      </w:r>
      <w:r>
        <w:rPr>
          <w:rFonts w:ascii="Times New Roman" w:hAnsi="Times New Roman" w:cs="Times New Roman"/>
          <w:b/>
          <w:i w:val="0"/>
          <w:sz w:val="24"/>
          <w:szCs w:val="24"/>
        </w:rPr>
      </w:r>
    </w:p>
    <w:p>
      <w:pPr>
        <w:ind w:firstLine="0"/>
        <w:jc w:val="center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cs="Times New Roman"/>
          <w:i w:val="0"/>
          <w:sz w:val="24"/>
          <w:szCs w:val="24"/>
        </w:rPr>
        <w:suppressLineNumbers w:val="0"/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привлечения остатков средств на единый счет бюджета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муниципального образования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Печенгск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ий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муниципальн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ый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о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круг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и возврата привлеченных средств</w:t>
      </w:r>
      <w:r>
        <w:rPr>
          <w:rFonts w:ascii="Times New Roman" w:hAnsi="Times New Roman" w:cs="Times New Roman"/>
          <w:i w:val="0"/>
          <w:sz w:val="24"/>
          <w:szCs w:val="24"/>
        </w:rPr>
      </w:r>
      <w:r>
        <w:rPr>
          <w:rFonts w:ascii="Times New Roman" w:hAnsi="Times New Roman" w:cs="Times New Roman"/>
          <w:i w:val="0"/>
          <w:sz w:val="24"/>
          <w:szCs w:val="24"/>
        </w:rPr>
      </w:r>
    </w:p>
    <w:p>
      <w:pPr>
        <w:ind w:firstLine="567"/>
        <w:jc w:val="center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</w:r>
      <w:r>
        <w:rPr>
          <w:rFonts w:ascii="Times New Roman" w:hAnsi="Times New Roman" w:cs="Times New Roman"/>
          <w:i w:val="0"/>
          <w:sz w:val="24"/>
          <w:szCs w:val="24"/>
        </w:rPr>
      </w:r>
      <w:r>
        <w:rPr>
          <w:rFonts w:ascii="Times New Roman" w:hAnsi="Times New Roman" w:cs="Times New Roman"/>
          <w:i w:val="0"/>
          <w:sz w:val="24"/>
          <w:szCs w:val="24"/>
        </w:rPr>
      </w:r>
    </w:p>
    <w:p>
      <w:pPr>
        <w:ind w:left="0" w:right="0" w:firstLine="709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1.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 Настоящий Порядок привлечения остатков средств на единый счет бюджета муниципального образования Печенгский муниципальный округ и возврата привлеченных средств (далее – Порядок) разработан в соответствии со статьей 236.1 Бюджетного кодекса Российской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Федерации и постановлением Правительства Российской Федерации от 30.03.2020 № 368 «Об утверждении правил привлечения Федеральным казначейством остатков средств на единый счет федерального бюджета и возврата привлеченных средств и общих требований к порядку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привлечения остатков средств на единый счет бюджета субъекта Российской Федерации (местного бюджета) и возврата привлеченных средств» и устанавливает общие положения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, условия и порядок привлечения остатков средств с казначейских счетов на единый счет бюджета муниципального образования Печенгский муниципальный округ (далее – единый счет бюджета) и их возврата на казначейские счета, с которых они были ранее перечислены.</w:t>
      </w:r>
      <w:r>
        <w:rPr>
          <w:rFonts w:ascii="Times New Roman" w:hAnsi="Times New Roman" w:cs="Times New Roman"/>
          <w:i w:val="0"/>
          <w:sz w:val="24"/>
          <w:szCs w:val="24"/>
        </w:rPr>
      </w:r>
      <w:r>
        <w:rPr>
          <w:rFonts w:ascii="Times New Roman" w:hAnsi="Times New Roman" w:cs="Times New Roman"/>
          <w:i w:val="0"/>
          <w:sz w:val="24"/>
          <w:szCs w:val="24"/>
        </w:rPr>
      </w:r>
    </w:p>
    <w:p>
      <w:pPr>
        <w:ind w:left="0" w:right="0" w:firstLine="709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2.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 Привлечение остатков средств на единый счет бюджета осуществляется за счет средств на казначейских счетах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, открытых финансовому управлению администрации Печенгского муниципального округа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(далее – финансовое управление)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в органах Федерального казначейства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:</w:t>
      </w:r>
      <w:r>
        <w:rPr>
          <w:rFonts w:ascii="Times New Roman" w:hAnsi="Times New Roman" w:cs="Times New Roman"/>
          <w:i w:val="0"/>
          <w:sz w:val="24"/>
          <w:szCs w:val="24"/>
        </w:rPr>
      </w:r>
      <w:r>
        <w:rPr>
          <w:rFonts w:ascii="Times New Roman" w:hAnsi="Times New Roman" w:cs="Times New Roman"/>
          <w:i w:val="0"/>
          <w:sz w:val="24"/>
          <w:szCs w:val="24"/>
        </w:rPr>
      </w:r>
    </w:p>
    <w:p>
      <w:pPr>
        <w:ind w:left="0" w:right="0" w:firstLine="709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-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 № 03234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-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для осуществления и отражения операций с денежными средствами муниципальных бюджетных и автономных учреждений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Печенгского муниципального округа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;</w:t>
      </w:r>
      <w:r>
        <w:rPr>
          <w:rFonts w:ascii="Times New Roman" w:hAnsi="Times New Roman" w:cs="Times New Roman"/>
          <w:i w:val="0"/>
          <w:sz w:val="24"/>
          <w:szCs w:val="24"/>
        </w:rPr>
      </w:r>
      <w:r>
        <w:rPr>
          <w:rFonts w:ascii="Times New Roman" w:hAnsi="Times New Roman" w:cs="Times New Roman"/>
          <w:i w:val="0"/>
          <w:sz w:val="24"/>
          <w:szCs w:val="24"/>
        </w:rPr>
      </w:r>
    </w:p>
    <w:p>
      <w:pPr>
        <w:ind w:left="0" w:right="0" w:firstLine="709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-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 № 03232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-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для осуществления и отражения операций с денежными средствами, поступающими во временное распоряжение получателей средств бюджета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Печенгск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ого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муниципальн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ого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округ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а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.</w:t>
      </w:r>
      <w:r>
        <w:rPr>
          <w:rFonts w:ascii="Times New Roman" w:hAnsi="Times New Roman" w:cs="Times New Roman"/>
          <w:i w:val="0"/>
          <w:sz w:val="24"/>
          <w:szCs w:val="24"/>
        </w:rPr>
      </w:r>
      <w:r>
        <w:rPr>
          <w:rFonts w:ascii="Times New Roman" w:hAnsi="Times New Roman" w:cs="Times New Roman"/>
          <w:i w:val="0"/>
          <w:sz w:val="24"/>
          <w:szCs w:val="24"/>
        </w:rPr>
      </w:r>
    </w:p>
    <w:p>
      <w:pPr>
        <w:ind w:left="0" w:right="0" w:firstLine="709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3.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 Функции финансового управления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,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как финансового органа муниципального образования Печенгский муниципальный округ,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связанные с привлечением на единый счет бюджета округа и возвратом привлеченных средств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,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в соответствии </w:t>
        <w:br/>
        <w:t xml:space="preserve">с пунктами 10, 12 статьи 236.1 Бюджетного кодекса Российской Федерации, осуществляются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У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правлением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Ф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едерального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казначейства </w:t>
      </w:r>
      <w:bookmarkStart w:id="0" w:name="_GoBack"/>
      <w:r>
        <w:rPr>
          <w:sz w:val="24"/>
          <w:szCs w:val="24"/>
        </w:rPr>
      </w:r>
      <w:bookmarkEnd w:id="0"/>
      <w:r>
        <w:rPr>
          <w:rFonts w:ascii="Times New Roman" w:hAnsi="Times New Roman" w:cs="Times New Roman"/>
          <w:i w:val="0"/>
          <w:sz w:val="24"/>
          <w:szCs w:val="24"/>
        </w:rPr>
        <w:t xml:space="preserve">по Мурманской области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– в соответствии со статьей 220.2 Бюджетного кодекса Российской Федерации.</w:t>
      </w:r>
      <w:r>
        <w:rPr>
          <w:rFonts w:ascii="Times New Roman" w:hAnsi="Times New Roman" w:cs="Times New Roman"/>
          <w:i w:val="0"/>
          <w:sz w:val="24"/>
          <w:szCs w:val="24"/>
        </w:rPr>
      </w:r>
      <w:r>
        <w:rPr>
          <w:rFonts w:ascii="Times New Roman" w:hAnsi="Times New Roman" w:cs="Times New Roman"/>
          <w:i w:val="0"/>
          <w:sz w:val="24"/>
          <w:szCs w:val="24"/>
        </w:rPr>
      </w:r>
    </w:p>
    <w:p>
      <w:pPr>
        <w:ind w:left="0" w:right="0" w:firstLine="709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Орган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Федерального казначейства формирует распоряжение о совершении казначейских платежей, необходимое для обеспечения привлечения остатков средств на единый счет бюджета и их возврата.</w:t>
      </w:r>
      <w:r>
        <w:rPr>
          <w:rFonts w:ascii="Times New Roman" w:hAnsi="Times New Roman" w:cs="Times New Roman"/>
          <w:i w:val="0"/>
          <w:sz w:val="24"/>
          <w:szCs w:val="24"/>
        </w:rPr>
      </w:r>
      <w:r>
        <w:rPr>
          <w:rFonts w:ascii="Times New Roman" w:hAnsi="Times New Roman" w:cs="Times New Roman"/>
          <w:i w:val="0"/>
          <w:sz w:val="24"/>
          <w:szCs w:val="24"/>
        </w:rPr>
      </w:r>
    </w:p>
    <w:p>
      <w:pPr>
        <w:ind w:left="0" w:right="0" w:firstLine="709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Возврат средств с единого счета бюджета осуществляется на ка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з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начейские счета, с которых они были ранее перечислены.</w:t>
      </w:r>
      <w:r>
        <w:rPr>
          <w:rFonts w:ascii="Times New Roman" w:hAnsi="Times New Roman" w:cs="Times New Roman"/>
          <w:i w:val="0"/>
          <w:sz w:val="24"/>
          <w:szCs w:val="24"/>
        </w:rPr>
      </w:r>
      <w:r>
        <w:rPr>
          <w:rFonts w:ascii="Times New Roman" w:hAnsi="Times New Roman" w:cs="Times New Roman"/>
          <w:i w:val="0"/>
          <w:sz w:val="24"/>
          <w:szCs w:val="24"/>
        </w:rPr>
      </w:r>
    </w:p>
    <w:p>
      <w:pPr>
        <w:ind w:left="0" w:right="0" w:firstLine="709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4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.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 Объем привлекаемых средств, обеспечивающий д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остаточность средств на соответствующем казначейском счете для осуществления в рабочий день, следующий за днем привлечения средств на единый счет бюджета, выплат с указанного счета на основании распоряжений о совершении казначейских платежей, определяется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органом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Федерального казначейства ежедневно исходя из остатка средств на соответствующем казначейском счете, уменьшенного на сумму средств, необходимы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х для совершения казначейских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платежей на основании распоряжений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, представленных получателями данных сре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дств дл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я осуществления выплат с соответствующего казначейского счета, не позднее рабочего дня, следующего за днем их представления.</w:t>
      </w:r>
      <w:r>
        <w:rPr>
          <w:rFonts w:ascii="Times New Roman" w:hAnsi="Times New Roman" w:cs="Times New Roman"/>
          <w:i w:val="0"/>
          <w:sz w:val="24"/>
          <w:szCs w:val="24"/>
        </w:rPr>
      </w:r>
      <w:r>
        <w:rPr>
          <w:rFonts w:ascii="Times New Roman" w:hAnsi="Times New Roman" w:cs="Times New Roman"/>
          <w:i w:val="0"/>
          <w:sz w:val="24"/>
          <w:szCs w:val="24"/>
        </w:rPr>
      </w:r>
    </w:p>
    <w:p>
      <w:pPr>
        <w:ind w:left="0" w:right="0" w:firstLine="709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5.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 Перечисление остатков сре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дств с в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ышеуказанных казначейских счетов на единый счет бюджета осуществляется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органом Федерального казначейства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на основании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поручения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финансового управления с указанием казначейских счетов, с которых осуществляется привлечение остатков.</w:t>
      </w:r>
      <w:r>
        <w:rPr>
          <w:rFonts w:ascii="Times New Roman" w:hAnsi="Times New Roman" w:cs="Times New Roman"/>
          <w:i w:val="0"/>
          <w:sz w:val="24"/>
          <w:szCs w:val="24"/>
        </w:rPr>
      </w:r>
      <w:r>
        <w:rPr>
          <w:rFonts w:ascii="Times New Roman" w:hAnsi="Times New Roman" w:cs="Times New Roman"/>
          <w:i w:val="0"/>
          <w:sz w:val="24"/>
          <w:szCs w:val="24"/>
        </w:rPr>
      </w:r>
    </w:p>
    <w:p>
      <w:pPr>
        <w:ind w:left="0" w:right="0" w:firstLine="709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Для перечисления остатков средств с вышеуказанных казначейских счетов на единый счет бюджета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орган Федерального казначейства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ежедне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вно в течение текущего финансового года формирует распоряжение о совершении казначейского платежа в виде поручения о перечислении на счет не позднее 16 часов местного времени (в дни, непосредственно предшествующие выходным и нерабочим праздничным дням, - д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о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15 часов местного времени) текущего дня.</w:t>
      </w:r>
      <w:r>
        <w:rPr>
          <w:rFonts w:ascii="Times New Roman" w:hAnsi="Times New Roman" w:cs="Times New Roman"/>
          <w:i w:val="0"/>
          <w:sz w:val="24"/>
          <w:szCs w:val="24"/>
        </w:rPr>
      </w:r>
      <w:r>
        <w:rPr>
          <w:rFonts w:ascii="Times New Roman" w:hAnsi="Times New Roman" w:cs="Times New Roman"/>
          <w:i w:val="0"/>
          <w:sz w:val="24"/>
          <w:szCs w:val="24"/>
        </w:rPr>
      </w:r>
    </w:p>
    <w:p>
      <w:pPr>
        <w:ind w:left="0" w:right="0" w:firstLine="709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6.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 Возвр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ат с единого счета бюджета привлеченных средств на соответствующие казначейские счета осуществляется в соответствии с настоящим Порядком в течение текущего финансового года не позднее второго рабочего дня, следующего за днем приема к исполнению распоряжени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й получателей указанных средств.</w:t>
      </w:r>
      <w:r>
        <w:rPr>
          <w:rFonts w:ascii="Times New Roman" w:hAnsi="Times New Roman" w:cs="Times New Roman"/>
          <w:i w:val="0"/>
          <w:sz w:val="24"/>
          <w:szCs w:val="24"/>
        </w:rPr>
      </w:r>
      <w:r>
        <w:rPr>
          <w:rFonts w:ascii="Times New Roman" w:hAnsi="Times New Roman" w:cs="Times New Roman"/>
          <w:i w:val="0"/>
          <w:sz w:val="24"/>
          <w:szCs w:val="24"/>
        </w:rPr>
      </w:r>
    </w:p>
    <w:p>
      <w:pPr>
        <w:ind w:left="0" w:right="0" w:firstLine="709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7.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 Объем средств, подлежащий возврату с единого счета бюджета на казначейские счета, определяется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органом Федерального казначейства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исходя из суммы средств, необходимых для совершения казначейских платежей на основании распоряжений, представленных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соответствующими получателями данных средств для осуществления выплат с соответствующего казначейского счета, не позднее второго рабочего дня, следующего за днем их представления, уменьшенного на сумму остатка средств на соответствующем казначейском счете.</w:t>
      </w:r>
      <w:r>
        <w:rPr>
          <w:rFonts w:ascii="Times New Roman" w:hAnsi="Times New Roman" w:cs="Times New Roman"/>
          <w:i w:val="0"/>
          <w:sz w:val="24"/>
          <w:szCs w:val="24"/>
        </w:rPr>
      </w:r>
      <w:r>
        <w:rPr>
          <w:rFonts w:ascii="Times New Roman" w:hAnsi="Times New Roman" w:cs="Times New Roman"/>
          <w:i w:val="0"/>
          <w:sz w:val="24"/>
          <w:szCs w:val="24"/>
        </w:rPr>
      </w:r>
    </w:p>
    <w:p>
      <w:pPr>
        <w:ind w:left="0" w:right="0" w:firstLine="709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8.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 При недостаточности средств на едином счете бюджета для возврата привлеченных средств на казначейские счета для осуществления с них казначейских платежей, производится ежедневное перечисление всего остатка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средств на едином счете бюджета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на начало текущего рабочего дня, уменьшенного на сумму средств, необходимую для исполнения распоряжений, представленных получателями средств бюджета муниципального образования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Печенгский муниципальный округ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для полного либо частичного исполнения исполнительных документов.</w:t>
      </w:r>
      <w:r>
        <w:rPr>
          <w:rFonts w:ascii="Times New Roman" w:hAnsi="Times New Roman" w:cs="Times New Roman"/>
          <w:i w:val="0"/>
          <w:sz w:val="24"/>
          <w:szCs w:val="24"/>
        </w:rPr>
      </w:r>
      <w:r>
        <w:rPr>
          <w:rFonts w:ascii="Times New Roman" w:hAnsi="Times New Roman" w:cs="Times New Roman"/>
          <w:i w:val="0"/>
          <w:sz w:val="24"/>
          <w:szCs w:val="24"/>
        </w:rPr>
      </w:r>
    </w:p>
    <w:p>
      <w:pPr>
        <w:ind w:left="0" w:right="0" w:firstLine="709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cs="Times New Roman"/>
          <w:i w:val="0"/>
          <w:sz w:val="24"/>
          <w:szCs w:val="24"/>
        </w:rPr>
      </w:pPr>
      <w:r>
        <w:rPr>
          <w:rFonts w:ascii="Times New Roman" w:hAnsi="Times New Roman" w:cs="Times New Roman"/>
          <w:i w:val="0"/>
          <w:sz w:val="24"/>
          <w:szCs w:val="24"/>
        </w:rPr>
        <w:t xml:space="preserve">9.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 Перечисление средств с единого счета бюджета, предусмотренных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пунктом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7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 настоящего Порядка, на соответствующий </w:t>
      </w:r>
      <w:r>
        <w:rPr>
          <w:rFonts w:ascii="Times New Roman" w:hAnsi="Times New Roman" w:cs="Times New Roman"/>
          <w:i w:val="0"/>
          <w:sz w:val="24"/>
          <w:szCs w:val="24"/>
        </w:rPr>
        <w:t xml:space="preserve">казначейский счет осуществляется в пределах суммы, не превышающей разницу между объемом средств, поступивших с соответствующего казначейского счета на единый счет бюджета, и объемом средств, возвращенных с единого счета бюджета на данный казначейский счет.</w:t>
      </w:r>
      <w:r>
        <w:rPr>
          <w:rFonts w:ascii="Times New Roman" w:hAnsi="Times New Roman" w:cs="Times New Roman"/>
          <w:i w:val="0"/>
          <w:sz w:val="24"/>
          <w:szCs w:val="24"/>
        </w:rPr>
      </w:r>
      <w:r>
        <w:rPr>
          <w:rFonts w:ascii="Times New Roman" w:hAnsi="Times New Roman" w:cs="Times New Roman"/>
          <w:i w:val="0"/>
          <w:sz w:val="24"/>
          <w:szCs w:val="24"/>
        </w:rPr>
      </w:r>
    </w:p>
    <w:p>
      <w:pPr>
        <w:ind w:firstLine="567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tLeast"/>
        <w:widowControl w:val="off"/>
        <w:tabs>
          <w:tab w:val="left" w:pos="851" w:leader="none"/>
          <w:tab w:val="left" w:pos="3261" w:leader="none"/>
          <w:tab w:val="left" w:pos="4111" w:leader="none"/>
        </w:tabs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i w:val="0"/>
          <w:iCs w:val="0"/>
          <w:sz w:val="24"/>
          <w:szCs w:val="24"/>
          <w:lang w:eastAsia="ru-RU"/>
        </w:rPr>
      </w:r>
    </w:p>
    <w:sectPr>
      <w:footnotePr/>
      <w:endnotePr/>
      <w:type w:val="nextPage"/>
      <w:pgSz w:w="11906" w:h="16838" w:orient="portrait"/>
      <w:pgMar w:top="1134" w:right="850" w:bottom="680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Tahoma">
    <w:panose1 w:val="020B060403050404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88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6">
    <w:name w:val="Heading 1 Char"/>
    <w:basedOn w:val="827"/>
    <w:link w:val="818"/>
    <w:uiPriority w:val="9"/>
    <w:rPr>
      <w:rFonts w:ascii="Arial" w:hAnsi="Arial" w:eastAsia="Arial" w:cs="Arial"/>
      <w:sz w:val="40"/>
      <w:szCs w:val="40"/>
    </w:rPr>
  </w:style>
  <w:style w:type="character" w:styleId="657">
    <w:name w:val="Heading 2 Char"/>
    <w:basedOn w:val="827"/>
    <w:link w:val="819"/>
    <w:uiPriority w:val="9"/>
    <w:rPr>
      <w:rFonts w:ascii="Arial" w:hAnsi="Arial" w:eastAsia="Arial" w:cs="Arial"/>
      <w:sz w:val="34"/>
    </w:rPr>
  </w:style>
  <w:style w:type="character" w:styleId="658">
    <w:name w:val="Heading 3 Char"/>
    <w:basedOn w:val="827"/>
    <w:link w:val="820"/>
    <w:uiPriority w:val="9"/>
    <w:rPr>
      <w:rFonts w:ascii="Arial" w:hAnsi="Arial" w:eastAsia="Arial" w:cs="Arial"/>
      <w:sz w:val="30"/>
      <w:szCs w:val="30"/>
    </w:rPr>
  </w:style>
  <w:style w:type="character" w:styleId="659">
    <w:name w:val="Heading 4 Char"/>
    <w:basedOn w:val="827"/>
    <w:link w:val="821"/>
    <w:uiPriority w:val="9"/>
    <w:rPr>
      <w:rFonts w:ascii="Arial" w:hAnsi="Arial" w:eastAsia="Arial" w:cs="Arial"/>
      <w:b/>
      <w:bCs/>
      <w:sz w:val="26"/>
      <w:szCs w:val="26"/>
    </w:rPr>
  </w:style>
  <w:style w:type="character" w:styleId="660">
    <w:name w:val="Heading 5 Char"/>
    <w:basedOn w:val="827"/>
    <w:link w:val="822"/>
    <w:uiPriority w:val="9"/>
    <w:rPr>
      <w:rFonts w:ascii="Arial" w:hAnsi="Arial" w:eastAsia="Arial" w:cs="Arial"/>
      <w:b/>
      <w:bCs/>
      <w:sz w:val="24"/>
      <w:szCs w:val="24"/>
    </w:rPr>
  </w:style>
  <w:style w:type="character" w:styleId="661">
    <w:name w:val="Heading 6 Char"/>
    <w:basedOn w:val="827"/>
    <w:link w:val="823"/>
    <w:uiPriority w:val="9"/>
    <w:rPr>
      <w:rFonts w:ascii="Arial" w:hAnsi="Arial" w:eastAsia="Arial" w:cs="Arial"/>
      <w:b/>
      <w:bCs/>
      <w:sz w:val="22"/>
      <w:szCs w:val="22"/>
    </w:rPr>
  </w:style>
  <w:style w:type="character" w:styleId="662">
    <w:name w:val="Heading 7 Char"/>
    <w:basedOn w:val="827"/>
    <w:link w:val="82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63">
    <w:name w:val="Heading 8 Char"/>
    <w:basedOn w:val="827"/>
    <w:link w:val="825"/>
    <w:uiPriority w:val="9"/>
    <w:rPr>
      <w:rFonts w:ascii="Arial" w:hAnsi="Arial" w:eastAsia="Arial" w:cs="Arial"/>
      <w:i/>
      <w:iCs/>
      <w:sz w:val="22"/>
      <w:szCs w:val="22"/>
    </w:rPr>
  </w:style>
  <w:style w:type="character" w:styleId="664">
    <w:name w:val="Heading 9 Char"/>
    <w:basedOn w:val="827"/>
    <w:link w:val="826"/>
    <w:uiPriority w:val="9"/>
    <w:rPr>
      <w:rFonts w:ascii="Arial" w:hAnsi="Arial" w:eastAsia="Arial" w:cs="Arial"/>
      <w:i/>
      <w:iCs/>
      <w:sz w:val="21"/>
      <w:szCs w:val="21"/>
    </w:rPr>
  </w:style>
  <w:style w:type="character" w:styleId="665">
    <w:name w:val="Title Char"/>
    <w:basedOn w:val="827"/>
    <w:link w:val="840"/>
    <w:uiPriority w:val="10"/>
    <w:rPr>
      <w:sz w:val="48"/>
      <w:szCs w:val="48"/>
    </w:rPr>
  </w:style>
  <w:style w:type="character" w:styleId="666">
    <w:name w:val="Subtitle Char"/>
    <w:basedOn w:val="827"/>
    <w:link w:val="842"/>
    <w:uiPriority w:val="11"/>
    <w:rPr>
      <w:sz w:val="24"/>
      <w:szCs w:val="24"/>
    </w:rPr>
  </w:style>
  <w:style w:type="character" w:styleId="667">
    <w:name w:val="Quote Char"/>
    <w:link w:val="848"/>
    <w:uiPriority w:val="29"/>
    <w:rPr>
      <w:i/>
    </w:rPr>
  </w:style>
  <w:style w:type="character" w:styleId="668">
    <w:name w:val="Intense Quote Char"/>
    <w:link w:val="850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27"/>
    <w:link w:val="669"/>
    <w:uiPriority w:val="99"/>
  </w:style>
  <w:style w:type="paragraph" w:styleId="671">
    <w:name w:val="Footer"/>
    <w:basedOn w:val="817"/>
    <w:link w:val="67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27"/>
    <w:link w:val="671"/>
    <w:uiPriority w:val="99"/>
  </w:style>
  <w:style w:type="character" w:styleId="673">
    <w:name w:val="Caption Char"/>
    <w:basedOn w:val="839"/>
    <w:link w:val="671"/>
    <w:uiPriority w:val="99"/>
  </w:style>
  <w:style w:type="table" w:styleId="674">
    <w:name w:val="Table Grid"/>
    <w:basedOn w:val="82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5">
    <w:name w:val="Table Grid Light"/>
    <w:basedOn w:val="82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2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2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2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74">
    <w:name w:val="List Table 7 Colorful - Accent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75">
    <w:name w:val="List Table 7 Colorful - Accent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76">
    <w:name w:val="List Table 7 Colorful - Accent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77">
    <w:name w:val="List Table 7 Colorful - Accent 5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78">
    <w:name w:val="List Table 7 Colorful - Accent 6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79">
    <w:name w:val="Lined - Accent"/>
    <w:basedOn w:val="8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1">
    <w:name w:val="Lined - Accent 2"/>
    <w:basedOn w:val="8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2">
    <w:name w:val="Lined - Accent 3"/>
    <w:basedOn w:val="8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83">
    <w:name w:val="Lined - Accent 4"/>
    <w:basedOn w:val="8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84">
    <w:name w:val="Lined - Accent 5"/>
    <w:basedOn w:val="8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88">
    <w:name w:val="Bordered &amp; Lined - Accent 2"/>
    <w:basedOn w:val="8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89">
    <w:name w:val="Bordered &amp; Lined - Accent 3"/>
    <w:basedOn w:val="8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0">
    <w:name w:val="Bordered &amp; Lined - Accent 4"/>
    <w:basedOn w:val="8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1">
    <w:name w:val="Bordered &amp; Lined - Accent 5"/>
    <w:basedOn w:val="8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2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2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00">
    <w:name w:val="Hyperlink"/>
    <w:uiPriority w:val="99"/>
    <w:unhideWhenUsed/>
    <w:rPr>
      <w:color w:val="0000ff" w:themeColor="hyperlink"/>
      <w:u w:val="single"/>
    </w:rPr>
  </w:style>
  <w:style w:type="paragraph" w:styleId="801">
    <w:name w:val="footnote text"/>
    <w:basedOn w:val="817"/>
    <w:link w:val="802"/>
    <w:uiPriority w:val="99"/>
    <w:semiHidden/>
    <w:unhideWhenUsed/>
    <w:pPr>
      <w:spacing w:after="40" w:line="240" w:lineRule="auto"/>
    </w:pPr>
    <w:rPr>
      <w:sz w:val="18"/>
    </w:rPr>
  </w:style>
  <w:style w:type="character" w:styleId="802">
    <w:name w:val="Footnote Text Char"/>
    <w:link w:val="801"/>
    <w:uiPriority w:val="99"/>
    <w:rPr>
      <w:sz w:val="18"/>
    </w:rPr>
  </w:style>
  <w:style w:type="character" w:styleId="803">
    <w:name w:val="footnote reference"/>
    <w:basedOn w:val="827"/>
    <w:uiPriority w:val="99"/>
    <w:unhideWhenUsed/>
    <w:rPr>
      <w:vertAlign w:val="superscript"/>
    </w:rPr>
  </w:style>
  <w:style w:type="paragraph" w:styleId="804">
    <w:name w:val="endnote text"/>
    <w:basedOn w:val="817"/>
    <w:link w:val="805"/>
    <w:uiPriority w:val="99"/>
    <w:semiHidden/>
    <w:unhideWhenUsed/>
    <w:pPr>
      <w:spacing w:after="0" w:line="240" w:lineRule="auto"/>
    </w:pPr>
    <w:rPr>
      <w:sz w:val="20"/>
    </w:rPr>
  </w:style>
  <w:style w:type="character" w:styleId="805">
    <w:name w:val="Endnote Text Char"/>
    <w:link w:val="804"/>
    <w:uiPriority w:val="99"/>
    <w:rPr>
      <w:sz w:val="20"/>
    </w:rPr>
  </w:style>
  <w:style w:type="character" w:styleId="806">
    <w:name w:val="endnote reference"/>
    <w:basedOn w:val="827"/>
    <w:uiPriority w:val="99"/>
    <w:semiHidden/>
    <w:unhideWhenUsed/>
    <w:rPr>
      <w:vertAlign w:val="superscript"/>
    </w:rPr>
  </w:style>
  <w:style w:type="paragraph" w:styleId="807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8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9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10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1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2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3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4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5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rPr>
      <w:i/>
      <w:iCs/>
      <w:sz w:val="20"/>
      <w:szCs w:val="20"/>
    </w:rPr>
  </w:style>
  <w:style w:type="paragraph" w:styleId="818">
    <w:name w:val="Heading 1"/>
    <w:basedOn w:val="817"/>
    <w:next w:val="817"/>
    <w:link w:val="830"/>
    <w:uiPriority w:val="9"/>
    <w:qFormat/>
    <w:pPr>
      <w:contextualSpacing/>
      <w:spacing w:before="480" w:after="100" w:line="269" w:lineRule="auto"/>
      <w:shd w:val="clear" w:color="auto" w:fill="f2dbdb" w:themeFill="accent2" w:themeFillTint="33"/>
      <w:pBdr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pBdr>
      <w:outlineLvl w:val="0"/>
    </w:pPr>
    <w:rPr>
      <w:rFonts w:asciiTheme="majorHAnsi" w:hAnsiTheme="majorHAnsi" w:eastAsiaTheme="majorEastAsia" w:cstheme="majorBidi"/>
      <w:b/>
      <w:bCs/>
      <w:color w:val="622423" w:themeColor="accent2" w:themeShade="7F"/>
      <w:sz w:val="22"/>
      <w:szCs w:val="22"/>
    </w:rPr>
  </w:style>
  <w:style w:type="paragraph" w:styleId="819">
    <w:name w:val="Heading 2"/>
    <w:basedOn w:val="817"/>
    <w:next w:val="817"/>
    <w:link w:val="831"/>
    <w:uiPriority w:val="9"/>
    <w:semiHidden/>
    <w:unhideWhenUsed/>
    <w:qFormat/>
    <w:pPr>
      <w:contextualSpacing/>
      <w:ind w:left="144"/>
      <w:spacing w:before="200" w:after="100" w:line="269" w:lineRule="auto"/>
      <w:pBdr>
        <w:top w:val="single" w:color="C0504D" w:themeColor="accent2" w:sz="4" w:space="0"/>
        <w:left w:val="single" w:color="C0504D" w:themeColor="accent2" w:sz="48" w:space="2"/>
        <w:bottom w:val="single" w:color="C0504D" w:themeColor="accent2" w:sz="4" w:space="0"/>
        <w:right w:val="single" w:color="C0504D" w:themeColor="accent2" w:sz="4" w:space="4"/>
      </w:pBdr>
      <w:outlineLvl w:val="1"/>
    </w:pPr>
    <w:rPr>
      <w:rFonts w:asciiTheme="majorHAnsi" w:hAnsiTheme="majorHAnsi" w:eastAsiaTheme="majorEastAsia" w:cstheme="majorBidi"/>
      <w:b/>
      <w:bCs/>
      <w:color w:val="943634" w:themeColor="accent2" w:themeShade="BF"/>
      <w:sz w:val="22"/>
      <w:szCs w:val="22"/>
    </w:rPr>
  </w:style>
  <w:style w:type="paragraph" w:styleId="820">
    <w:name w:val="Heading 3"/>
    <w:basedOn w:val="817"/>
    <w:next w:val="817"/>
    <w:link w:val="832"/>
    <w:uiPriority w:val="9"/>
    <w:semiHidden/>
    <w:unhideWhenUsed/>
    <w:qFormat/>
    <w:pPr>
      <w:contextualSpacing/>
      <w:ind w:left="144"/>
      <w:spacing w:before="200" w:after="100" w:line="240" w:lineRule="auto"/>
      <w:pBdr>
        <w:left w:val="single" w:color="C0504D" w:themeColor="accent2" w:sz="48" w:space="2"/>
        <w:bottom w:val="single" w:color="C0504D" w:themeColor="accent2" w:sz="4" w:space="0"/>
      </w:pBdr>
      <w:outlineLvl w:val="2"/>
    </w:pPr>
    <w:rPr>
      <w:rFonts w:asciiTheme="majorHAnsi" w:hAnsiTheme="majorHAnsi" w:eastAsiaTheme="majorEastAsia" w:cstheme="majorBidi"/>
      <w:b/>
      <w:bCs/>
      <w:color w:val="943634" w:themeColor="accent2" w:themeShade="BF"/>
      <w:sz w:val="22"/>
      <w:szCs w:val="22"/>
    </w:rPr>
  </w:style>
  <w:style w:type="paragraph" w:styleId="821">
    <w:name w:val="Heading 4"/>
    <w:basedOn w:val="817"/>
    <w:next w:val="817"/>
    <w:link w:val="833"/>
    <w:uiPriority w:val="9"/>
    <w:semiHidden/>
    <w:unhideWhenUsed/>
    <w:qFormat/>
    <w:pPr>
      <w:contextualSpacing/>
      <w:ind w:left="86"/>
      <w:spacing w:before="200" w:after="100" w:line="240" w:lineRule="auto"/>
      <w:pBdr>
        <w:left w:val="single" w:color="C0504D" w:themeColor="accent2" w:sz="4" w:space="2"/>
        <w:bottom w:val="single" w:color="C0504D" w:themeColor="accent2" w:sz="4" w:space="2"/>
      </w:pBdr>
      <w:outlineLvl w:val="3"/>
    </w:pPr>
    <w:rPr>
      <w:rFonts w:asciiTheme="majorHAnsi" w:hAnsiTheme="majorHAnsi" w:eastAsiaTheme="majorEastAsia" w:cstheme="majorBidi"/>
      <w:b/>
      <w:bCs/>
      <w:color w:val="943634" w:themeColor="accent2" w:themeShade="BF"/>
      <w:sz w:val="22"/>
      <w:szCs w:val="22"/>
    </w:rPr>
  </w:style>
  <w:style w:type="paragraph" w:styleId="822">
    <w:name w:val="Heading 5"/>
    <w:basedOn w:val="817"/>
    <w:next w:val="817"/>
    <w:link w:val="834"/>
    <w:uiPriority w:val="9"/>
    <w:semiHidden/>
    <w:unhideWhenUsed/>
    <w:qFormat/>
    <w:pPr>
      <w:contextualSpacing/>
      <w:ind w:left="86"/>
      <w:spacing w:before="200" w:after="100" w:line="240" w:lineRule="auto"/>
      <w:pBdr>
        <w:left w:val="single" w:color="C0504D" w:themeColor="accent2" w:sz="4" w:space="2"/>
        <w:bottom w:val="single" w:color="C0504D" w:themeColor="accent2" w:sz="4" w:space="2"/>
      </w:pBdr>
      <w:outlineLvl w:val="4"/>
    </w:pPr>
    <w:rPr>
      <w:rFonts w:asciiTheme="majorHAnsi" w:hAnsiTheme="majorHAnsi" w:eastAsiaTheme="majorEastAsia" w:cstheme="majorBidi"/>
      <w:b/>
      <w:bCs/>
      <w:color w:val="943634" w:themeColor="accent2" w:themeShade="BF"/>
      <w:sz w:val="22"/>
      <w:szCs w:val="22"/>
    </w:rPr>
  </w:style>
  <w:style w:type="paragraph" w:styleId="823">
    <w:name w:val="Heading 6"/>
    <w:basedOn w:val="817"/>
    <w:next w:val="817"/>
    <w:link w:val="835"/>
    <w:uiPriority w:val="9"/>
    <w:semiHidden/>
    <w:unhideWhenUsed/>
    <w:qFormat/>
    <w:pPr>
      <w:contextualSpacing/>
      <w:spacing w:before="200" w:after="100" w:line="240" w:lineRule="auto"/>
      <w:pBdr>
        <w:bottom w:val="single" w:color="E5B8B7" w:themeColor="accent2" w:themeTint="66" w:sz="4" w:space="2"/>
      </w:pBdr>
      <w:outlineLvl w:val="5"/>
    </w:pPr>
    <w:rPr>
      <w:rFonts w:asciiTheme="majorHAnsi" w:hAnsiTheme="majorHAnsi" w:eastAsiaTheme="majorEastAsia" w:cstheme="majorBidi"/>
      <w:color w:val="943634" w:themeColor="accent2" w:themeShade="BF"/>
      <w:sz w:val="22"/>
      <w:szCs w:val="22"/>
    </w:rPr>
  </w:style>
  <w:style w:type="paragraph" w:styleId="824">
    <w:name w:val="Heading 7"/>
    <w:basedOn w:val="817"/>
    <w:next w:val="817"/>
    <w:link w:val="836"/>
    <w:uiPriority w:val="9"/>
    <w:semiHidden/>
    <w:unhideWhenUsed/>
    <w:qFormat/>
    <w:pPr>
      <w:contextualSpacing/>
      <w:spacing w:before="200" w:after="100" w:line="240" w:lineRule="auto"/>
      <w:pBdr>
        <w:bottom w:val="single" w:color="D99594" w:themeColor="accent2" w:themeTint="99" w:sz="4" w:space="2"/>
      </w:pBdr>
      <w:outlineLvl w:val="6"/>
    </w:pPr>
    <w:rPr>
      <w:rFonts w:asciiTheme="majorHAnsi" w:hAnsiTheme="majorHAnsi" w:eastAsiaTheme="majorEastAsia" w:cstheme="majorBidi"/>
      <w:color w:val="943634" w:themeColor="accent2" w:themeShade="BF"/>
      <w:sz w:val="22"/>
      <w:szCs w:val="22"/>
    </w:rPr>
  </w:style>
  <w:style w:type="paragraph" w:styleId="825">
    <w:name w:val="Heading 8"/>
    <w:basedOn w:val="817"/>
    <w:next w:val="817"/>
    <w:link w:val="837"/>
    <w:uiPriority w:val="9"/>
    <w:semiHidden/>
    <w:unhideWhenUsed/>
    <w:qFormat/>
    <w:pPr>
      <w:contextualSpacing/>
      <w:spacing w:before="200" w:after="100" w:line="240" w:lineRule="auto"/>
      <w:outlineLvl w:val="7"/>
    </w:pPr>
    <w:rPr>
      <w:rFonts w:asciiTheme="majorHAnsi" w:hAnsiTheme="majorHAnsi" w:eastAsiaTheme="majorEastAsia" w:cstheme="majorBidi"/>
      <w:color w:val="c0504d" w:themeColor="accent2"/>
      <w:sz w:val="22"/>
      <w:szCs w:val="22"/>
    </w:rPr>
  </w:style>
  <w:style w:type="paragraph" w:styleId="826">
    <w:name w:val="Heading 9"/>
    <w:basedOn w:val="817"/>
    <w:next w:val="817"/>
    <w:link w:val="838"/>
    <w:uiPriority w:val="9"/>
    <w:semiHidden/>
    <w:unhideWhenUsed/>
    <w:qFormat/>
    <w:pPr>
      <w:contextualSpacing/>
      <w:spacing w:before="200" w:after="100" w:line="240" w:lineRule="auto"/>
      <w:outlineLvl w:val="8"/>
    </w:pPr>
    <w:rPr>
      <w:rFonts w:asciiTheme="majorHAnsi" w:hAnsiTheme="majorHAnsi" w:eastAsiaTheme="majorEastAsia" w:cstheme="majorBidi"/>
      <w:color w:val="c0504d" w:themeColor="accent2"/>
    </w:rPr>
  </w:style>
  <w:style w:type="character" w:styleId="827" w:default="1">
    <w:name w:val="Default Paragraph Font"/>
    <w:uiPriority w:val="1"/>
    <w:semiHidden/>
    <w:unhideWhenUsed/>
  </w:style>
  <w:style w:type="table" w:styleId="82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9" w:default="1">
    <w:name w:val="No List"/>
    <w:uiPriority w:val="99"/>
    <w:semiHidden/>
    <w:unhideWhenUsed/>
  </w:style>
  <w:style w:type="character" w:styleId="830" w:customStyle="1">
    <w:name w:val="Заголовок 1 Знак"/>
    <w:basedOn w:val="827"/>
    <w:link w:val="818"/>
    <w:uiPriority w:val="9"/>
    <w:rPr>
      <w:rFonts w:asciiTheme="majorHAnsi" w:hAnsiTheme="majorHAnsi" w:eastAsiaTheme="majorEastAsia" w:cstheme="majorBidi"/>
      <w:b/>
      <w:bCs/>
      <w:i/>
      <w:iCs/>
      <w:color w:val="622423" w:themeColor="accent2" w:themeShade="7F"/>
      <w:shd w:val="clear" w:color="auto" w:fill="f2dbdb" w:themeFill="accent2" w:themeFillTint="33"/>
    </w:rPr>
  </w:style>
  <w:style w:type="character" w:styleId="831" w:customStyle="1">
    <w:name w:val="Заголовок 2 Знак"/>
    <w:basedOn w:val="827"/>
    <w:link w:val="819"/>
    <w:uiPriority w:val="9"/>
    <w:semiHidden/>
    <w:rPr>
      <w:rFonts w:asciiTheme="majorHAnsi" w:hAnsiTheme="majorHAnsi" w:eastAsiaTheme="majorEastAsia" w:cstheme="majorBidi"/>
      <w:b/>
      <w:bCs/>
      <w:i/>
      <w:iCs/>
      <w:color w:val="943634" w:themeColor="accent2" w:themeShade="BF"/>
    </w:rPr>
  </w:style>
  <w:style w:type="character" w:styleId="832" w:customStyle="1">
    <w:name w:val="Заголовок 3 Знак"/>
    <w:basedOn w:val="827"/>
    <w:link w:val="820"/>
    <w:uiPriority w:val="9"/>
    <w:semiHidden/>
    <w:rPr>
      <w:rFonts w:asciiTheme="majorHAnsi" w:hAnsiTheme="majorHAnsi" w:eastAsiaTheme="majorEastAsia" w:cstheme="majorBidi"/>
      <w:b/>
      <w:bCs/>
      <w:i/>
      <w:iCs/>
      <w:color w:val="943634" w:themeColor="accent2" w:themeShade="BF"/>
    </w:rPr>
  </w:style>
  <w:style w:type="character" w:styleId="833" w:customStyle="1">
    <w:name w:val="Заголовок 4 Знак"/>
    <w:basedOn w:val="827"/>
    <w:link w:val="821"/>
    <w:uiPriority w:val="9"/>
    <w:semiHidden/>
    <w:rPr>
      <w:rFonts w:asciiTheme="majorHAnsi" w:hAnsiTheme="majorHAnsi" w:eastAsiaTheme="majorEastAsia" w:cstheme="majorBidi"/>
      <w:b/>
      <w:bCs/>
      <w:i/>
      <w:iCs/>
      <w:color w:val="943634" w:themeColor="accent2" w:themeShade="BF"/>
    </w:rPr>
  </w:style>
  <w:style w:type="character" w:styleId="834" w:customStyle="1">
    <w:name w:val="Заголовок 5 Знак"/>
    <w:basedOn w:val="827"/>
    <w:link w:val="822"/>
    <w:uiPriority w:val="9"/>
    <w:semiHidden/>
    <w:rPr>
      <w:rFonts w:asciiTheme="majorHAnsi" w:hAnsiTheme="majorHAnsi" w:eastAsiaTheme="majorEastAsia" w:cstheme="majorBidi"/>
      <w:b/>
      <w:bCs/>
      <w:i/>
      <w:iCs/>
      <w:color w:val="943634" w:themeColor="accent2" w:themeShade="BF"/>
    </w:rPr>
  </w:style>
  <w:style w:type="character" w:styleId="835" w:customStyle="1">
    <w:name w:val="Заголовок 6 Знак"/>
    <w:basedOn w:val="827"/>
    <w:link w:val="823"/>
    <w:uiPriority w:val="9"/>
    <w:semiHidden/>
    <w:rPr>
      <w:rFonts w:asciiTheme="majorHAnsi" w:hAnsiTheme="majorHAnsi" w:eastAsiaTheme="majorEastAsia" w:cstheme="majorBidi"/>
      <w:i/>
      <w:iCs/>
      <w:color w:val="943634" w:themeColor="accent2" w:themeShade="BF"/>
    </w:rPr>
  </w:style>
  <w:style w:type="character" w:styleId="836" w:customStyle="1">
    <w:name w:val="Заголовок 7 Знак"/>
    <w:basedOn w:val="827"/>
    <w:link w:val="824"/>
    <w:uiPriority w:val="9"/>
    <w:semiHidden/>
    <w:rPr>
      <w:rFonts w:asciiTheme="majorHAnsi" w:hAnsiTheme="majorHAnsi" w:eastAsiaTheme="majorEastAsia" w:cstheme="majorBidi"/>
      <w:i/>
      <w:iCs/>
      <w:color w:val="943634" w:themeColor="accent2" w:themeShade="BF"/>
    </w:rPr>
  </w:style>
  <w:style w:type="character" w:styleId="837" w:customStyle="1">
    <w:name w:val="Заголовок 8 Знак"/>
    <w:basedOn w:val="827"/>
    <w:link w:val="825"/>
    <w:uiPriority w:val="9"/>
    <w:semiHidden/>
    <w:rPr>
      <w:rFonts w:asciiTheme="majorHAnsi" w:hAnsiTheme="majorHAnsi" w:eastAsiaTheme="majorEastAsia" w:cstheme="majorBidi"/>
      <w:i/>
      <w:iCs/>
      <w:color w:val="c0504d" w:themeColor="accent2"/>
    </w:rPr>
  </w:style>
  <w:style w:type="character" w:styleId="838" w:customStyle="1">
    <w:name w:val="Заголовок 9 Знак"/>
    <w:basedOn w:val="827"/>
    <w:link w:val="826"/>
    <w:uiPriority w:val="9"/>
    <w:semiHidden/>
    <w:rPr>
      <w:rFonts w:asciiTheme="majorHAnsi" w:hAnsiTheme="majorHAnsi" w:eastAsiaTheme="majorEastAsia" w:cstheme="majorBidi"/>
      <w:i/>
      <w:iCs/>
      <w:color w:val="c0504d" w:themeColor="accent2"/>
      <w:sz w:val="20"/>
      <w:szCs w:val="20"/>
    </w:rPr>
  </w:style>
  <w:style w:type="paragraph" w:styleId="839">
    <w:name w:val="Caption"/>
    <w:basedOn w:val="817"/>
    <w:next w:val="817"/>
    <w:uiPriority w:val="35"/>
    <w:semiHidden/>
    <w:unhideWhenUsed/>
    <w:qFormat/>
    <w:rPr>
      <w:b/>
      <w:bCs/>
      <w:color w:val="943634" w:themeColor="accent2" w:themeShade="BF"/>
      <w:sz w:val="18"/>
      <w:szCs w:val="18"/>
    </w:rPr>
  </w:style>
  <w:style w:type="paragraph" w:styleId="840">
    <w:name w:val="Title"/>
    <w:basedOn w:val="817"/>
    <w:next w:val="817"/>
    <w:link w:val="841"/>
    <w:uiPriority w:val="10"/>
    <w:qFormat/>
    <w:pPr>
      <w:jc w:val="center"/>
      <w:spacing w:after="0" w:line="240" w:lineRule="auto"/>
      <w:shd w:val="clear" w:color="auto" w:fill="c0504d" w:themeFill="accent2"/>
      <w:pBdr>
        <w:top w:val="single" w:color="C0504D" w:themeColor="accent2" w:sz="48" w:space="0"/>
        <w:bottom w:val="single" w:color="C0504D" w:themeColor="accent2" w:sz="48" w:space="0"/>
      </w:pBdr>
    </w:pPr>
    <w:rPr>
      <w:rFonts w:asciiTheme="majorHAnsi" w:hAnsiTheme="majorHAnsi" w:eastAsiaTheme="majorEastAsia" w:cstheme="majorBidi"/>
      <w:color w:val="ffffff" w:themeColor="background1"/>
      <w:spacing w:val="10"/>
      <w:sz w:val="48"/>
      <w:szCs w:val="48"/>
    </w:rPr>
  </w:style>
  <w:style w:type="character" w:styleId="841" w:customStyle="1">
    <w:name w:val="Название Знак"/>
    <w:basedOn w:val="827"/>
    <w:link w:val="840"/>
    <w:uiPriority w:val="10"/>
    <w:rPr>
      <w:rFonts w:asciiTheme="majorHAnsi" w:hAnsiTheme="majorHAnsi" w:eastAsiaTheme="majorEastAsia" w:cstheme="majorBidi"/>
      <w:i/>
      <w:iCs/>
      <w:color w:val="ffffff" w:themeColor="background1"/>
      <w:spacing w:val="10"/>
      <w:sz w:val="48"/>
      <w:szCs w:val="48"/>
      <w:shd w:val="clear" w:color="auto" w:fill="c0504d" w:themeFill="accent2"/>
    </w:rPr>
  </w:style>
  <w:style w:type="paragraph" w:styleId="842">
    <w:name w:val="Subtitle"/>
    <w:basedOn w:val="817"/>
    <w:next w:val="817"/>
    <w:link w:val="843"/>
    <w:uiPriority w:val="11"/>
    <w:qFormat/>
    <w:pPr>
      <w:jc w:val="center"/>
      <w:spacing w:before="200" w:after="900" w:line="240" w:lineRule="auto"/>
      <w:pBdr>
        <w:bottom w:val="single" w:color="C0504D" w:themeColor="accent2" w:sz="8" w:space="10"/>
      </w:pBdr>
    </w:pPr>
    <w:rPr>
      <w:rFonts w:asciiTheme="majorHAnsi" w:hAnsiTheme="majorHAnsi" w:eastAsiaTheme="majorEastAsia" w:cstheme="majorBidi"/>
      <w:color w:val="622423" w:themeColor="accent2" w:themeShade="7F"/>
      <w:sz w:val="24"/>
      <w:szCs w:val="24"/>
    </w:rPr>
  </w:style>
  <w:style w:type="character" w:styleId="843" w:customStyle="1">
    <w:name w:val="Подзаголовок Знак"/>
    <w:basedOn w:val="827"/>
    <w:link w:val="842"/>
    <w:uiPriority w:val="11"/>
    <w:rPr>
      <w:rFonts w:asciiTheme="majorHAnsi" w:hAnsiTheme="majorHAnsi" w:eastAsiaTheme="majorEastAsia" w:cstheme="majorBidi"/>
      <w:i/>
      <w:iCs/>
      <w:color w:val="622423" w:themeColor="accent2" w:themeShade="7F"/>
      <w:sz w:val="24"/>
      <w:szCs w:val="24"/>
    </w:rPr>
  </w:style>
  <w:style w:type="character" w:styleId="844">
    <w:name w:val="Strong"/>
    <w:uiPriority w:val="22"/>
    <w:qFormat/>
    <w:rPr>
      <w:b/>
      <w:bCs/>
      <w:spacing w:val="0"/>
    </w:rPr>
  </w:style>
  <w:style w:type="character" w:styleId="845">
    <w:name w:val="Emphasis"/>
    <w:uiPriority w:val="20"/>
    <w:qFormat/>
    <w:rPr>
      <w:rFonts w:asciiTheme="majorHAnsi" w:hAnsiTheme="majorHAnsi" w:eastAsiaTheme="majorEastAsia" w:cstheme="majorBidi"/>
      <w:b/>
      <w:bCs/>
      <w:i/>
      <w:iCs/>
      <w:color w:val="c0504d" w:themeColor="accent2"/>
      <w:shd w:val="clear" w:color="auto" w:fill="f2dbdb" w:themeFill="accent2" w:themeFillTint="33"/>
    </w:rPr>
  </w:style>
  <w:style w:type="paragraph" w:styleId="846">
    <w:name w:val="No Spacing"/>
    <w:basedOn w:val="817"/>
    <w:uiPriority w:val="1"/>
    <w:qFormat/>
    <w:pPr>
      <w:spacing w:after="0" w:line="240" w:lineRule="auto"/>
    </w:pPr>
  </w:style>
  <w:style w:type="paragraph" w:styleId="847">
    <w:name w:val="List Paragraph"/>
    <w:basedOn w:val="817"/>
    <w:uiPriority w:val="34"/>
    <w:qFormat/>
    <w:pPr>
      <w:contextualSpacing/>
      <w:ind w:left="720"/>
    </w:pPr>
  </w:style>
  <w:style w:type="paragraph" w:styleId="848">
    <w:name w:val="Quote"/>
    <w:basedOn w:val="817"/>
    <w:next w:val="817"/>
    <w:link w:val="849"/>
    <w:uiPriority w:val="29"/>
    <w:qFormat/>
    <w:rPr>
      <w:i w:val="0"/>
      <w:iCs w:val="0"/>
      <w:color w:val="943634" w:themeColor="accent2" w:themeShade="BF"/>
    </w:rPr>
  </w:style>
  <w:style w:type="character" w:styleId="849" w:customStyle="1">
    <w:name w:val="Цитата 2 Знак"/>
    <w:basedOn w:val="827"/>
    <w:link w:val="848"/>
    <w:uiPriority w:val="29"/>
    <w:rPr>
      <w:color w:val="943634" w:themeColor="accent2" w:themeShade="BF"/>
      <w:sz w:val="20"/>
      <w:szCs w:val="20"/>
    </w:rPr>
  </w:style>
  <w:style w:type="paragraph" w:styleId="850">
    <w:name w:val="Intense Quote"/>
    <w:basedOn w:val="817"/>
    <w:next w:val="817"/>
    <w:link w:val="851"/>
    <w:uiPriority w:val="30"/>
    <w:qFormat/>
    <w:pPr>
      <w:ind w:left="2160" w:right="2160"/>
      <w:jc w:val="center"/>
      <w:spacing w:line="300" w:lineRule="auto"/>
      <w:pBdr>
        <w:top w:val="single" w:color="C0504D" w:themeColor="accent2" w:sz="8" w:space="10"/>
        <w:bottom w:val="single" w:color="C0504D" w:themeColor="accent2" w:sz="8" w:space="10"/>
      </w:pBdr>
    </w:pPr>
    <w:rPr>
      <w:rFonts w:asciiTheme="majorHAnsi" w:hAnsiTheme="majorHAnsi" w:eastAsiaTheme="majorEastAsia" w:cstheme="majorBidi"/>
      <w:b/>
      <w:bCs/>
      <w:color w:val="c0504d" w:themeColor="accent2"/>
    </w:rPr>
  </w:style>
  <w:style w:type="character" w:styleId="851" w:customStyle="1">
    <w:name w:val="Выделенная цитата Знак"/>
    <w:basedOn w:val="827"/>
    <w:link w:val="850"/>
    <w:uiPriority w:val="30"/>
    <w:rPr>
      <w:rFonts w:asciiTheme="majorHAnsi" w:hAnsiTheme="majorHAnsi" w:eastAsiaTheme="majorEastAsia" w:cstheme="majorBidi"/>
      <w:b/>
      <w:bCs/>
      <w:i/>
      <w:iCs/>
      <w:color w:val="c0504d" w:themeColor="accent2"/>
      <w:sz w:val="20"/>
      <w:szCs w:val="20"/>
    </w:rPr>
  </w:style>
  <w:style w:type="character" w:styleId="852">
    <w:name w:val="Subtle Emphasis"/>
    <w:uiPriority w:val="19"/>
    <w:qFormat/>
    <w:rPr>
      <w:rFonts w:asciiTheme="majorHAnsi" w:hAnsiTheme="majorHAnsi" w:eastAsiaTheme="majorEastAsia" w:cstheme="majorBidi"/>
      <w:i/>
      <w:iCs/>
      <w:color w:val="c0504d" w:themeColor="accent2"/>
    </w:rPr>
  </w:style>
  <w:style w:type="character" w:styleId="853">
    <w:name w:val="Intense Emphasis"/>
    <w:uiPriority w:val="21"/>
    <w:qFormat/>
    <w:rPr>
      <w:rFonts w:asciiTheme="majorHAnsi" w:hAnsiTheme="majorHAnsi" w:eastAsiaTheme="majorEastAsia" w:cstheme="majorBidi"/>
      <w:b/>
      <w:bCs/>
      <w:i/>
      <w:iCs/>
      <w:color w:val="ffffff" w:themeColor="background1"/>
      <w:shd w:val="clear" w:color="auto" w:fill="c0504d" w:themeFill="accent2"/>
      <w:vertAlign w:val="baseline"/>
    </w:rPr>
  </w:style>
  <w:style w:type="character" w:styleId="854">
    <w:name w:val="Subtle Reference"/>
    <w:uiPriority w:val="31"/>
    <w:qFormat/>
    <w:rPr>
      <w:i/>
      <w:iCs/>
      <w:smallCaps/>
      <w:color w:val="c0504d" w:themeColor="accent2"/>
    </w:rPr>
  </w:style>
  <w:style w:type="character" w:styleId="855">
    <w:name w:val="Intense Reference"/>
    <w:uiPriority w:val="32"/>
    <w:qFormat/>
    <w:rPr>
      <w:b/>
      <w:bCs/>
      <w:i/>
      <w:iCs/>
      <w:smallCaps/>
      <w:color w:val="c0504d" w:themeColor="accent2"/>
    </w:rPr>
  </w:style>
  <w:style w:type="character" w:styleId="856">
    <w:name w:val="Book Title"/>
    <w:uiPriority w:val="33"/>
    <w:qFormat/>
    <w:rPr>
      <w:rFonts w:asciiTheme="majorHAnsi" w:hAnsiTheme="majorHAnsi" w:eastAsiaTheme="majorEastAsia" w:cstheme="majorBidi"/>
      <w:b/>
      <w:bCs/>
      <w:i/>
      <w:iCs/>
      <w:smallCaps/>
      <w:color w:val="943634" w:themeColor="accent2" w:themeShade="BF"/>
      <w:u w:val="single"/>
    </w:rPr>
  </w:style>
  <w:style w:type="paragraph" w:styleId="857">
    <w:name w:val="TOC Heading"/>
    <w:basedOn w:val="818"/>
    <w:next w:val="817"/>
    <w:uiPriority w:val="39"/>
    <w:semiHidden/>
    <w:unhideWhenUsed/>
    <w:qFormat/>
    <w:pPr>
      <w:outlineLvl w:val="9"/>
    </w:pPr>
    <w:rPr>
      <w:lang w:bidi="en-US"/>
    </w:rPr>
  </w:style>
  <w:style w:type="paragraph" w:styleId="858">
    <w:name w:val="Balloon Text"/>
    <w:basedOn w:val="817"/>
    <w:link w:val="859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59" w:customStyle="1">
    <w:name w:val="Текст выноски Знак"/>
    <w:basedOn w:val="827"/>
    <w:link w:val="858"/>
    <w:uiPriority w:val="99"/>
    <w:semiHidden/>
    <w:rPr>
      <w:rFonts w:ascii="Tahoma" w:hAnsi="Tahoma" w:cs="Tahoma"/>
      <w:i/>
      <w:iCs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320F7F-006F-48F0-9091-FF195AF2D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Company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Pikina</dc:creator>
  <cp:revision>14</cp:revision>
  <dcterms:created xsi:type="dcterms:W3CDTF">2026-01-22T05:11:00Z</dcterms:created>
  <dcterms:modified xsi:type="dcterms:W3CDTF">2026-01-28T14:07:12Z</dcterms:modified>
</cp:coreProperties>
</file>