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30.01.2026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</w:t>
      </w:r>
      <w:r>
        <w:rPr>
          <w:b/>
          <w:sz w:val="24"/>
        </w:rPr>
        <w:t xml:space="preserve">№ 151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установлении размеров авансовых платежей при заключении муниципальных контрактов,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гражданско-правовых договоров </w:t>
      </w:r>
      <w:r>
        <w:rPr>
          <w:b/>
        </w:rPr>
      </w:r>
      <w:r>
        <w:rPr>
          <w:b/>
        </w:rPr>
      </w:r>
    </w:p>
    <w:p>
      <w:pPr>
        <w:pStyle w:val="871"/>
        <w:ind w:firstLine="708"/>
        <w:jc w:val="both"/>
        <w:spacing w:before="0" w:beforeAutospacing="0" w:after="0" w:afterAutospacing="0"/>
      </w:pPr>
      <w:r/>
      <w:r/>
    </w:p>
    <w:p>
      <w:pPr>
        <w:pStyle w:val="871"/>
        <w:ind w:firstLine="708"/>
        <w:jc w:val="both"/>
        <w:spacing w:before="0" w:beforeAutospacing="0" w:after="0" w:afterAutospacing="0"/>
      </w:pPr>
      <w:r/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Федерации, от 05.04.2013 </w:t>
      </w:r>
      <w:r>
        <w:rPr>
          <w:sz w:val="24"/>
          <w:szCs w:val="24"/>
        </w:rPr>
        <w:br/>
        <w:t xml:space="preserve">№ 44-ФЗ «О контрактной системе в сфере закупок товаров, работ, услуг</w:t>
      </w:r>
      <w:r>
        <w:rPr>
          <w:sz w:val="24"/>
          <w:szCs w:val="24"/>
        </w:rPr>
        <w:t xml:space="preserve"> для обеспечения государственных и муниципальных нужд», решением Совета депутатов Печенгского муниципального округа от 19.12.2025 № 22 «О бюджете округа на 2026 год и на плановый период 2027 и 2028 годов», в целях установления размеров</w:t>
      </w:r>
      <w:r>
        <w:rPr>
          <w:sz w:val="24"/>
          <w:szCs w:val="24"/>
        </w:rPr>
        <w:t xml:space="preserve"> авансовых платежей п</w:t>
      </w:r>
      <w:r>
        <w:rPr>
          <w:sz w:val="24"/>
          <w:szCs w:val="24"/>
        </w:rPr>
        <w:t xml:space="preserve">ри заключении муниципальных контрактов и </w:t>
      </w:r>
      <w:r>
        <w:rPr>
          <w:sz w:val="24"/>
          <w:szCs w:val="24"/>
        </w:rPr>
        <w:t xml:space="preserve">гражданско</w:t>
      </w:r>
      <w:r>
        <w:rPr>
          <w:sz w:val="24"/>
          <w:szCs w:val="24"/>
        </w:rPr>
        <w:t xml:space="preserve"> - правовых договоров в 2026 году,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1.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Установить, что получатели средств местного бюджета, бюджетные и автономные учреждения</w:t>
      </w:r>
      <w:r>
        <w:rPr>
          <w:sz w:val="24"/>
          <w:szCs w:val="24"/>
        </w:rPr>
        <w:t xml:space="preserve"> вправе предусматривать в заключаемых ими муниципальных контрактах (</w:t>
      </w:r>
      <w:r>
        <w:rPr>
          <w:sz w:val="24"/>
          <w:szCs w:val="24"/>
        </w:rPr>
        <w:t xml:space="preserve">гражданско</w:t>
      </w:r>
      <w:r>
        <w:rPr>
          <w:sz w:val="24"/>
          <w:szCs w:val="24"/>
        </w:rPr>
        <w:t xml:space="preserve"> - правовых договорах) (далее – контракт, договор) на поставку товара, выполнение работ, оказание услуг авансовые платежи в размере и порядке, которые установлены настоящим пункт</w:t>
      </w:r>
      <w:r>
        <w:rPr>
          <w:sz w:val="24"/>
          <w:szCs w:val="24"/>
        </w:rPr>
        <w:t xml:space="preserve">ом, если иное не установлено законодательством Российской Федерации, нормативными правовыми актами Мурманской области, нормативными правовыми актами Печенгского муниципального округа для такого</w:t>
      </w:r>
      <w:r>
        <w:rPr>
          <w:sz w:val="24"/>
          <w:szCs w:val="24"/>
        </w:rPr>
        <w:t xml:space="preserve"> контракта (договора), но не более лимитов бюджетных обязательс</w:t>
      </w:r>
      <w:r>
        <w:rPr>
          <w:sz w:val="24"/>
          <w:szCs w:val="24"/>
        </w:rPr>
        <w:t xml:space="preserve">тв на соответствующий финансовый год, доведенных до них в установленном порядке на соответствующие цели: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1.1. </w:t>
      </w:r>
      <w:r>
        <w:rPr>
          <w:sz w:val="24"/>
          <w:szCs w:val="24"/>
        </w:rPr>
        <w:t xml:space="preserve">В размере, не превышающем 30 процентов от суммы контракта (договора) на поставку товара, выполнение работ, оказание услуг, в том числе от контракт</w:t>
      </w:r>
      <w:r>
        <w:rPr>
          <w:sz w:val="24"/>
          <w:szCs w:val="24"/>
        </w:rPr>
        <w:t xml:space="preserve">а (договора) на выполнение работ по строительству, реконструкции и капитальному ремонту объектов капитального строительства муниципальной собственности Печенгского муниципального округа,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за исключением контрактов (договоров), указанных в подпункте 1.3. нас</w:t>
      </w:r>
      <w:r>
        <w:rPr>
          <w:sz w:val="24"/>
          <w:szCs w:val="24"/>
        </w:rPr>
        <w:t xml:space="preserve">тоящего пункта;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От 30 до 50 процентов включительно от суммы контракта (договора) на поставку товара, выполнение работ, оказание услуг, </w:t>
      </w:r>
      <w:r>
        <w:rPr>
          <w:sz w:val="24"/>
          <w:szCs w:val="24"/>
        </w:rPr>
        <w:t xml:space="preserve">средства</w:t>
      </w:r>
      <w:r>
        <w:rPr>
          <w:sz w:val="24"/>
          <w:szCs w:val="24"/>
        </w:rPr>
        <w:t xml:space="preserve"> на финансовое обеспечение которых подлежат казначейскому сопровождению в соответствии с бюджетным законодат</w:t>
      </w:r>
      <w:r>
        <w:rPr>
          <w:sz w:val="24"/>
          <w:szCs w:val="24"/>
        </w:rPr>
        <w:t xml:space="preserve">ельством Российской Федерации, за исключением контрактов (договоров), указанных в подпункте 1.3. настоящего пункта;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До 100 процентов включительно от суммы контракта (договора):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 оказании услуг почтовой связи;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подписке на печатные издания и и</w:t>
      </w:r>
      <w:r>
        <w:rPr>
          <w:sz w:val="24"/>
          <w:szCs w:val="24"/>
        </w:rPr>
        <w:t xml:space="preserve">х приобретении, в том числе на электронные издания;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о профессиональной переподготовке и повышении квалификации (курсы, семинары), обучении сотрудников;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об организации проведения совещаний, выставок, конференций, презентаций, бизнес-миссий, фестивалей, </w:t>
      </w:r>
      <w:r>
        <w:rPr>
          <w:sz w:val="24"/>
          <w:szCs w:val="24"/>
        </w:rPr>
        <w:t xml:space="preserve">конкурсов, форумов, тренингов,</w:t>
      </w:r>
      <w:r>
        <w:t xml:space="preserve"> </w:t>
      </w:r>
      <w:r>
        <w:rPr>
          <w:sz w:val="24"/>
          <w:szCs w:val="24"/>
        </w:rPr>
        <w:t xml:space="preserve">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округа, мероприятий в сфере молодежной политики, физкультурных и спорт</w:t>
      </w:r>
      <w:r>
        <w:rPr>
          <w:sz w:val="24"/>
          <w:szCs w:val="24"/>
        </w:rPr>
        <w:t xml:space="preserve">ивных мероприятий, всероссийских олимпиад, а также о приобретении товаров, работ, услуг, необходимых для проведения и (или) участия в указанных мероприятиях;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проведении государственной экспертизы проектной документации и результатов инженерных изыскани</w:t>
      </w:r>
      <w:r>
        <w:rPr>
          <w:sz w:val="24"/>
          <w:szCs w:val="24"/>
        </w:rPr>
        <w:t xml:space="preserve">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проведении </w:t>
      </w:r>
      <w:r>
        <w:rPr>
          <w:sz w:val="24"/>
          <w:szCs w:val="24"/>
        </w:rPr>
        <w:t xml:space="preserve">проверки достоверности определения сметной стоимости объектов капитального строительства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 оплате авиа - и железнодорожных билетов, билетов для проезда городским и пригородным транспортом, путевок на </w:t>
      </w:r>
      <w:r>
        <w:rPr>
          <w:sz w:val="24"/>
          <w:szCs w:val="24"/>
        </w:rPr>
        <w:t xml:space="preserve">санаторно</w:t>
      </w:r>
      <w:r>
        <w:rPr>
          <w:sz w:val="24"/>
          <w:szCs w:val="24"/>
        </w:rPr>
        <w:t xml:space="preserve"> - курортное лечение;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об оказании </w:t>
      </w:r>
      <w:r>
        <w:rPr>
          <w:sz w:val="24"/>
          <w:szCs w:val="24"/>
        </w:rPr>
        <w:t xml:space="preserve">услуг обязательного страхования гражданской ответственности владельцев транспортных средств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 оказании услуг на организацию отдыха, оздоровления и лечения;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поставке бланков свидетельств о государственной регистрации актов гражданского с</w:t>
      </w:r>
      <w:r>
        <w:rPr>
          <w:sz w:val="24"/>
          <w:szCs w:val="24"/>
        </w:rPr>
        <w:t xml:space="preserve">остояния;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 оказании гостиничных услуг по месту командирования;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 проведение государственной экологической экспертизы;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проведении мероприятий по тушению пожаров;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приобретении горюче - смазочных материалов;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приобретении программного обеспе</w:t>
      </w:r>
      <w:r>
        <w:rPr>
          <w:sz w:val="24"/>
          <w:szCs w:val="24"/>
        </w:rPr>
        <w:t xml:space="preserve">чения, лицензии на программное обеспечение, услуги по настройке и модернизации программного обеспечения, услуг в сфере информационных технологий;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о закупке товаров, работ, услуг у учреждений и предприятий уголовно-исполнительной системы;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 предоставлен</w:t>
      </w:r>
      <w:r>
        <w:rPr>
          <w:sz w:val="24"/>
          <w:szCs w:val="24"/>
        </w:rPr>
        <w:t xml:space="preserve">ии коммунальных услуг;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компенсация нарушенного права собственности (компенсация расходов собственника связанных с переустройством объекта) при строительстве объекта Заказчика;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технологическое присоединение к инженерным сетям электро-, тепло- и водоснаб</w:t>
      </w:r>
      <w:r>
        <w:rPr>
          <w:sz w:val="24"/>
          <w:szCs w:val="24"/>
        </w:rPr>
        <w:t xml:space="preserve">жения и канализации, а также получение технических условий на проектирование;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получение технических условий на технологическое присоединение к инженерным сетям электро-, тепло- и водоснабжения и канализации, монтаж узлов учета расхода холодной воды, приб</w:t>
      </w:r>
      <w:r>
        <w:rPr>
          <w:sz w:val="24"/>
          <w:szCs w:val="24"/>
        </w:rPr>
        <w:t xml:space="preserve">оров учета электрической энергии.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Установить, что получатели средств местного бюджета, бюджетные и автономные учреждения вправе в соответствии с частью 65.1. статьи 112 Федерального закона </w:t>
      </w:r>
      <w:r>
        <w:rPr>
          <w:sz w:val="24"/>
          <w:szCs w:val="24"/>
        </w:rPr>
        <w:br/>
        <w:t xml:space="preserve">от 05.04.2013 № 44-ФЗ «О контрактной системе в сфере закупок т</w:t>
      </w:r>
      <w:r>
        <w:rPr>
          <w:sz w:val="24"/>
          <w:szCs w:val="24"/>
        </w:rPr>
        <w:t xml:space="preserve">оваров, работ, услуг для обеспечения государственных и муниципальных нужд» внести по соглашению сторон в заключенные до дня вступления в силу настоящего постановления муниципальные контракты (договоры) на поставку товаров, выполнение работ, оказание</w:t>
      </w:r>
      <w:r>
        <w:rPr>
          <w:sz w:val="24"/>
          <w:szCs w:val="24"/>
        </w:rPr>
        <w:t xml:space="preserve"> услуг </w:t>
      </w:r>
      <w:r>
        <w:rPr>
          <w:sz w:val="24"/>
          <w:szCs w:val="24"/>
        </w:rPr>
        <w:t xml:space="preserve">изменения в части </w:t>
      </w:r>
      <w:r>
        <w:rPr>
          <w:sz w:val="24"/>
          <w:szCs w:val="24"/>
        </w:rPr>
        <w:t xml:space="preserve">увеличения</w:t>
      </w:r>
      <w:r>
        <w:rPr>
          <w:sz w:val="24"/>
          <w:szCs w:val="24"/>
        </w:rPr>
        <w:t xml:space="preserve"> предусмотренных ими размеров авансовых платежей до размеров, определенных в соответствии с пунктом 1 настоящего постановления, с соблюдением размера обеспечения исполнения муниципального контракта (договора), устанавливаемого в</w:t>
      </w:r>
      <w:r>
        <w:rPr>
          <w:sz w:val="24"/>
          <w:szCs w:val="24"/>
        </w:rPr>
        <w:t xml:space="preserve"> соответствии с частью 6 статьи 96 Федерального закона от 05.04.2013 № 44-ФЗ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Вопрос о допустимости изменения существенных условий муниципал</w:t>
      </w:r>
      <w:r>
        <w:rPr>
          <w:sz w:val="24"/>
          <w:szCs w:val="24"/>
        </w:rPr>
        <w:t xml:space="preserve">ьного контракта (договора) в соответствии с частью 65.1. статьи 112 Федерального закона от 05.04.2013 </w:t>
      </w:r>
      <w:r>
        <w:rPr>
          <w:sz w:val="24"/>
          <w:szCs w:val="24"/>
        </w:rPr>
        <w:br/>
        <w:t xml:space="preserve">№ 44-ФЗ «О контрактной системе в сфере закупок товаров, работ, услуг для обеспечения государственных и муниципальных нужд» в случае, если при исполнении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контракта (договора), заключенного до 01.01.2027, возникли независящие от сторон муниципального контракта (договора) обстоятельства, влекущие невозможность его исполнения, рассматривается</w:t>
      </w:r>
      <w:r>
        <w:rPr>
          <w:sz w:val="24"/>
          <w:szCs w:val="24"/>
        </w:rPr>
        <w:t xml:space="preserve"> Комиссией, утвержденной распоряжением администрации П</w:t>
      </w:r>
      <w:r>
        <w:rPr>
          <w:sz w:val="24"/>
          <w:szCs w:val="24"/>
        </w:rPr>
        <w:t xml:space="preserve">еченгского муниципального округа от 02.06.2022 № 45 «Об утверждении </w:t>
      </w:r>
      <w:r>
        <w:rPr>
          <w:sz w:val="24"/>
          <w:szCs w:val="24"/>
        </w:rPr>
        <w:br/>
        <w:t xml:space="preserve">Положения о 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</w:t>
      </w:r>
      <w:r>
        <w:rPr>
          <w:sz w:val="24"/>
          <w:szCs w:val="24"/>
        </w:rPr>
        <w:t xml:space="preserve"> округа».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вступает в силу после его подписания и распространяется на </w:t>
      </w:r>
      <w:r>
        <w:rPr>
          <w:sz w:val="24"/>
          <w:szCs w:val="24"/>
        </w:rPr>
        <w:t xml:space="preserve">правоотношения</w:t>
      </w:r>
      <w:r>
        <w:rPr>
          <w:sz w:val="24"/>
          <w:szCs w:val="24"/>
        </w:rPr>
        <w:t xml:space="preserve"> возникшие с 01 января 2026 года.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79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главных распорядителей средств бюджета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</w:t>
      </w:r>
      <w:r>
        <w:rPr>
          <w:sz w:val="24"/>
          <w:szCs w:val="24"/>
        </w:rPr>
        <w:t xml:space="preserve">уга.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"/>
        <w:jc w:val="both"/>
        <w:tabs>
          <w:tab w:val="left" w:pos="935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/>
      <w:bookmarkStart w:id="0" w:name="_GoBack"/>
      <w:r/>
      <w:bookmarkEnd w:id="0"/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  <w:t xml:space="preserve">Стрелкова Т.И., 62165</w:t>
      </w:r>
      <w:r>
        <w:rPr>
          <w:bCs/>
        </w:rPr>
      </w:r>
      <w:r>
        <w:rPr>
          <w:bCs/>
        </w:rPr>
      </w:r>
      <w:r>
        <w:rPr>
          <w:bCs/>
        </w:rPr>
      </w:r>
      <w:r>
        <w:rPr>
          <w:bCs/>
        </w:rPr>
      </w:r>
      <w:r>
        <w:rPr>
          <w:bCs/>
        </w:rPr>
      </w:r>
      <w:r>
        <w:rPr>
          <w:bCs/>
        </w:rPr>
      </w:r>
    </w:p>
    <w:sectPr>
      <w:footnotePr/>
      <w:endnotePr/>
      <w:type w:val="nextPage"/>
      <w:pgSz w:w="11906" w:h="16838" w:orient="portrait"/>
      <w:pgMar w:top="851" w:right="851" w:bottom="567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 w:default="1">
    <w:name w:val="Normal"/>
    <w:qFormat/>
    <w:rPr>
      <w:rFonts w:ascii="Times New Roman" w:hAnsi="Times New Roman" w:eastAsia="Times New Roman"/>
    </w:rPr>
  </w:style>
  <w:style w:type="paragraph" w:styleId="673">
    <w:name w:val="Heading 1"/>
    <w:basedOn w:val="672"/>
    <w:next w:val="672"/>
    <w:link w:val="70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4">
    <w:name w:val="Heading 2"/>
    <w:basedOn w:val="672"/>
    <w:next w:val="672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876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76">
    <w:name w:val="Heading 4"/>
    <w:basedOn w:val="672"/>
    <w:next w:val="672"/>
    <w:link w:val="867"/>
    <w:qFormat/>
    <w:pPr>
      <w:ind w:firstLine="709"/>
      <w:keepNext/>
      <w:outlineLvl w:val="3"/>
    </w:pPr>
    <w:rPr>
      <w:sz w:val="28"/>
    </w:rPr>
  </w:style>
  <w:style w:type="paragraph" w:styleId="677">
    <w:name w:val="Heading 5"/>
    <w:basedOn w:val="672"/>
    <w:next w:val="672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Heading 2 Char"/>
    <w:basedOn w:val="682"/>
    <w:uiPriority w:val="9"/>
    <w:rPr>
      <w:rFonts w:ascii="Arial" w:hAnsi="Arial" w:eastAsia="Arial" w:cs="Arial"/>
      <w:sz w:val="34"/>
    </w:rPr>
  </w:style>
  <w:style w:type="character" w:styleId="687" w:customStyle="1">
    <w:name w:val="Heading 5 Char"/>
    <w:basedOn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Heading 6 Char"/>
    <w:basedOn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Heading 7 Char"/>
    <w:basedOn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Heading 8 Char"/>
    <w:basedOn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Heading 9 Char"/>
    <w:basedOn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92" w:customStyle="1">
    <w:name w:val="Title Char"/>
    <w:basedOn w:val="682"/>
    <w:uiPriority w:val="10"/>
    <w:rPr>
      <w:sz w:val="48"/>
      <w:szCs w:val="48"/>
    </w:rPr>
  </w:style>
  <w:style w:type="character" w:styleId="693" w:customStyle="1">
    <w:name w:val="Subtitle Char"/>
    <w:basedOn w:val="682"/>
    <w:uiPriority w:val="11"/>
    <w:rPr>
      <w:sz w:val="24"/>
      <w:szCs w:val="24"/>
    </w:rPr>
  </w:style>
  <w:style w:type="character" w:styleId="694" w:customStyle="1">
    <w:name w:val="Quote Char"/>
    <w:uiPriority w:val="29"/>
    <w:rPr>
      <w:i/>
    </w:rPr>
  </w:style>
  <w:style w:type="character" w:styleId="695" w:customStyle="1">
    <w:name w:val="Intense Quote Char"/>
    <w:uiPriority w:val="30"/>
    <w:rPr>
      <w:i/>
    </w:rPr>
  </w:style>
  <w:style w:type="character" w:styleId="696" w:customStyle="1">
    <w:name w:val="Header Char"/>
    <w:basedOn w:val="682"/>
    <w:uiPriority w:val="99"/>
  </w:style>
  <w:style w:type="character" w:styleId="697" w:customStyle="1">
    <w:name w:val="Caption Char"/>
    <w:uiPriority w:val="99"/>
  </w:style>
  <w:style w:type="character" w:styleId="698" w:customStyle="1">
    <w:name w:val="Footnote Text Char"/>
    <w:uiPriority w:val="99"/>
    <w:rPr>
      <w:sz w:val="18"/>
    </w:rPr>
  </w:style>
  <w:style w:type="character" w:styleId="699" w:customStyle="1">
    <w:name w:val="Endnote Text Char"/>
    <w:uiPriority w:val="99"/>
    <w:rPr>
      <w:sz w:val="20"/>
    </w:rPr>
  </w:style>
  <w:style w:type="character" w:styleId="700" w:customStyle="1">
    <w:name w:val="Заголовок 1 Знак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702" w:customStyle="1">
    <w:name w:val="Heading 3 Char"/>
    <w:basedOn w:val="682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List Paragraph"/>
    <w:basedOn w:val="672"/>
    <w:uiPriority w:val="34"/>
    <w:qFormat/>
    <w:pPr>
      <w:contextualSpacing/>
      <w:ind w:left="720"/>
    </w:pPr>
  </w:style>
  <w:style w:type="paragraph" w:styleId="710">
    <w:name w:val="No Spacing"/>
    <w:uiPriority w:val="1"/>
    <w:qFormat/>
  </w:style>
  <w:style w:type="paragraph" w:styleId="711">
    <w:name w:val="Title"/>
    <w:basedOn w:val="672"/>
    <w:next w:val="672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 w:customStyle="1">
    <w:name w:val="Название Знак"/>
    <w:basedOn w:val="682"/>
    <w:link w:val="711"/>
    <w:uiPriority w:val="10"/>
    <w:rPr>
      <w:sz w:val="48"/>
      <w:szCs w:val="48"/>
    </w:rPr>
  </w:style>
  <w:style w:type="paragraph" w:styleId="713">
    <w:name w:val="Subtitle"/>
    <w:basedOn w:val="672"/>
    <w:next w:val="672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 w:customStyle="1">
    <w:name w:val="Подзаголовок Знак"/>
    <w:basedOn w:val="682"/>
    <w:link w:val="713"/>
    <w:uiPriority w:val="11"/>
    <w:rPr>
      <w:sz w:val="24"/>
      <w:szCs w:val="24"/>
    </w:rPr>
  </w:style>
  <w:style w:type="paragraph" w:styleId="715">
    <w:name w:val="Quote"/>
    <w:basedOn w:val="672"/>
    <w:next w:val="672"/>
    <w:link w:val="716"/>
    <w:uiPriority w:val="29"/>
    <w:qFormat/>
    <w:pPr>
      <w:ind w:left="720" w:right="720"/>
    </w:pPr>
    <w:rPr>
      <w:i/>
    </w:rPr>
  </w:style>
  <w:style w:type="character" w:styleId="716" w:customStyle="1">
    <w:name w:val="Цитата 2 Знак"/>
    <w:link w:val="715"/>
    <w:uiPriority w:val="29"/>
    <w:rPr>
      <w:i/>
    </w:rPr>
  </w:style>
  <w:style w:type="paragraph" w:styleId="717">
    <w:name w:val="Intense Quote"/>
    <w:basedOn w:val="672"/>
    <w:next w:val="672"/>
    <w:link w:val="7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 w:customStyle="1">
    <w:name w:val="Выделенная цитата Знак"/>
    <w:link w:val="717"/>
    <w:uiPriority w:val="30"/>
    <w:rPr>
      <w:i/>
    </w:rPr>
  </w:style>
  <w:style w:type="paragraph" w:styleId="719">
    <w:name w:val="Header"/>
    <w:basedOn w:val="672"/>
    <w:link w:val="72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0" w:customStyle="1">
    <w:name w:val="Верхний колонтитул Знак"/>
    <w:basedOn w:val="682"/>
    <w:link w:val="719"/>
    <w:uiPriority w:val="99"/>
  </w:style>
  <w:style w:type="paragraph" w:styleId="721">
    <w:name w:val="Footer"/>
    <w:basedOn w:val="672"/>
    <w:link w:val="72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2" w:customStyle="1">
    <w:name w:val="Footer Char"/>
    <w:basedOn w:val="682"/>
    <w:uiPriority w:val="99"/>
  </w:style>
  <w:style w:type="paragraph" w:styleId="723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 w:customStyle="1">
    <w:name w:val="Нижний колонтитул Знак"/>
    <w:link w:val="721"/>
    <w:uiPriority w:val="99"/>
  </w:style>
  <w:style w:type="table" w:styleId="725" w:customStyle="1">
    <w:name w:val="Table Grid Light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6" w:customStyle="1">
    <w:name w:val="Plain Table 1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2"/>
    <w:basedOn w:val="68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 w:customStyle="1">
    <w:name w:val="Plain Table 3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 w:customStyle="1">
    <w:name w:val="Plain Table 4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Plain Table 5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1 Light"/>
    <w:basedOn w:val="68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4"/>
    <w:basedOn w:val="68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 w:customStyle="1">
    <w:name w:val="Grid Table 4 - Accent 1"/>
    <w:basedOn w:val="68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4" w:customStyle="1">
    <w:name w:val="Grid Table 4 - Accent 2"/>
    <w:basedOn w:val="68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5" w:customStyle="1">
    <w:name w:val="Grid Table 4 - Accent 3"/>
    <w:basedOn w:val="68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6" w:customStyle="1">
    <w:name w:val="Grid Table 4 - Accent 4"/>
    <w:basedOn w:val="68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7" w:customStyle="1">
    <w:name w:val="Grid Table 4 - Accent 5"/>
    <w:basedOn w:val="68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8" w:customStyle="1">
    <w:name w:val="Grid Table 4 - Accent 6"/>
    <w:basedOn w:val="68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9" w:customStyle="1">
    <w:name w:val="Grid Table 5 Dark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1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2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3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4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5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6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7" w:customStyle="1">
    <w:name w:val="Grid Table 6 Colorful - Accent 1"/>
    <w:basedOn w:val="68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8" w:customStyle="1">
    <w:name w:val="Grid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9" w:customStyle="1">
    <w:name w:val="Grid Table 6 Colorful - Accent 3"/>
    <w:basedOn w:val="68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0" w:customStyle="1">
    <w:name w:val="Grid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1" w:customStyle="1">
    <w:name w:val="Grid Table 6 Colorful - Accent 5"/>
    <w:basedOn w:val="68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 w:customStyle="1">
    <w:name w:val="Grid Table 6 Colorful - Accent 6"/>
    <w:basedOn w:val="68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3" w:customStyle="1">
    <w:name w:val="Grid Table 7 Colorful"/>
    <w:basedOn w:val="68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1"/>
    <w:basedOn w:val="68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5"/>
    <w:basedOn w:val="68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6"/>
    <w:basedOn w:val="68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"/>
    <w:basedOn w:val="68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1"/>
    <w:basedOn w:val="68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2"/>
    <w:basedOn w:val="68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3"/>
    <w:basedOn w:val="68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4"/>
    <w:basedOn w:val="68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5"/>
    <w:basedOn w:val="68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6"/>
    <w:basedOn w:val="68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2"/>
    <w:basedOn w:val="68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4" w:customStyle="1">
    <w:name w:val="List Table 3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5 Dark"/>
    <w:basedOn w:val="68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1"/>
    <w:basedOn w:val="68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6" w:customStyle="1">
    <w:name w:val="List Table 6 Colorful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7" w:customStyle="1">
    <w:name w:val="List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8" w:customStyle="1">
    <w:name w:val="List Table 6 Colorful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9" w:customStyle="1">
    <w:name w:val="List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0" w:customStyle="1">
    <w:name w:val="List Table 6 Colorful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1" w:customStyle="1">
    <w:name w:val="List Table 6 Colorful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2" w:customStyle="1">
    <w:name w:val="List Table 7 Colorful"/>
    <w:basedOn w:val="68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1"/>
    <w:basedOn w:val="68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2"/>
    <w:basedOn w:val="68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3"/>
    <w:basedOn w:val="68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4"/>
    <w:basedOn w:val="68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5"/>
    <w:basedOn w:val="68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6"/>
    <w:basedOn w:val="68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ned - Accent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Lined - Accent 1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Lined - Accent 2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Lined - Accent 3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Lined - Accent 4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Lined - Accent 5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Lined - Accent 6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 &amp; Lined - Accent"/>
    <w:basedOn w:val="68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Bordered &amp; Lined - Accent 1"/>
    <w:basedOn w:val="68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8" w:customStyle="1">
    <w:name w:val="Bordered &amp; Lined - Accent 2"/>
    <w:basedOn w:val="68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9" w:customStyle="1">
    <w:name w:val="Bordered &amp; Lined - Accent 3"/>
    <w:basedOn w:val="68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0" w:customStyle="1">
    <w:name w:val="Bordered &amp; Lined - Accent 4"/>
    <w:basedOn w:val="68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1" w:customStyle="1">
    <w:name w:val="Bordered &amp; Lined - Accent 5"/>
    <w:basedOn w:val="68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2" w:customStyle="1">
    <w:name w:val="Bordered &amp; Lined - Accent 6"/>
    <w:basedOn w:val="68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3" w:customStyle="1">
    <w:name w:val="Bordered"/>
    <w:basedOn w:val="68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4" w:customStyle="1">
    <w:name w:val="Bordered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5" w:customStyle="1">
    <w:name w:val="Bordered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6" w:customStyle="1">
    <w:name w:val="Bordered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7" w:customStyle="1">
    <w:name w:val="Bordered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8" w:customStyle="1">
    <w:name w:val="Bordered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9" w:customStyle="1">
    <w:name w:val="Bordered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0">
    <w:name w:val="footnote text"/>
    <w:basedOn w:val="672"/>
    <w:link w:val="851"/>
    <w:uiPriority w:val="99"/>
    <w:semiHidden/>
    <w:unhideWhenUsed/>
    <w:pPr>
      <w:spacing w:after="40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682"/>
    <w:uiPriority w:val="99"/>
    <w:unhideWhenUsed/>
    <w:rPr>
      <w:vertAlign w:val="superscript"/>
    </w:rPr>
  </w:style>
  <w:style w:type="paragraph" w:styleId="853">
    <w:name w:val="endnote text"/>
    <w:basedOn w:val="672"/>
    <w:link w:val="854"/>
    <w:uiPriority w:val="99"/>
    <w:semiHidden/>
    <w:unhideWhenUsed/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682"/>
    <w:uiPriority w:val="99"/>
    <w:semiHidden/>
    <w:unhideWhenUsed/>
    <w:rPr>
      <w:vertAlign w:val="superscript"/>
    </w:rPr>
  </w:style>
  <w:style w:type="paragraph" w:styleId="856">
    <w:name w:val="toc 1"/>
    <w:basedOn w:val="672"/>
    <w:next w:val="672"/>
    <w:uiPriority w:val="39"/>
    <w:unhideWhenUsed/>
    <w:pPr>
      <w:spacing w:after="57"/>
    </w:pPr>
  </w:style>
  <w:style w:type="paragraph" w:styleId="857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58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59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60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61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62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63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64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72"/>
    <w:next w:val="672"/>
    <w:uiPriority w:val="99"/>
    <w:unhideWhenUsed/>
  </w:style>
  <w:style w:type="character" w:styleId="867" w:customStyle="1">
    <w:name w:val="Заголовок 4 Знак"/>
    <w:link w:val="676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68">
    <w:name w:val="Balloon Text"/>
    <w:basedOn w:val="672"/>
    <w:link w:val="869"/>
    <w:uiPriority w:val="99"/>
    <w:semiHidden/>
    <w:unhideWhenUsed/>
    <w:rPr>
      <w:rFonts w:ascii="Tahoma" w:hAnsi="Tahoma"/>
      <w:sz w:val="16"/>
      <w:szCs w:val="16"/>
    </w:rPr>
  </w:style>
  <w:style w:type="character" w:styleId="869" w:customStyle="1">
    <w:name w:val="Текст выноски Знак"/>
    <w:link w:val="86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0" w:customStyle="1">
    <w:name w:val="Знак Знак3"/>
    <w:basedOn w:val="67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1">
    <w:name w:val="Normal (Web)"/>
    <w:basedOn w:val="67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72" w:customStyle="1">
    <w:name w:val="[ ]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73" w:customStyle="1">
    <w:name w:val="Знак Знак3"/>
    <w:basedOn w:val="672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74">
    <w:name w:val="Table Grid"/>
    <w:basedOn w:val="68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character" w:styleId="876" w:customStyle="1">
    <w:name w:val="Заголовок 3 Знак"/>
    <w:link w:val="675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77" w:customStyle="1">
    <w:name w:val="spelle"/>
  </w:style>
  <w:style w:type="paragraph" w:styleId="87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character" w:styleId="879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32</cp:revision>
  <dcterms:created xsi:type="dcterms:W3CDTF">2025-12-02T11:23:00Z</dcterms:created>
  <dcterms:modified xsi:type="dcterms:W3CDTF">2026-02-03T09:26:42Z</dcterms:modified>
</cp:coreProperties>
</file>