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8673503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4" cy="7391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2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right="-2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right="-2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ind w:right="-2"/>
        <w:jc w:val="center"/>
      </w:pPr>
      <w:r/>
      <w:r/>
    </w:p>
    <w:p>
      <w:pPr>
        <w:ind w:right="-2"/>
        <w:jc w:val="center"/>
      </w:pPr>
      <w:r/>
      <w:r/>
    </w:p>
    <w:p>
      <w:pPr>
        <w:ind w:right="-2"/>
        <w:jc w:val="left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20.02.2026</w:t>
      </w:r>
      <w:r>
        <w:rPr>
          <w:b/>
          <w:sz w:val="24"/>
        </w:rPr>
        <w:tab/>
        <w:tab/>
        <w:tab/>
        <w:tab/>
        <w:tab/>
        <w:tab/>
        <w:tab/>
        <w:tab/>
        <w:tab/>
        <w:tab/>
        <w:tab/>
        <w:t xml:space="preserve">   № 268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 утверждении Порядка выплаты ежемесячных губернаторских поощрительных выплат руководителям, возглавившим муниципальные </w:t>
      </w:r>
      <w:r>
        <w:rPr>
          <w:b/>
          <w:sz w:val="20"/>
        </w:rPr>
        <w:t xml:space="preserve">учреждения культуры и образования в сфере культуры</w:t>
      </w:r>
      <w:r>
        <w:rPr>
          <w:b/>
          <w:sz w:val="20"/>
        </w:rPr>
        <w:t xml:space="preserve"> Печенгского муниципального округа</w:t>
      </w:r>
      <w:r>
        <w:rPr>
          <w:b/>
          <w:sz w:val="20"/>
        </w:rPr>
        <w:t xml:space="preserve">,</w:t>
      </w:r>
      <w:r>
        <w:rPr>
          <w:b/>
          <w:sz w:val="20"/>
        </w:rPr>
        <w:t xml:space="preserve"> созданные путем реорганизации в форме присоединения (слияния)</w:t>
      </w:r>
      <w:r>
        <w:rPr>
          <w:b/>
          <w:sz w:val="20"/>
        </w:rPr>
      </w:r>
      <w:r>
        <w:rPr>
          <w:b/>
          <w:sz w:val="20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постановлением Правительства Мурманской области от 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790</w:t>
      </w:r>
      <w:r>
        <w:rPr>
          <w:sz w:val="24"/>
          <w:szCs w:val="24"/>
        </w:rPr>
        <w:t xml:space="preserve">-ПП «</w:t>
      </w:r>
      <w:r>
        <w:rPr>
          <w:sz w:val="24"/>
          <w:szCs w:val="24"/>
        </w:rPr>
        <w:t xml:space="preserve">Об утверждении государственной программы Мурманской области «Культура»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after="120"/>
        <w:rPr>
          <w:b/>
          <w:szCs w:val="28"/>
        </w:rPr>
        <w:outlineLvl w:val="0"/>
      </w:pPr>
      <w:r>
        <w:rPr>
          <w:b/>
          <w:szCs w:val="28"/>
        </w:rPr>
        <w:t xml:space="preserve">ПОСТАНОВЛЯЮ:</w:t>
      </w:r>
      <w:r>
        <w:rPr>
          <w:b/>
          <w:szCs w:val="28"/>
        </w:rPr>
      </w:r>
      <w:r>
        <w:rPr>
          <w:b/>
          <w:szCs w:val="28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Порядок выплаты ежемесячных губернаторских поощрительных выплат руководителям, возглавившим муниципальные </w:t>
      </w:r>
      <w:r>
        <w:rPr>
          <w:sz w:val="24"/>
          <w:szCs w:val="24"/>
        </w:rPr>
        <w:t xml:space="preserve">учреждения культуры и образования в сфере культуры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, созданные путем реорганизации в форме присоединения (слияния).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официального опубликования в газете «Печенга» и распространяется на правоотношения, возникшие </w:t>
      </w:r>
      <w:r>
        <w:rPr>
          <w:sz w:val="24"/>
          <w:szCs w:val="24"/>
        </w:rPr>
        <w:br/>
        <w:t xml:space="preserve">с 01.0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bCs/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right="-2"/>
        <w:jc w:val="both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right="-2"/>
        <w:jc w:val="both"/>
        <w:tabs>
          <w:tab w:val="left" w:pos="993" w:leader="none"/>
        </w:tabs>
        <w:rPr>
          <w:b/>
          <w:bCs/>
          <w:szCs w:val="28"/>
        </w:rPr>
      </w:pPr>
      <w:r>
        <w:rPr>
          <w:rFonts w:eastAsia="Calibri"/>
          <w:sz w:val="24"/>
          <w:szCs w:val="24"/>
        </w:rPr>
        <w:t xml:space="preserve">Врип Главы</w:t>
      </w:r>
      <w:r>
        <w:rPr>
          <w:rFonts w:eastAsia="Calibri"/>
          <w:sz w:val="24"/>
          <w:szCs w:val="24"/>
        </w:rPr>
        <w:t xml:space="preserve"> Печенгс</w:t>
      </w:r>
      <w:r>
        <w:rPr>
          <w:rFonts w:eastAsia="Calibri"/>
          <w:sz w:val="24"/>
          <w:szCs w:val="24"/>
        </w:rPr>
        <w:t xml:space="preserve">кого муниципального округа</w:t>
      </w:r>
      <w:r>
        <w:rPr>
          <w:rFonts w:eastAsia="Calibri"/>
          <w:sz w:val="24"/>
          <w:szCs w:val="24"/>
        </w:rPr>
        <w:tab/>
        <w:t xml:space="preserve">                                   </w:t>
      </w:r>
      <w:r>
        <w:rPr>
          <w:rFonts w:eastAsia="Calibri"/>
          <w:sz w:val="24"/>
          <w:szCs w:val="24"/>
        </w:rPr>
        <w:tab/>
        <w:t xml:space="preserve">А.С. Пеньшин</w:t>
      </w:r>
      <w:r>
        <w:rPr>
          <w:b/>
          <w:bCs/>
          <w:szCs w:val="28"/>
        </w:rPr>
      </w:r>
      <w:r>
        <w:rPr>
          <w:b/>
          <w:bCs/>
          <w:szCs w:val="28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bCs/>
          <w:sz w:val="20"/>
        </w:rPr>
        <w:t xml:space="preserve">Морозова М.Е., 50179</w:t>
      </w:r>
      <w:r>
        <w:rPr>
          <w:sz w:val="20"/>
        </w:rPr>
      </w:r>
      <w:r>
        <w:rPr>
          <w:sz w:val="20"/>
        </w:rPr>
      </w:r>
    </w:p>
    <w:p>
      <w:pPr>
        <w:ind w:left="5528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Утвержден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20.02.2026 № 268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right"/>
        <w:widowControl w:val="off"/>
        <w:tabs>
          <w:tab w:val="left" w:pos="587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tabs>
          <w:tab w:val="left" w:pos="587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Порядок выплаты ежемесячных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губернаторских поощрительных выплат руководителям, </w:t>
      </w:r>
      <w:r>
        <w:rPr>
          <w:b/>
          <w:sz w:val="24"/>
          <w:szCs w:val="24"/>
        </w:rPr>
        <w:t xml:space="preserve">возглавившим муниципальные учреждения культуры и образования в сфере культуры</w:t>
      </w:r>
      <w:r>
        <w:rPr>
          <w:b/>
          <w:sz w:val="24"/>
          <w:szCs w:val="24"/>
        </w:rPr>
        <w:t xml:space="preserve"> Печенгского муниципального округа</w:t>
      </w:r>
      <w:r>
        <w:rPr>
          <w:b/>
          <w:sz w:val="24"/>
          <w:szCs w:val="24"/>
        </w:rPr>
        <w:t xml:space="preserve">, созданные путем реорганизации в форме присоединения (слияния)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1"/>
        <w:numPr>
          <w:ilvl w:val="0"/>
          <w:numId w:val="1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Порядок устанавливает цели, условия и процедуру расходования иного межбюджетного трансферта, предоставляемого из бюджета Мурманской области бюджету Печенгского муниципального округа на обеспечение ежемесячных губернаторских поощрительных выплат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руководителям, возглавившим муниципальные учреждения культуры и образования в сфере культуры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созданные путем реорганизации в форме присоединения (слияния)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 иной межбюджетный трансферт).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31"/>
        <w:numPr>
          <w:ilvl w:val="0"/>
          <w:numId w:val="15"/>
        </w:numPr>
        <w:ind w:left="0" w:firstLine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Иной межбюджетный трансферт направляется на финансовое обеспечение и/или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возмещение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расходов ежемесячных губернаторских поощрительных выплат с учетом страховых взносов на обязательное пенсионное и медицинское страхование, страховых</w:t>
      </w:r>
      <w:r>
        <w:rPr>
          <w:rFonts w:ascii="Times New Roman" w:hAnsi="Times New Roman"/>
          <w:sz w:val="24"/>
          <w:szCs w:val="24"/>
        </w:rPr>
        <w:t xml:space="preserve"> взносов на обязательное социальное страхование на случай временной нетрудоспособности и в связи с материнством, страховых взносов на обязательное социальное страхование от несчастных случаев на производстве и профессиональных заболеваний (далее – выплата)</w:t>
      </w:r>
      <w:r>
        <w:rPr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руководителям, </w:t>
      </w:r>
      <w:r>
        <w:rPr>
          <w:rFonts w:ascii="Times New Roman" w:hAnsi="Times New Roman"/>
          <w:sz w:val="24"/>
          <w:szCs w:val="24"/>
        </w:rPr>
        <w:t xml:space="preserve">возглавившим муниципальные учреждения культуры и образования в сфере культуры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созданные путем реорганизации в форме присоединения (слияния)</w:t>
      </w:r>
      <w:r>
        <w:rPr>
          <w:rFonts w:ascii="Times New Roman" w:hAnsi="Times New Roman"/>
          <w:sz w:val="24"/>
          <w:szCs w:val="24"/>
        </w:rPr>
        <w:t xml:space="preserve"> начиная с 01.01.202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трех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учреждений культуры и образования в сфере культуры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Размер ежемесячных губернаторских поощрительных выплат производится</w:t>
      </w:r>
      <w:r>
        <w:rPr>
          <w:sz w:val="24"/>
          <w:szCs w:val="24"/>
        </w:rPr>
        <w:t xml:space="preserve"> руководителям, возглавившим муниципальное учреждение культуры или учреждения дополнительного образования в сфере культуры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, созданное путем реорганизации в форме присоединения (слияния)</w:t>
      </w:r>
      <w:r>
        <w:rPr>
          <w:sz w:val="24"/>
          <w:szCs w:val="24"/>
        </w:rPr>
        <w:t xml:space="preserve">, начиная с 01.01.2025 (далее – руководители учреждений культуры):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- двух учреждений культуры в размере 34 500 рублей, включая районный коэффициент и процентную надбавку;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трех учреждений культуры в размере 57 500 рублей, включая районный коэффициент и процентную надбавку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1"/>
        <w:contextualSpacing w:val="0"/>
        <w:ind w:left="0" w:firstLine="709"/>
        <w:jc w:val="both"/>
        <w:spacing w:after="0" w:line="240" w:lineRule="auto"/>
        <w:widowControl w:val="off"/>
        <w:tabs>
          <w:tab w:val="left" w:pos="1149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Осуществление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 руководителям </w:t>
      </w:r>
      <w:r>
        <w:rPr>
          <w:rFonts w:ascii="Times New Roman" w:hAnsi="Times New Roman"/>
          <w:sz w:val="24"/>
          <w:szCs w:val="24"/>
        </w:rPr>
        <w:t xml:space="preserve">учреждений культуры</w:t>
      </w:r>
      <w:r>
        <w:rPr>
          <w:rFonts w:ascii="Times New Roman" w:hAnsi="Times New Roman"/>
          <w:sz w:val="24"/>
          <w:szCs w:val="24"/>
        </w:rPr>
        <w:t xml:space="preserve"> (за исключением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лиц,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исполняющих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обязанности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учреждения культуры)</w:t>
      </w:r>
      <w:r>
        <w:rPr>
          <w:rFonts w:ascii="Times New Roman" w:hAnsi="Times New Roman"/>
          <w:sz w:val="24"/>
          <w:szCs w:val="24"/>
        </w:rPr>
        <w:t xml:space="preserve"> на период временного отсутствия основного работника (отпуск,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командировка,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период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временной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нетрудоспособности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т.п.))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оформляется распоряжением администрации Печенгского муниципального округа по личному составу.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931"/>
        <w:contextualSpacing w:val="0"/>
        <w:ind w:left="0" w:firstLine="709"/>
        <w:jc w:val="both"/>
        <w:spacing w:after="0" w:line="240" w:lineRule="auto"/>
        <w:widowControl w:val="off"/>
        <w:tabs>
          <w:tab w:val="left" w:pos="114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4. </w:t>
      </w:r>
      <w:r>
        <w:rPr>
          <w:rFonts w:ascii="Times New Roman" w:hAnsi="Times New Roman"/>
          <w:sz w:val="24"/>
          <w:szCs w:val="24"/>
        </w:rPr>
        <w:t xml:space="preserve">Осуществление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 </w:t>
      </w:r>
      <w:r>
        <w:rPr>
          <w:rFonts w:ascii="Times New Roman" w:hAnsi="Times New Roman"/>
          <w:sz w:val="24"/>
          <w:szCs w:val="24"/>
        </w:rPr>
        <w:t xml:space="preserve">руководителям учреждений культуры</w:t>
      </w:r>
      <w:r>
        <w:rPr>
          <w:rFonts w:ascii="Times New Roman" w:hAnsi="Times New Roman"/>
          <w:color w:val="000000"/>
          <w:sz w:val="24"/>
          <w:szCs w:val="24"/>
        </w:rPr>
        <w:t xml:space="preserve"> производится</w:t>
      </w:r>
      <w:r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учетом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фактически отработанного ими времени, а также уплаты страховых взносов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 пенсионное и медицинское страхование, страховых взносов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социальное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страхование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случай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временной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нетрудоспособности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связи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материнством,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страховых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взносов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 социальное страхование от несчастных случаев на производстве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заболеваний; на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руководителю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организации (учреждения)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части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отпускных,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начисленных с суммы ежемесячной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губернаторской поощрительной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выплаты, учтенной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расчете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среднего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заработка.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1"/>
        <w:numPr>
          <w:ilvl w:val="0"/>
          <w:numId w:val="18"/>
        </w:numPr>
        <w:ind w:left="0" w:firstLine="709"/>
        <w:jc w:val="both"/>
        <w:spacing w:after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Печенгского муниципального округа Мурманской области </w:t>
      </w:r>
      <w:r>
        <w:rPr>
          <w:rFonts w:ascii="Times New Roman" w:hAnsi="Times New Roman"/>
          <w:sz w:val="24"/>
          <w:szCs w:val="24"/>
        </w:rPr>
        <w:t xml:space="preserve">обеспечивает целевое использование средств иного межбюджетного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трансферта 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предоставляет ежеквартально,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позднее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числа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месяца,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следующего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отчетным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кварталом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Министерство </w:t>
      </w:r>
      <w:r>
        <w:rPr>
          <w:rFonts w:ascii="Times New Roman" w:hAnsi="Times New Roman"/>
          <w:sz w:val="24"/>
          <w:szCs w:val="24"/>
        </w:rPr>
        <w:t xml:space="preserve">культуры</w:t>
      </w:r>
      <w:r>
        <w:rPr>
          <w:rFonts w:ascii="Times New Roman" w:hAnsi="Times New Roman"/>
          <w:sz w:val="24"/>
          <w:szCs w:val="24"/>
        </w:rPr>
        <w:t xml:space="preserve"> Мурманской области (далее - Министерство)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 о расходовании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средств иного межбюджетного трансферта, предоставленного на финансовое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обеспечение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возмещение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расходов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форме,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установленной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Министерством.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1"/>
        <w:numPr>
          <w:ilvl w:val="0"/>
          <w:numId w:val="18"/>
        </w:numPr>
        <w:ind w:left="0" w:firstLine="709"/>
        <w:jc w:val="both"/>
        <w:spacing w:after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Ответственность за предоставление отчетных данных о целевом использовании иного межбюджетного трансферта возлагается на финансовое управление администрации Печенгского муниципального округа.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1"/>
        <w:numPr>
          <w:ilvl w:val="0"/>
          <w:numId w:val="18"/>
        </w:numPr>
        <w:contextualSpacing w:val="0"/>
        <w:ind w:left="0" w:firstLine="709"/>
        <w:jc w:val="both"/>
        <w:spacing w:after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Печенгского муниципального округа Мурманской области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случае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возникновения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остатка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иного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межбюджетного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трансферта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состоянию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января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осуществляет </w:t>
      </w:r>
      <w:r>
        <w:rPr>
          <w:rFonts w:ascii="Times New Roman" w:hAnsi="Times New Roman"/>
          <w:sz w:val="24"/>
          <w:szCs w:val="24"/>
        </w:rPr>
        <w:t xml:space="preserve">его возврат в об</w:t>
      </w:r>
      <w:r>
        <w:rPr>
          <w:rFonts w:ascii="Times New Roman" w:hAnsi="Times New Roman"/>
          <w:sz w:val="24"/>
          <w:szCs w:val="24"/>
        </w:rPr>
        <w:t xml:space="preserve">ластной бюджет в соответствии с </w:t>
      </w:r>
      <w:r>
        <w:rPr>
          <w:rFonts w:ascii="Times New Roman" w:hAnsi="Times New Roman"/>
          <w:sz w:val="24"/>
          <w:szCs w:val="24"/>
        </w:rPr>
        <w:t xml:space="preserve">действующим </w:t>
      </w:r>
      <w:r>
        <w:rPr>
          <w:rFonts w:ascii="Times New Roman" w:hAnsi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</w:t>
      </w:r>
      <w:r>
        <w:rPr>
          <w:rFonts w:ascii="Times New Roman" w:hAnsi="Times New Roman"/>
          <w:sz w:val="24"/>
          <w:szCs w:val="24"/>
        </w:rPr>
        <w:t xml:space="preserve">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1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extBookC">
    <w:panose1 w:val="02000603000000000000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39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2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9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5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37" w:hanging="359"/>
      </w:pPr>
      <w:rPr>
        <w:rFonts w:hint="default" w:ascii="Times New Roman" w:hAnsi="Times New Roman" w:eastAsia="Times New Roman" w:cs="Times New Roman"/>
        <w:sz w:val="28"/>
        <w:szCs w:val="28"/>
      </w:rPr>
    </w:lvl>
    <w:lvl w:ilvl="1">
      <w:start w:val="1"/>
      <w:numFmt w:val="bullet"/>
      <w:isLgl w:val="false"/>
      <w:suff w:val="tab"/>
      <w:lvlText w:val="•"/>
      <w:lvlJc w:val="left"/>
      <w:pPr>
        <w:ind w:left="1102" w:hanging="359"/>
      </w:pPr>
      <w:rPr>
        <w:rFonts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064" w:hanging="359"/>
      </w:pPr>
      <w:rPr>
        <w:rFonts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3026" w:hanging="359"/>
      </w:pPr>
      <w:rPr>
        <w:rFonts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988" w:hanging="359"/>
      </w:pPr>
      <w:rPr>
        <w:rFonts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950" w:hanging="359"/>
      </w:pPr>
      <w:rPr>
        <w:rFonts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912" w:hanging="359"/>
      </w:pPr>
      <w:rPr>
        <w:rFonts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6874" w:hanging="359"/>
      </w:pPr>
      <w:rPr>
        <w:rFonts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7836" w:hanging="359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1069" w:hanging="36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39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2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9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55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7" w:hanging="948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144" w:hanging="435"/>
      </w:pPr>
      <w:rPr>
        <w:rFonts w:hint="default"/>
        <w:b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2"/>
  </w:num>
  <w:num w:numId="5">
    <w:abstractNumId w:val="12"/>
  </w:num>
  <w:num w:numId="6">
    <w:abstractNumId w:val="6"/>
  </w:num>
  <w:num w:numId="7">
    <w:abstractNumId w:val="15"/>
  </w:num>
  <w:num w:numId="8">
    <w:abstractNumId w:val="14"/>
  </w:num>
  <w:num w:numId="9">
    <w:abstractNumId w:val="4"/>
  </w:num>
  <w:num w:numId="10">
    <w:abstractNumId w:val="11"/>
  </w:num>
  <w:num w:numId="11">
    <w:abstractNumId w:val="3"/>
  </w:num>
  <w:num w:numId="12">
    <w:abstractNumId w:val="7"/>
  </w:num>
  <w:num w:numId="13">
    <w:abstractNumId w:val="5"/>
  </w:num>
  <w:num w:numId="14">
    <w:abstractNumId w:val="16"/>
  </w:num>
  <w:num w:numId="15">
    <w:abstractNumId w:val="17"/>
  </w:num>
  <w:num w:numId="16">
    <w:abstractNumId w:val="10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0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0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4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7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8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9" w:default="1">
    <w:name w:val="Normal"/>
    <w:qFormat/>
    <w:rPr>
      <w:sz w:val="28"/>
    </w:rPr>
  </w:style>
  <w:style w:type="paragraph" w:styleId="710">
    <w:name w:val="Heading 1"/>
    <w:basedOn w:val="709"/>
    <w:next w:val="709"/>
    <w:link w:val="758"/>
    <w:qFormat/>
    <w:pPr>
      <w:jc w:val="center"/>
      <w:keepNext/>
      <w:outlineLvl w:val="0"/>
    </w:pPr>
    <w:rPr>
      <w:b/>
      <w:sz w:val="56"/>
    </w:rPr>
  </w:style>
  <w:style w:type="paragraph" w:styleId="711">
    <w:name w:val="Heading 2"/>
    <w:basedOn w:val="709"/>
    <w:next w:val="709"/>
    <w:link w:val="7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2">
    <w:name w:val="Heading 3"/>
    <w:basedOn w:val="709"/>
    <w:next w:val="709"/>
    <w:link w:val="7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3">
    <w:name w:val="Heading 4"/>
    <w:basedOn w:val="709"/>
    <w:next w:val="709"/>
    <w:link w:val="7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709"/>
    <w:next w:val="709"/>
    <w:link w:val="7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6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16">
    <w:name w:val="Heading 7"/>
    <w:basedOn w:val="709"/>
    <w:next w:val="709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709"/>
    <w:next w:val="709"/>
    <w:link w:val="7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709"/>
    <w:next w:val="709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table" w:styleId="722" w:customStyle="1">
    <w:name w:val="Таблица простая 1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Таблица простая 21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Таблица простая 3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Таблица простая 4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Таблица простая 5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1 светлая1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Таблица-сетка 2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3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Таблица-сетка 41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 w:customStyle="1">
    <w:name w:val="Таблица-сетка 5 темная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2" w:customStyle="1">
    <w:name w:val="Таблица-сетк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3" w:customStyle="1">
    <w:name w:val="Таблица-сетка 7 цветная1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Список-таблица 1 светлая1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21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Список-таблица 3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Список-таблица 4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Список-таблица 5 темная1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9" w:customStyle="1">
    <w:name w:val="Список-таблиц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0" w:customStyle="1">
    <w:name w:val="Список-таблица 7 цветная1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1" w:customStyle="1">
    <w:name w:val="Heading 1 Char"/>
    <w:basedOn w:val="719"/>
    <w:uiPriority w:val="9"/>
    <w:rPr>
      <w:rFonts w:ascii="Arial" w:hAnsi="Arial" w:eastAsia="Arial" w:cs="Arial"/>
      <w:sz w:val="40"/>
      <w:szCs w:val="40"/>
    </w:rPr>
  </w:style>
  <w:style w:type="character" w:styleId="742" w:customStyle="1">
    <w:name w:val="Heading 2 Char"/>
    <w:basedOn w:val="719"/>
    <w:uiPriority w:val="9"/>
    <w:rPr>
      <w:rFonts w:ascii="Arial" w:hAnsi="Arial" w:eastAsia="Arial" w:cs="Arial"/>
      <w:sz w:val="34"/>
    </w:rPr>
  </w:style>
  <w:style w:type="character" w:styleId="743" w:customStyle="1">
    <w:name w:val="Heading 3 Char"/>
    <w:basedOn w:val="719"/>
    <w:uiPriority w:val="9"/>
    <w:rPr>
      <w:rFonts w:ascii="Arial" w:hAnsi="Arial" w:eastAsia="Arial" w:cs="Arial"/>
      <w:sz w:val="30"/>
      <w:szCs w:val="30"/>
    </w:rPr>
  </w:style>
  <w:style w:type="character" w:styleId="744" w:customStyle="1">
    <w:name w:val="Heading 4 Char"/>
    <w:basedOn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45" w:customStyle="1">
    <w:name w:val="Heading 5 Char"/>
    <w:basedOn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46" w:customStyle="1">
    <w:name w:val="Heading 6 Char"/>
    <w:basedOn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47" w:customStyle="1">
    <w:name w:val="Heading 7 Char"/>
    <w:basedOn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8" w:customStyle="1">
    <w:name w:val="Heading 8 Char"/>
    <w:basedOn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49" w:customStyle="1">
    <w:name w:val="Heading 9 Char"/>
    <w:basedOn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50" w:customStyle="1">
    <w:name w:val="Title Char"/>
    <w:basedOn w:val="719"/>
    <w:uiPriority w:val="10"/>
    <w:rPr>
      <w:sz w:val="48"/>
      <w:szCs w:val="48"/>
    </w:rPr>
  </w:style>
  <w:style w:type="character" w:styleId="751" w:customStyle="1">
    <w:name w:val="Subtitle Char"/>
    <w:basedOn w:val="719"/>
    <w:uiPriority w:val="11"/>
    <w:rPr>
      <w:sz w:val="24"/>
      <w:szCs w:val="24"/>
    </w:rPr>
  </w:style>
  <w:style w:type="character" w:styleId="752" w:customStyle="1">
    <w:name w:val="Quote Char"/>
    <w:uiPriority w:val="29"/>
    <w:rPr>
      <w:i/>
    </w:rPr>
  </w:style>
  <w:style w:type="character" w:styleId="753" w:customStyle="1">
    <w:name w:val="Intense Quote Char"/>
    <w:uiPriority w:val="30"/>
    <w:rPr>
      <w:i/>
    </w:rPr>
  </w:style>
  <w:style w:type="character" w:styleId="754" w:customStyle="1">
    <w:name w:val="Header Char"/>
    <w:basedOn w:val="719"/>
    <w:uiPriority w:val="99"/>
  </w:style>
  <w:style w:type="character" w:styleId="755" w:customStyle="1">
    <w:name w:val="Caption Char"/>
    <w:uiPriority w:val="99"/>
  </w:style>
  <w:style w:type="character" w:styleId="756" w:customStyle="1">
    <w:name w:val="Footnote Text Char"/>
    <w:uiPriority w:val="99"/>
    <w:rPr>
      <w:sz w:val="18"/>
    </w:rPr>
  </w:style>
  <w:style w:type="character" w:styleId="757" w:customStyle="1">
    <w:name w:val="Endnote Text Char"/>
    <w:uiPriority w:val="99"/>
    <w:rPr>
      <w:sz w:val="20"/>
    </w:rPr>
  </w:style>
  <w:style w:type="character" w:styleId="758" w:customStyle="1">
    <w:name w:val="Заголовок 1 Знак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759" w:customStyle="1">
    <w:name w:val="Заголовок 2 Знак"/>
    <w:basedOn w:val="719"/>
    <w:link w:val="711"/>
    <w:uiPriority w:val="9"/>
    <w:rPr>
      <w:rFonts w:ascii="Arial" w:hAnsi="Arial" w:eastAsia="Arial" w:cs="Arial"/>
      <w:sz w:val="34"/>
    </w:rPr>
  </w:style>
  <w:style w:type="character" w:styleId="760" w:customStyle="1">
    <w:name w:val="Заголовок 3 Знак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761" w:customStyle="1">
    <w:name w:val="Заголовок 4 Знак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62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63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64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5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66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67">
    <w:name w:val="No Spacing"/>
    <w:uiPriority w:val="1"/>
    <w:qFormat/>
  </w:style>
  <w:style w:type="paragraph" w:styleId="768">
    <w:name w:val="Title"/>
    <w:basedOn w:val="709"/>
    <w:next w:val="709"/>
    <w:link w:val="76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9" w:customStyle="1">
    <w:name w:val="Заголовок Знак"/>
    <w:basedOn w:val="719"/>
    <w:link w:val="768"/>
    <w:uiPriority w:val="10"/>
    <w:rPr>
      <w:sz w:val="48"/>
      <w:szCs w:val="48"/>
    </w:rPr>
  </w:style>
  <w:style w:type="paragraph" w:styleId="770">
    <w:name w:val="Subtitle"/>
    <w:basedOn w:val="709"/>
    <w:next w:val="709"/>
    <w:link w:val="771"/>
    <w:uiPriority w:val="11"/>
    <w:qFormat/>
    <w:pPr>
      <w:spacing w:before="200" w:after="200"/>
    </w:pPr>
    <w:rPr>
      <w:sz w:val="24"/>
      <w:szCs w:val="24"/>
    </w:rPr>
  </w:style>
  <w:style w:type="character" w:styleId="771" w:customStyle="1">
    <w:name w:val="Подзаголовок Знак"/>
    <w:basedOn w:val="719"/>
    <w:link w:val="770"/>
    <w:uiPriority w:val="11"/>
    <w:rPr>
      <w:sz w:val="24"/>
      <w:szCs w:val="24"/>
    </w:rPr>
  </w:style>
  <w:style w:type="paragraph" w:styleId="772">
    <w:name w:val="Quote"/>
    <w:basedOn w:val="709"/>
    <w:next w:val="709"/>
    <w:link w:val="773"/>
    <w:uiPriority w:val="29"/>
    <w:qFormat/>
    <w:pPr>
      <w:ind w:left="720" w:right="720"/>
    </w:pPr>
    <w:rPr>
      <w:i/>
    </w:rPr>
  </w:style>
  <w:style w:type="character" w:styleId="773" w:customStyle="1">
    <w:name w:val="Цитата 2 Знак"/>
    <w:link w:val="772"/>
    <w:uiPriority w:val="29"/>
    <w:rPr>
      <w:i/>
    </w:rPr>
  </w:style>
  <w:style w:type="paragraph" w:styleId="774">
    <w:name w:val="Intense Quote"/>
    <w:basedOn w:val="709"/>
    <w:next w:val="709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</w:rPr>
  </w:style>
  <w:style w:type="paragraph" w:styleId="776">
    <w:name w:val="Header"/>
    <w:basedOn w:val="709"/>
    <w:link w:val="77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7" w:customStyle="1">
    <w:name w:val="Верхний колонтитул Знак"/>
    <w:basedOn w:val="719"/>
    <w:link w:val="776"/>
    <w:uiPriority w:val="99"/>
  </w:style>
  <w:style w:type="paragraph" w:styleId="778">
    <w:name w:val="Footer"/>
    <w:basedOn w:val="709"/>
    <w:link w:val="78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9" w:customStyle="1">
    <w:name w:val="Footer Char"/>
    <w:basedOn w:val="719"/>
    <w:uiPriority w:val="99"/>
  </w:style>
  <w:style w:type="paragraph" w:styleId="780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1" w:customStyle="1">
    <w:name w:val="Нижний колонтитул Знак"/>
    <w:link w:val="778"/>
    <w:uiPriority w:val="99"/>
  </w:style>
  <w:style w:type="table" w:styleId="782" w:customStyle="1">
    <w:name w:val="Table Grid Light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3" w:customStyle="1">
    <w:name w:val="Таблица простая 1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 w:customStyle="1">
    <w:name w:val="Таблица простая 21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5" w:customStyle="1">
    <w:name w:val="Таблица простая 3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6" w:customStyle="1">
    <w:name w:val="Таблица простая 4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 простая 5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8" w:customStyle="1">
    <w:name w:val="Таблица-сетка 1 светлая1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-сетка 2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3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41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0" w:customStyle="1">
    <w:name w:val="Grid Table 4 - Accent 1"/>
    <w:basedOn w:val="72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1" w:customStyle="1">
    <w:name w:val="Grid Table 4 - Accent 2"/>
    <w:basedOn w:val="72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2" w:customStyle="1">
    <w:name w:val="Grid Table 4 - Accent 3"/>
    <w:basedOn w:val="72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3" w:customStyle="1">
    <w:name w:val="Grid Table 4 - Accent 4"/>
    <w:basedOn w:val="72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4" w:customStyle="1">
    <w:name w:val="Grid Table 4 - Accent 5"/>
    <w:basedOn w:val="72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5" w:customStyle="1">
    <w:name w:val="Grid Table 4 - Accent 6"/>
    <w:basedOn w:val="72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6" w:customStyle="1">
    <w:name w:val="Таблица-сетка 5 темная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- Accent 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2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3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- Accent 4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5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6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3" w:customStyle="1">
    <w:name w:val="Таблица-сетк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4" w:customStyle="1">
    <w:name w:val="Grid Table 6 Colorful - Accent 1"/>
    <w:basedOn w:val="72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5" w:customStyle="1">
    <w:name w:val="Grid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6" w:customStyle="1">
    <w:name w:val="Grid Table 6 Colorful - Accent 3"/>
    <w:basedOn w:val="72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7" w:customStyle="1">
    <w:name w:val="Grid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8" w:customStyle="1">
    <w:name w:val="Grid Table 6 Colorful - Accent 5"/>
    <w:basedOn w:val="72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9" w:customStyle="1">
    <w:name w:val="Grid Table 6 Colorful - Accent 6"/>
    <w:basedOn w:val="72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0" w:customStyle="1">
    <w:name w:val="Таблица-сетка 7 цветная1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1"/>
    <w:basedOn w:val="72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Grid Table 7 Colorful - Accent 5"/>
    <w:basedOn w:val="72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6"/>
    <w:basedOn w:val="72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Список-таблица 1 светлая1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1"/>
    <w:basedOn w:val="72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2"/>
    <w:basedOn w:val="72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3"/>
    <w:basedOn w:val="72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4"/>
    <w:basedOn w:val="72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5"/>
    <w:basedOn w:val="72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6"/>
    <w:basedOn w:val="72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Список-таблица 21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1" w:customStyle="1">
    <w:name w:val="Список-таблица 3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Список-таблица 4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5 темная1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1"/>
    <w:basedOn w:val="72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Список-таблиц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3" w:customStyle="1">
    <w:name w:val="List Table 6 Colorful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4" w:customStyle="1">
    <w:name w:val="List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5" w:customStyle="1">
    <w:name w:val="List Table 6 Colorful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6" w:customStyle="1">
    <w:name w:val="List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7" w:customStyle="1">
    <w:name w:val="List Table 6 Colorful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8" w:customStyle="1">
    <w:name w:val="List Table 6 Colorful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9" w:customStyle="1">
    <w:name w:val="Список-таблица 7 цветная1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1"/>
    <w:basedOn w:val="72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2"/>
    <w:basedOn w:val="72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3"/>
    <w:basedOn w:val="72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4"/>
    <w:basedOn w:val="72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st Table 7 Colorful - Accent 5"/>
    <w:basedOn w:val="72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6"/>
    <w:basedOn w:val="72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ned - Accent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7" w:customStyle="1">
    <w:name w:val="Lined - Accent 1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8" w:customStyle="1">
    <w:name w:val="Lined - Accent 2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9" w:customStyle="1">
    <w:name w:val="Lined - Accent 3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0" w:customStyle="1">
    <w:name w:val="Lined - Accent 4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1" w:customStyle="1">
    <w:name w:val="Lined - Accent 5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2" w:customStyle="1">
    <w:name w:val="Lined - Accent 6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3" w:customStyle="1">
    <w:name w:val="Bordered &amp; Lined - Accent"/>
    <w:basedOn w:val="72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Bordered &amp; Lined - Accent 1"/>
    <w:basedOn w:val="72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Bordered &amp; Lined - Accent 2"/>
    <w:basedOn w:val="72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Bordered &amp; Lined - Accent 3"/>
    <w:basedOn w:val="72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Bordered &amp; Lined - Accent 4"/>
    <w:basedOn w:val="72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Bordered &amp; Lined - Accent 5"/>
    <w:basedOn w:val="72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Bordered &amp; Lined - Accent 6"/>
    <w:basedOn w:val="72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"/>
    <w:basedOn w:val="72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1" w:customStyle="1">
    <w:name w:val="Bordered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2" w:customStyle="1">
    <w:name w:val="Bordered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3" w:customStyle="1">
    <w:name w:val="Bordered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4" w:customStyle="1">
    <w:name w:val="Bordered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5" w:customStyle="1">
    <w:name w:val="Bordered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6" w:customStyle="1">
    <w:name w:val="Bordered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7">
    <w:name w:val="Hyperlink"/>
    <w:uiPriority w:val="99"/>
    <w:unhideWhenUsed/>
    <w:rPr>
      <w:color w:val="0000ff" w:themeColor="hyperlink"/>
      <w:u w:val="single"/>
    </w:rPr>
  </w:style>
  <w:style w:type="paragraph" w:styleId="908">
    <w:name w:val="footnote text"/>
    <w:basedOn w:val="709"/>
    <w:link w:val="909"/>
    <w:uiPriority w:val="99"/>
    <w:semiHidden/>
    <w:unhideWhenUsed/>
    <w:pPr>
      <w:spacing w:after="40"/>
    </w:pPr>
    <w:rPr>
      <w:sz w:val="18"/>
    </w:rPr>
  </w:style>
  <w:style w:type="character" w:styleId="909" w:customStyle="1">
    <w:name w:val="Текст сноски Знак"/>
    <w:link w:val="908"/>
    <w:uiPriority w:val="99"/>
    <w:rPr>
      <w:sz w:val="18"/>
    </w:rPr>
  </w:style>
  <w:style w:type="character" w:styleId="910">
    <w:name w:val="footnote reference"/>
    <w:basedOn w:val="719"/>
    <w:uiPriority w:val="99"/>
    <w:unhideWhenUsed/>
    <w:rPr>
      <w:vertAlign w:val="superscript"/>
    </w:rPr>
  </w:style>
  <w:style w:type="paragraph" w:styleId="911">
    <w:name w:val="endnote text"/>
    <w:basedOn w:val="709"/>
    <w:link w:val="912"/>
    <w:uiPriority w:val="99"/>
    <w:semiHidden/>
    <w:unhideWhenUsed/>
    <w:rPr>
      <w:sz w:val="20"/>
    </w:rPr>
  </w:style>
  <w:style w:type="character" w:styleId="912" w:customStyle="1">
    <w:name w:val="Текст концевой сноски Знак"/>
    <w:link w:val="911"/>
    <w:uiPriority w:val="99"/>
    <w:rPr>
      <w:sz w:val="20"/>
    </w:rPr>
  </w:style>
  <w:style w:type="character" w:styleId="913">
    <w:name w:val="endnote reference"/>
    <w:basedOn w:val="719"/>
    <w:uiPriority w:val="99"/>
    <w:semiHidden/>
    <w:unhideWhenUsed/>
    <w:rPr>
      <w:vertAlign w:val="superscript"/>
    </w:rPr>
  </w:style>
  <w:style w:type="paragraph" w:styleId="914">
    <w:name w:val="toc 1"/>
    <w:basedOn w:val="709"/>
    <w:next w:val="709"/>
    <w:uiPriority w:val="39"/>
    <w:unhideWhenUsed/>
    <w:pPr>
      <w:spacing w:after="57"/>
    </w:pPr>
  </w:style>
  <w:style w:type="paragraph" w:styleId="915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916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917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918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919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920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921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922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923">
    <w:name w:val="TOC Heading"/>
    <w:uiPriority w:val="39"/>
    <w:unhideWhenUsed/>
  </w:style>
  <w:style w:type="paragraph" w:styleId="924">
    <w:name w:val="table of figures"/>
    <w:basedOn w:val="709"/>
    <w:next w:val="709"/>
    <w:uiPriority w:val="99"/>
    <w:unhideWhenUsed/>
  </w:style>
  <w:style w:type="paragraph" w:styleId="925">
    <w:name w:val="Balloon Text"/>
    <w:basedOn w:val="709"/>
    <w:semiHidden/>
    <w:rPr>
      <w:rFonts w:ascii="Tahoma" w:hAnsi="Tahoma" w:cs="Tahoma"/>
      <w:sz w:val="16"/>
      <w:szCs w:val="16"/>
    </w:rPr>
  </w:style>
  <w:style w:type="paragraph" w:styleId="926" w:customStyle="1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70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92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28">
    <w:name w:val="Body Text"/>
    <w:basedOn w:val="709"/>
    <w:link w:val="929"/>
    <w:pPr>
      <w:jc w:val="both"/>
    </w:pPr>
    <w:rPr>
      <w:rFonts w:ascii="Arial" w:hAnsi="Arial"/>
      <w:sz w:val="24"/>
    </w:rPr>
  </w:style>
  <w:style w:type="character" w:styleId="929" w:customStyle="1">
    <w:name w:val="Основной текст Знак"/>
    <w:link w:val="928"/>
    <w:rPr>
      <w:rFonts w:ascii="Arial" w:hAnsi="Arial"/>
      <w:sz w:val="24"/>
    </w:rPr>
  </w:style>
  <w:style w:type="table" w:styleId="930">
    <w:name w:val="Table Grid"/>
    <w:basedOn w:val="720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>
    <w:name w:val="List Paragraph"/>
    <w:basedOn w:val="709"/>
    <w:uiPriority w:val="1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932" w:customStyle="1">
    <w:name w:val="zapolnenie"/>
    <w:uiPriority w:val="99"/>
    <w:rPr>
      <w:rFonts w:ascii="TextBookC" w:hAnsi="TextBookC" w:cs="TextBookC"/>
      <w:i/>
      <w:iCs/>
      <w:color w:val="324cff"/>
    </w:rPr>
  </w:style>
  <w:style w:type="paragraph" w:styleId="933">
    <w:name w:val="Normal (Web)"/>
    <w:basedOn w:val="70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4" w:customStyle="1">
    <w:name w:val="ConsPlusNormal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AE57-2578-45CF-95EA-5C0EEDC58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APR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13</cp:revision>
  <dcterms:created xsi:type="dcterms:W3CDTF">2026-02-09T12:37:00Z</dcterms:created>
  <dcterms:modified xsi:type="dcterms:W3CDTF">2026-02-26T05:59:29Z</dcterms:modified>
</cp:coreProperties>
</file>