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03.03.2026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302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Об утверждении схемы границ размещения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i/>
          <w:color w:val="000000"/>
        </w:rPr>
      </w:pPr>
      <w:r>
        <w:rPr>
          <w:b/>
        </w:rPr>
        <w:t xml:space="preserve"> гаражей, являющихся некапитальными  </w:t>
      </w:r>
      <w:r>
        <w:rPr>
          <w:b/>
          <w:i/>
          <w:color w:val="000000"/>
        </w:rPr>
      </w:r>
      <w:r>
        <w:rPr>
          <w:b/>
          <w:i/>
          <w:color w:val="000000"/>
        </w:rPr>
      </w:r>
    </w:p>
    <w:p>
      <w:pPr>
        <w:ind w:right="-5"/>
        <w:jc w:val="center"/>
        <w:tabs>
          <w:tab w:val="left" w:pos="9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Федерального закона от 06.10.2023  № 131-ФЗ «Об общих принципах организации местного самоуправления в Российской Федерации», в соответствии с Градостроительным кодексом Российской Федерации о</w:t>
      </w:r>
      <w:r>
        <w:rPr>
          <w:sz w:val="24"/>
          <w:szCs w:val="24"/>
        </w:rPr>
        <w:t xml:space="preserve">т 29.12.2004 № 190-ФЗ, Законом М</w:t>
      </w:r>
      <w:r>
        <w:rPr>
          <w:sz w:val="24"/>
          <w:szCs w:val="24"/>
        </w:rPr>
        <w:t xml:space="preserve">урманской области от 06.11.2018 </w:t>
      </w:r>
      <w:r>
        <w:rPr>
          <w:sz w:val="24"/>
          <w:szCs w:val="24"/>
        </w:rPr>
        <w:t xml:space="preserve">№ 2304-01-ЗМО «</w:t>
      </w:r>
      <w:r>
        <w:rPr>
          <w:sz w:val="24"/>
          <w:szCs w:val="24"/>
        </w:rPr>
        <w:t xml:space="preserve">О градостроительной деятельности на территории Мурма</w:t>
      </w:r>
      <w:r>
        <w:rPr>
          <w:sz w:val="24"/>
          <w:szCs w:val="24"/>
        </w:rPr>
        <w:t xml:space="preserve">нской области», постановлением </w:t>
      </w:r>
      <w:r>
        <w:rPr>
          <w:sz w:val="24"/>
          <w:szCs w:val="24"/>
        </w:rPr>
        <w:t xml:space="preserve">Правительства Мурманской области от 02.09.2021 № 624 – ПП «Об утверждении Порядка использования  земель или земельных участков, находящихся в государственной </w:t>
      </w:r>
      <w:r>
        <w:rPr>
          <w:sz w:val="24"/>
          <w:szCs w:val="24"/>
        </w:rPr>
        <w:t xml:space="preserve">или муниципальной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 на территории Мурманской области»</w:t>
      </w:r>
      <w:r>
        <w:rPr>
          <w:sz w:val="24"/>
          <w:szCs w:val="24"/>
        </w:rPr>
        <w:t xml:space="preserve">, Правилами благоустройства  территории Печенгского муниципального округа Мурманской области, утвержденными решением Совета депутатов Печенгского муниципального округа от 12.05.2023 № 387,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прилагаемую схему размещения гаражей, являющихся некапитальными строениями: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45"/>
        <w:tblW w:w="0" w:type="auto"/>
        <w:tblLook w:val="04A0" w:firstRow="1" w:lastRow="0" w:firstColumn="1" w:lastColumn="0" w:noHBand="0" w:noVBand="1"/>
      </w:tblPr>
      <w:tblGrid>
        <w:gridCol w:w="560"/>
        <w:gridCol w:w="5829"/>
        <w:gridCol w:w="3182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 xml:space="preserve">п</w:t>
            </w:r>
            <w:r>
              <w:rPr>
                <w:b/>
                <w:sz w:val="24"/>
                <w:szCs w:val="24"/>
              </w:rPr>
              <w:t xml:space="preserve">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5846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объекта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Номер схемы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84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Первомайская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left="0" w:right="0"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</w:t>
      </w:r>
      <w:r>
        <w:rPr>
          <w:color w:val="000000"/>
          <w:sz w:val="24"/>
          <w:szCs w:val="24"/>
        </w:rPr>
        <w:t xml:space="preserve">Настоящее постановление вступает в силу после его </w:t>
      </w:r>
      <w:r>
        <w:rPr>
          <w:color w:val="000000"/>
          <w:sz w:val="24"/>
          <w:szCs w:val="24"/>
        </w:rPr>
        <w:t xml:space="preserve">подписания.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4"/>
        <w:ind w:left="0" w:right="0" w:firstLine="709"/>
        <w:spacing w:line="240" w:lineRule="auto"/>
        <w:shd w:val="clear" w:color="auto" w:fill="auto"/>
        <w:widowControl w:val="off"/>
        <w:tabs>
          <w:tab w:val="left" w:pos="709" w:leader="none"/>
        </w:tabs>
        <w:rPr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 xml:space="preserve">3. </w:t>
      </w:r>
      <w:r>
        <w:rPr>
          <w:color w:val="000000"/>
          <w:sz w:val="24"/>
          <w:szCs w:val="24"/>
        </w:rPr>
        <w:t xml:space="preserve">Настоящее постановление </w:t>
      </w:r>
      <w:r>
        <w:rPr>
          <w:color w:val="000000"/>
          <w:sz w:val="24"/>
          <w:szCs w:val="24"/>
        </w:rPr>
        <w:t xml:space="preserve">подлежит опубликованию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в газете «Печенга» и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размещению на сайте Печенгского муниципального округа </w:t>
      </w:r>
      <w:hyperlink r:id="rId11" w:tooltip="http://pechengamr.gov-murman.ru/" w:history="1">
        <w:r>
          <w:rPr>
            <w:rStyle w:val="855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исполнения настоящего постановления оставляю за собой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униципального округа                                         </w:t>
      </w:r>
      <w:r>
        <w:rPr>
          <w:sz w:val="24"/>
          <w:szCs w:val="24"/>
        </w:rPr>
        <w:t xml:space="preserve">     А.С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Веверица В.А.,</w:t>
      </w:r>
      <w:r>
        <w:t xml:space="preserve"> </w:t>
      </w:r>
      <w:r>
        <w:t xml:space="preserve">25263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426" w:right="850" w:bottom="538" w:left="1701" w:header="709" w:footer="709" w:gutter="0"/>
          <w:cols w:num="1" w:sep="0" w:space="708" w:equalWidth="1"/>
          <w:docGrid w:linePitch="360"/>
        </w:sect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102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102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102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102"/>
        <w:jc w:val="left"/>
        <w:rPr>
          <w:sz w:val="24"/>
          <w:szCs w:val="24"/>
          <w:highlight w:val="none"/>
        </w:rPr>
        <w:suppressLineNumbers w:val="0"/>
      </w:pPr>
      <w:r>
        <w:rPr>
          <w:sz w:val="24"/>
          <w:szCs w:val="24"/>
        </w:rPr>
        <w:t xml:space="preserve">от 03.03.2026 № 302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 w:right="0" w:firstLine="5102"/>
        <w:jc w:val="left"/>
        <w:rPr>
          <w:sz w:val="24"/>
          <w:szCs w:val="24"/>
          <w:highlight w:val="none"/>
        </w:rPr>
        <w:suppressLineNumbers w:val="0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 w:right="0" w:firstLine="5102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6"/>
        <w:tblpPr w:horzAnchor="margin" w:tblpXSpec="center" w:vertAnchor="page" w:tblpY="1579" w:leftFromText="180" w:topFromText="0" w:rightFromText="180" w:bottomFromText="0"/>
        <w:tblW w:w="14074" w:type="dxa"/>
        <w:tblBorders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921"/>
        <w:gridCol w:w="8153"/>
      </w:tblGrid>
      <w:tr>
        <w:tblPrEx/>
        <w:trPr>
          <w:trHeight w:val="241"/>
        </w:trPr>
        <w:tc>
          <w:tcPr>
            <w:gridSpan w:val="2"/>
            <w:tcW w:w="1407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Схема размещения гаражей, являющихся некапитальными строениями</w:t>
            </w:r>
            <w:r>
              <w:rPr>
                <w:b/>
              </w:rPr>
              <w:t xml:space="preserve">,</w:t>
            </w:r>
            <w:r>
              <w:rPr>
                <w:b/>
              </w:rPr>
              <w:t xml:space="preserve"> №1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223"/>
        </w:trPr>
        <w:tc>
          <w:tcPr>
            <w:tcW w:w="5921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Вид объекта: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некапитальные строения – металлические гаражи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</w:rPr>
              <w:t xml:space="preserve">Площадь земельного участка: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10 103 </w:t>
            </w:r>
            <w:r>
              <w:rPr>
                <w:sz w:val="18"/>
                <w:szCs w:val="18"/>
                <w:u w:val="single"/>
              </w:rPr>
              <w:t xml:space="preserve">кв.м</w:t>
            </w:r>
            <w:r>
              <w:rPr>
                <w:sz w:val="18"/>
                <w:szCs w:val="18"/>
                <w:u w:val="single"/>
              </w:rPr>
              <w:t xml:space="preserve">.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Местоположение  объекта: </w:t>
            </w:r>
            <w:r>
              <w:rPr>
                <w:sz w:val="18"/>
                <w:szCs w:val="18"/>
                <w:u w:val="single"/>
              </w:rPr>
              <w:t xml:space="preserve">Мурманская область, муниципальный округ Печенгский, </w:t>
            </w:r>
            <w:r>
              <w:rPr>
                <w:sz w:val="18"/>
                <w:szCs w:val="18"/>
                <w:u w:val="single"/>
              </w:rPr>
              <w:t xml:space="preserve">пгт</w:t>
            </w:r>
            <w:r>
              <w:rPr>
                <w:sz w:val="18"/>
                <w:szCs w:val="18"/>
                <w:u w:val="single"/>
              </w:rPr>
              <w:t xml:space="preserve">. Никель, 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ул. Первомайская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Требования к внешнему виду: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окраска гаражных строений должна быть выполнена  в единой цветовой гамме;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должна сохраняться целостность конструкций гаражных строений;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 гаражные строения должны иметь габаритные размеры в ширину не более 4 м и в длину не более 6 м, иметь не более 1 этажа;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должны быть выполнены из легких конструкций, не предусматривающих устройство заглубленных фундаментов и подземных сооружений;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не иметь прочной связи с землей и конструктивные характеристики таких строений должны обеспечивать их перемещение и (или) демонтаж и последующую сборку без несоразмерного ущерба;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 не должны нарушать противопожарные требования, ухудшать визуальное восприятие городское среды и застроенных прилегающих территорий;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-хозяйствующие субъекты обязаны обеспечивать постоянный уход за в</w:t>
            </w:r>
            <w:r>
              <w:rPr>
                <w:sz w:val="18"/>
                <w:szCs w:val="18"/>
                <w:u w:val="single"/>
              </w:rPr>
              <w:t xml:space="preserve">н</w:t>
            </w:r>
            <w:r>
              <w:rPr>
                <w:sz w:val="18"/>
                <w:szCs w:val="18"/>
                <w:u w:val="single"/>
              </w:rPr>
              <w:t xml:space="preserve">ешним видом принадлежащих им объектов: содержать в чистоте и порядке, своевременно красить и устранять повреждения.</w:t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r>
              <w:rPr>
                <w:b/>
                <w:sz w:val="18"/>
                <w:szCs w:val="18"/>
              </w:rPr>
              <w:t xml:space="preserve">Срок размещения объекта: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10 лет</w:t>
            </w:r>
            <w:r/>
          </w:p>
        </w:tc>
        <w:tc>
          <w:tcPr>
            <w:tcW w:w="8153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0187" cy="2528515"/>
                      <wp:effectExtent l="0" t="0" r="1905" b="5715"/>
                      <wp:docPr id="2" name="Рисунок 1" descr="C:\Users\melnikovaog\Pictures\Изображение Первомайская2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C:\Users\melnikovaog\Pictures\Изображение Первомайская2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5277" cy="25328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233.87pt;height:199.1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Масштаб 1:1 000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2"/>
        </w:trPr>
        <w:tc>
          <w:tcPr>
            <w:tcW w:w="592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63973" cy="1502389"/>
                      <wp:effectExtent l="0" t="0" r="0" b="3175"/>
                      <wp:docPr id="3" name="Рисунок 3" descr="C:\Users\melnikovaog\Pictures\координаты 2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melnikovaog\Pictures\координаты 2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68424" cy="1505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54.64pt;height:11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153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tbl>
            <w:tblPr>
              <w:tblW w:w="6758" w:type="dxa"/>
              <w:tblLayout w:type="fixed"/>
              <w:tblLook w:val="0000" w:firstRow="0" w:lastRow="0" w:firstColumn="0" w:lastColumn="0" w:noHBand="0" w:noVBand="0"/>
            </w:tblPr>
            <w:tblGrid>
              <w:gridCol w:w="589"/>
              <w:gridCol w:w="6169"/>
            </w:tblGrid>
            <w:tr>
              <w:tblPrEx/>
              <w:trPr>
                <w:trHeight w:val="140"/>
              </w:trPr>
              <w:tc>
                <w:tcPr>
                  <w:tcW w:w="589" w:type="dxa"/>
                  <w:textDirection w:val="lrTb"/>
                  <w:noWrap w:val="false"/>
                </w:tcPr>
                <w:p>
                  <w:pPr>
                    <w:spacing w:after="200" w:line="276" w:lineRule="auto"/>
                    <w:rPr>
                      <w:rFonts w:asciiTheme="minorHAnsi" w:hAnsiTheme="minorHAnsi" w:eastAsiaTheme="minorHAnsi" w:cstheme="minorBidi"/>
                      <w:sz w:val="22"/>
                      <w:szCs w:val="22"/>
                      <w:lang w:eastAsia="en-US"/>
                    </w:rPr>
                    <w:framePr w:hSpace="180" w:wrap="around" w:vAnchor="page" w:hAnchor="margin" w:xAlign="center" w:y="1579"/>
                  </w:pPr>
                  <w:r>
                    <w:rPr>
                      <w:rFonts w:asciiTheme="minorHAnsi" w:hAnsiTheme="minorHAnsi" w:eastAsiaTheme="minorHAnsi" w:cstheme="minorBidi"/>
                      <w:color w:val="ff0000"/>
                      <w:sz w:val="22"/>
                      <w:szCs w:val="22"/>
                      <w:lang w:eastAsia="en-US"/>
                    </w:rPr>
                    <w:t xml:space="preserve">___</w:t>
                  </w:r>
                  <w:r>
                    <w:rPr>
                      <w:rFonts w:asciiTheme="minorHAnsi" w:hAnsiTheme="minorHAnsi" w:eastAsiaTheme="minorHAnsi" w:cstheme="minorBidi"/>
                      <w:sz w:val="22"/>
                      <w:szCs w:val="22"/>
                      <w:lang w:eastAsia="en-US"/>
                    </w:rPr>
                  </w:r>
                  <w:r>
                    <w:rPr>
                      <w:rFonts w:asciiTheme="minorHAnsi" w:hAnsiTheme="minorHAnsi" w:eastAsiaTheme="minorHAnsi" w:cstheme="minorBidi"/>
                      <w:sz w:val="22"/>
                      <w:szCs w:val="22"/>
                      <w:lang w:eastAsia="en-US"/>
                    </w:rPr>
                  </w:r>
                </w:p>
              </w:tc>
              <w:tc>
                <w:tcPr>
                  <w:tcW w:w="6169" w:type="dxa"/>
                  <w:textDirection w:val="lrTb"/>
                  <w:noWrap w:val="false"/>
                </w:tcPr>
                <w:p>
                  <w:pPr>
                    <w:rPr>
                      <w:rFonts w:eastAsiaTheme="minorHAnsi"/>
                      <w:lang w:eastAsia="en-US"/>
                    </w:rPr>
                    <w:framePr w:hSpace="180" w:wrap="around" w:vAnchor="page" w:hAnchor="margin" w:xAlign="center" w:y="1579"/>
                  </w:pPr>
                  <w:r>
                    <w:rPr>
                      <w:rFonts w:eastAsiaTheme="minorHAnsi"/>
                      <w:lang w:eastAsia="en-US"/>
                    </w:rPr>
                    <w:t xml:space="preserve">границы расположения существующих гаражей,</w:t>
                  </w:r>
                  <w:r>
                    <w:rPr>
                      <w:rFonts w:eastAsiaTheme="minorHAnsi"/>
                      <w:lang w:eastAsia="en-US"/>
                    </w:rPr>
                  </w:r>
                  <w:r>
                    <w:rPr>
                      <w:rFonts w:eastAsiaTheme="minorHAnsi"/>
                      <w:lang w:eastAsia="en-US"/>
                    </w:rPr>
                  </w:r>
                </w:p>
                <w:p>
                  <w:pPr>
                    <w:rPr>
                      <w:rFonts w:eastAsiaTheme="minorHAnsi"/>
                      <w:lang w:eastAsia="en-US"/>
                    </w:rPr>
                    <w:framePr w:hSpace="180" w:wrap="around" w:vAnchor="page" w:hAnchor="margin" w:xAlign="center" w:y="1579"/>
                  </w:pPr>
                  <w:r>
                    <w:rPr>
                      <w:rFonts w:eastAsiaTheme="minorHAnsi"/>
                      <w:lang w:eastAsia="en-US"/>
                    </w:rPr>
                    <w:t xml:space="preserve"> </w:t>
                  </w:r>
                  <w:r>
                    <w:rPr>
                      <w:rFonts w:eastAsiaTheme="minorHAnsi"/>
                      <w:lang w:eastAsia="en-US"/>
                    </w:rPr>
                    <w:t xml:space="preserve">являющихся</w:t>
                  </w:r>
                  <w:r>
                    <w:rPr>
                      <w:rFonts w:eastAsiaTheme="minorHAnsi"/>
                      <w:lang w:eastAsia="en-US"/>
                    </w:rPr>
                    <w:t xml:space="preserve"> некапитальными строениями</w:t>
                  </w:r>
                  <w:r>
                    <w:rPr>
                      <w:rFonts w:eastAsiaTheme="minorHAnsi"/>
                      <w:lang w:eastAsia="en-US"/>
                    </w:rPr>
                  </w:r>
                  <w:r>
                    <w:rPr>
                      <w:rFonts w:eastAsiaTheme="minorHAnsi"/>
                      <w:lang w:eastAsia="en-US"/>
                    </w:rPr>
                  </w:r>
                </w:p>
              </w:tc>
            </w:tr>
          </w:tbl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ectPr>
          <w:footnotePr/>
          <w:endnotePr/>
          <w:type w:val="nextPage"/>
          <w:pgSz w:w="16838" w:h="11906" w:orient="landscape"/>
          <w:pgMar w:top="284" w:right="425" w:bottom="851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426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5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2"/>
    <w:next w:val="832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4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4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4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4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4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4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4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2"/>
    <w:next w:val="832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4"/>
    <w:link w:val="678"/>
    <w:uiPriority w:val="10"/>
    <w:rPr>
      <w:sz w:val="48"/>
      <w:szCs w:val="48"/>
    </w:rPr>
  </w:style>
  <w:style w:type="paragraph" w:styleId="680">
    <w:name w:val="Subtitle"/>
    <w:basedOn w:val="832"/>
    <w:next w:val="832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4"/>
    <w:link w:val="680"/>
    <w:uiPriority w:val="11"/>
    <w:rPr>
      <w:sz w:val="24"/>
      <w:szCs w:val="24"/>
    </w:rPr>
  </w:style>
  <w:style w:type="paragraph" w:styleId="682">
    <w:name w:val="Quote"/>
    <w:basedOn w:val="832"/>
    <w:next w:val="832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2"/>
    <w:next w:val="832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4"/>
    <w:link w:val="849"/>
    <w:uiPriority w:val="99"/>
  </w:style>
  <w:style w:type="character" w:styleId="687">
    <w:name w:val="Footer Char"/>
    <w:basedOn w:val="834"/>
    <w:link w:val="851"/>
    <w:uiPriority w:val="99"/>
  </w:style>
  <w:style w:type="paragraph" w:styleId="688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51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paragraph" w:styleId="833">
    <w:name w:val="Heading 1"/>
    <w:basedOn w:val="832"/>
    <w:next w:val="832"/>
    <w:qFormat/>
    <w:pPr>
      <w:jc w:val="center"/>
      <w:keepNext/>
      <w:outlineLvl w:val="0"/>
    </w:pPr>
    <w:rPr>
      <w:sz w:val="24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Body Text"/>
    <w:basedOn w:val="832"/>
    <w:pPr>
      <w:jc w:val="both"/>
    </w:pPr>
    <w:rPr>
      <w:sz w:val="24"/>
      <w:szCs w:val="24"/>
    </w:rPr>
  </w:style>
  <w:style w:type="paragraph" w:styleId="838">
    <w:name w:val="Body Text Indent"/>
    <w:basedOn w:val="832"/>
    <w:pPr>
      <w:ind w:left="283"/>
      <w:spacing w:after="120"/>
    </w:pPr>
  </w:style>
  <w:style w:type="paragraph" w:styleId="839">
    <w:name w:val="Body Text 2"/>
    <w:basedOn w:val="83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40">
    <w:name w:val="Body Text Indent 2"/>
    <w:basedOn w:val="832"/>
    <w:pPr>
      <w:ind w:firstLine="709"/>
      <w:jc w:val="both"/>
    </w:pPr>
    <w:rPr>
      <w:bCs/>
      <w:sz w:val="26"/>
      <w:szCs w:val="26"/>
    </w:rPr>
  </w:style>
  <w:style w:type="paragraph" w:styleId="841">
    <w:name w:val="Body Text Indent 3"/>
    <w:basedOn w:val="83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42" w:customStyle="1">
    <w:name w:val="Знак Знак1 Знак Знак Знак Знак"/>
    <w:basedOn w:val="8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43">
    <w:name w:val="Body Text 3"/>
    <w:basedOn w:val="832"/>
    <w:link w:val="844"/>
    <w:pPr>
      <w:spacing w:after="120"/>
    </w:pPr>
    <w:rPr>
      <w:sz w:val="16"/>
      <w:szCs w:val="16"/>
    </w:rPr>
  </w:style>
  <w:style w:type="character" w:styleId="844" w:customStyle="1">
    <w:name w:val="Основной текст 3 Знак"/>
    <w:link w:val="843"/>
    <w:rPr>
      <w:sz w:val="16"/>
      <w:szCs w:val="16"/>
    </w:rPr>
  </w:style>
  <w:style w:type="table" w:styleId="845">
    <w:name w:val="Table Grid"/>
    <w:basedOn w:val="83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Balloon Text"/>
    <w:basedOn w:val="832"/>
    <w:link w:val="847"/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link w:val="846"/>
    <w:rPr>
      <w:rFonts w:ascii="Tahoma" w:hAnsi="Tahoma" w:cs="Tahoma"/>
      <w:sz w:val="16"/>
      <w:szCs w:val="16"/>
    </w:rPr>
  </w:style>
  <w:style w:type="paragraph" w:styleId="848">
    <w:name w:val="List Paragraph"/>
    <w:basedOn w:val="832"/>
    <w:uiPriority w:val="34"/>
    <w:qFormat/>
    <w:pPr>
      <w:contextualSpacing/>
      <w:ind w:left="720"/>
    </w:pPr>
  </w:style>
  <w:style w:type="paragraph" w:styleId="849">
    <w:name w:val="Header"/>
    <w:basedOn w:val="832"/>
    <w:link w:val="850"/>
    <w:pPr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4"/>
    <w:link w:val="849"/>
  </w:style>
  <w:style w:type="paragraph" w:styleId="851">
    <w:name w:val="Footer"/>
    <w:basedOn w:val="832"/>
    <w:link w:val="852"/>
    <w:pPr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4"/>
    <w:link w:val="851"/>
  </w:style>
  <w:style w:type="character" w:styleId="853" w:customStyle="1">
    <w:name w:val="Body text_"/>
    <w:basedOn w:val="834"/>
    <w:link w:val="854"/>
    <w:rPr>
      <w:sz w:val="23"/>
      <w:szCs w:val="23"/>
      <w:shd w:val="clear" w:color="auto" w:fill="ffffff"/>
    </w:rPr>
  </w:style>
  <w:style w:type="paragraph" w:styleId="854" w:customStyle="1">
    <w:name w:val="Основной текст10"/>
    <w:basedOn w:val="832"/>
    <w:link w:val="853"/>
    <w:pPr>
      <w:jc w:val="both"/>
      <w:spacing w:line="276" w:lineRule="exact"/>
      <w:shd w:val="clear" w:color="auto" w:fill="ffffff"/>
    </w:pPr>
    <w:rPr>
      <w:sz w:val="23"/>
      <w:szCs w:val="23"/>
    </w:rPr>
  </w:style>
  <w:style w:type="character" w:styleId="855">
    <w:name w:val="Hyperlink"/>
    <w:basedOn w:val="834"/>
    <w:uiPriority w:val="99"/>
    <w:unhideWhenUsed/>
    <w:rPr>
      <w:color w:val="0000ff"/>
      <w:u w:val="single"/>
    </w:rPr>
  </w:style>
  <w:style w:type="table" w:styleId="856" w:customStyle="1">
    <w:name w:val="Сетка таблицы1"/>
    <w:basedOn w:val="835"/>
    <w:next w:val="845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5BA06-F911-40A2-B403-617D0432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2026-02-24T12:46:00Z</dcterms:created>
  <dcterms:modified xsi:type="dcterms:W3CDTF">2026-03-04T12:14:46Z</dcterms:modified>
</cp:coreProperties>
</file>