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10.03.2026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330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реализации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орядк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18.09.2025 </w:t>
        <w:br/>
        <w:t xml:space="preserve">№ 1488,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соответствии с муниципальной программой Печенского мун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иципаль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2026-2028 годы,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утвержденной постановлением администрации Печенгского муниципального округа от 12.11.2025 № 1846,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целях повышения эффективности и результативности расходования бюд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жетных средств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лан реализации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ой 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утвержденный постановлением администрации Печенгского муниципального округа от 18.11.2025 № 1890, изложить в редакции согласно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</w:t>
      </w:r>
      <w:r>
        <w:rPr>
          <w:rFonts w:ascii="Times New Roman" w:hAnsi="Times New Roman" w:eastAsia="Times New Roman"/>
          <w:sz w:val="24"/>
          <w:szCs w:val="24"/>
        </w:rPr>
        <w:t xml:space="preserve">в силу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 момента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Врип </w:t>
      </w: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А.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10.03.2026 № 330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630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8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1"/>
        <w:gridCol w:w="2560"/>
        <w:gridCol w:w="1134"/>
        <w:gridCol w:w="850"/>
        <w:gridCol w:w="1418"/>
        <w:gridCol w:w="1276"/>
        <w:gridCol w:w="1276"/>
        <w:gridCol w:w="1276"/>
        <w:gridCol w:w="3826"/>
        <w:gridCol w:w="1559"/>
      </w:tblGrid>
      <w:tr>
        <w:tblPrEx/>
        <w:trPr>
          <w:trHeight w:val="270"/>
        </w:trPr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п/п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60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</w:t>
            </w:r>
            <w:r>
              <w:rPr>
                <w:sz w:val="18"/>
                <w:szCs w:val="18"/>
                <w:lang w:eastAsia="ru-RU"/>
              </w:rPr>
              <w:t xml:space="preserve">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2026-2028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793 841 709,27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427 311 051,27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183 266 679,00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183 263 979,00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 </w:t>
            </w: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МБ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677 698 272,27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314 547 272,27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ОБ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50 600 737,00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47 221 079,00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1 688 379,00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1 691 279,00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ФБ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  <w:lang w:eastAsia="ru-RU"/>
              </w:rPr>
              <w:t xml:space="preserve"> «Экологическая безопасность и окружающая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1.1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с процессных мероприятий 1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0.1. </w:t>
            </w:r>
            <w:r>
              <w:rPr>
                <w:sz w:val="16"/>
                <w:szCs w:val="16"/>
                <w:lang w:eastAsia="ru-RU"/>
              </w:rP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1.1. Количество вновь созданных и отремонтированных контейнерных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1.2. Количество договоров, заключенных с региональным оператором, по вывозу мусора с территорий общего пользования.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1.3. Количество рекультивированных, ликвидированных несанкционированных (санкционированных) свалок, включая разработку ПСД.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1.4. Количество эвакуированного бесхозяйного (брошенного) транспорта с дворовых территорий.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1.5. Количество отловленных животных без владельцев с территорий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Создание и ремонт контейнерных площадок для накопления твердых коммунальных отходов»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вывоза мусора с территорий общего пользования»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518 100,00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Вывоз мусора с мест массового отдыха граждан («Первый мост» пгт. Никель)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518 100,00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«Ликвидация объекта накопленного вреда окружающей среде «Санкционированная свалка на территории пгт. Никель Мурманской области»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1.1.4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«Эвакуация с дворовых территорий бесхозяйного (брошенного) транспорта»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 МБУ «НДС»</w:t>
            </w:r>
            <w:r>
              <w:rPr>
                <w:sz w:val="18"/>
                <w:szCs w:val="18"/>
                <w:lang w:val="en-US" w:eastAsia="ru-RU"/>
              </w:rPr>
            </w:r>
            <w:r>
              <w:rPr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900 000,00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1.1.5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мероприятий при осуществлении деятельности по обращению животных без владельцев»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738 644 620,89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384 193 620,89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627 566 420,89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273 115 420,89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мероприятий 2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«Устойчивое и надежное функционирование систем коммунальной инфраструктуры»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2.1. Протяженность отремонтированных инженерных сетей.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2.2. Наличие актуализированных схемы теплоснабжения и программы комплексного развития системы коммунальной инфраструктуры.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Капитальный ремонт магистральных и внутриквартальных сетей теплоснабжения, водоснабжения и водоотведения»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Капитальный ремонт</w:t>
            </w:r>
            <w:r>
              <w:rPr>
                <w:sz w:val="16"/>
                <w:szCs w:val="16"/>
                <w:lang w:eastAsia="ru-RU"/>
              </w:rPr>
              <w:t xml:space="preserve"> сети теплоснабжения в целях обеспечения бесперебойного функционирования объектов жилищно-коммунального хозяйства, в том числе разработка сметной документации, проведение экспертизы сметных расчетов стоимости ремонтных работ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схемы теплоснабжения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утвержденных постановлением РФ </w:t>
              <w:br/>
              <w:t xml:space="preserve">от 14.06.2013 № 502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328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216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720</w:t>
            </w:r>
            <w:r>
              <w:rPr>
                <w:b/>
                <w:sz w:val="16"/>
                <w:szCs w:val="16"/>
                <w:lang w:eastAsia="ru-RU"/>
              </w:rPr>
              <w:t xml:space="preserve">,</w:t>
            </w:r>
            <w:r>
              <w:rPr>
                <w:b/>
                <w:sz w:val="16"/>
                <w:szCs w:val="16"/>
                <w:lang w:eastAsia="ru-RU"/>
              </w:rPr>
              <w:t xml:space="preserve">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228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216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720</w:t>
            </w:r>
            <w:r>
              <w:rPr>
                <w:b/>
                <w:sz w:val="16"/>
                <w:szCs w:val="16"/>
                <w:lang w:eastAsia="ru-RU"/>
              </w:rPr>
              <w:t xml:space="preserve">,</w:t>
            </w:r>
            <w:r>
              <w:rPr>
                <w:b/>
                <w:sz w:val="16"/>
                <w:szCs w:val="16"/>
                <w:lang w:eastAsia="ru-RU"/>
              </w:rPr>
              <w:t xml:space="preserve">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0.4. Уровень качества городской среды.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2.3. Количество благоустроенных общественных территорий.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2.4. Количество благоустроенных дворовых территорий многоквартирных домов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520</w:t>
            </w:r>
            <w:r>
              <w:rPr>
                <w:sz w:val="16"/>
                <w:szCs w:val="16"/>
                <w:lang w:eastAsia="ru-RU"/>
              </w:rPr>
              <w:t xml:space="preserve">,</w:t>
            </w:r>
            <w:r>
              <w:rPr>
                <w:sz w:val="16"/>
                <w:szCs w:val="16"/>
                <w:lang w:eastAsia="ru-RU"/>
              </w:rPr>
              <w:t xml:space="preserve">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138 520,89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Благоустройство общественных территорий»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маломобильными гражданами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многоквартирных домов»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проживания в многоквартирных домах путем благоустройства придомовых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в рамках реализации мероприятий планов социального развития экономического роста субъектов РФ Арктической зоны РФ»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216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720</w:t>
            </w:r>
            <w:r>
              <w:rPr>
                <w:b/>
                <w:sz w:val="16"/>
                <w:szCs w:val="16"/>
                <w:lang w:eastAsia="ru-RU"/>
              </w:rPr>
              <w:t xml:space="preserve">,</w:t>
            </w:r>
            <w:r>
              <w:rPr>
                <w:b/>
                <w:sz w:val="16"/>
                <w:szCs w:val="16"/>
                <w:lang w:eastAsia="ru-RU"/>
              </w:rPr>
              <w:t xml:space="preserve">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168 216 720,89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Благоустройство дворовых территорий: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пгт. Печенга, Пече</w:t>
            </w:r>
            <w:r>
              <w:rPr>
                <w:sz w:val="16"/>
                <w:szCs w:val="16"/>
                <w:lang w:eastAsia="ru-RU"/>
              </w:rPr>
              <w:t xml:space="preserve">нгское шоссе, 8-10, 7-12, 6-11, 3, </w:t>
            </w:r>
            <w:r>
              <w:rPr>
                <w:sz w:val="16"/>
                <w:szCs w:val="16"/>
                <w:lang w:eastAsia="ru-RU"/>
              </w:rPr>
              <w:t xml:space="preserve">4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Стадионная, 3, 4, 7, 5-8, 9,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10;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ж/д ст. Печенга, д. 1, 2, 3, 4;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Луостари, ул. Нижняя, 4-10-12, 3, 2, 5, 9, 8,</w:t>
            </w:r>
            <w:r>
              <w:rPr>
                <w:sz w:val="16"/>
                <w:szCs w:val="16"/>
                <w:lang w:eastAsia="ru-RU"/>
              </w:rPr>
              <w:t xml:space="preserve"> 11, 13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В</w:t>
            </w:r>
            <w:r>
              <w:rPr>
                <w:sz w:val="16"/>
                <w:szCs w:val="16"/>
                <w:lang w:eastAsia="ru-RU"/>
              </w:rPr>
              <w:t xml:space="preserve">ерхняя, 4-5, 1-2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Спутник, ул. Новая, 19-21, 18-20, 16-17, 8-15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     </w:t>
            </w: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2.4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2.5. Надлежащее содержание, улучшение санитарного, технического и эстетического состояния </w:t>
            </w:r>
            <w:r>
              <w:rPr>
                <w:sz w:val="16"/>
                <w:szCs w:val="16"/>
                <w:lang w:eastAsia="ru-RU"/>
              </w:rPr>
              <w:t xml:space="preserve">объектов благоустройства </w:t>
            </w:r>
            <w:r>
              <w:rPr>
                <w:sz w:val="16"/>
                <w:szCs w:val="16"/>
                <w:lang w:eastAsia="ru-RU"/>
              </w:rPr>
              <w:t xml:space="preserve">городской среды от общего количества запланированных мероприятий</w:t>
            </w:r>
            <w:r>
              <w:rPr>
                <w:sz w:val="16"/>
                <w:szCs w:val="16"/>
                <w:lang w:eastAsia="ru-RU"/>
              </w:rPr>
              <w:t xml:space="preserve">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2.6. Количество благоустроенных детских игровых и спортивных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2.7. Выполнение мероприятий по организации уличного освещения.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Повышение привлекательности объектов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«Создание, благоустройство и обслуживание инфраструктуры для комфортного развития детей, молодежи»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«Техническое обслуживание и устройство наружного освещения, оплата электроэнергии наружного освещения»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освещения, модернизация и замена устаревшего оборудования сетей уличного </w:t>
            </w:r>
            <w:r>
              <w:rPr>
                <w:sz w:val="16"/>
                <w:szCs w:val="16"/>
                <w:lang w:eastAsia="ru-RU"/>
              </w:rPr>
              <w:t xml:space="preserve">освещения</w:t>
            </w:r>
            <w:r>
              <w:rPr>
                <w:sz w:val="16"/>
                <w:szCs w:val="16"/>
                <w:lang w:eastAsia="ru-RU"/>
              </w:rPr>
              <w:t xml:space="preserve">,</w:t>
            </w:r>
            <w:r>
              <w:rPr>
                <w:sz w:val="16"/>
                <w:szCs w:val="16"/>
                <w:lang w:eastAsia="ru-RU"/>
              </w:rPr>
              <w:t xml:space="preserve"> обустройство наружного освещения в районе детских площадок, неосвещенных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2.5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5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проекта «Работа Рядом!»»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2.8. Численность граждан, привлеченных к временным общественно полезным работам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 трудовых бригад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/>
            <w:bookmarkStart w:id="0" w:name="_GoBack"/>
            <w:r/>
            <w:bookmarkEnd w:id="0"/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2.6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  <w:lang w:eastAsia="ru-RU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2.9. Обеспечение деятельности муниципального казенного учреждения в сфере благоустройства.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В</w:t>
            </w:r>
            <w:r>
              <w:rPr>
                <w:b/>
                <w:sz w:val="18"/>
                <w:szCs w:val="18"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2026-2028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3.7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</w:t>
            </w:r>
            <w:r>
              <w:rPr>
                <w:sz w:val="18"/>
                <w:szCs w:val="18"/>
                <w:lang w:eastAsia="ru-RU"/>
              </w:rPr>
              <w:t xml:space="preserve"> «Организация ритуальных услуг и </w:t>
            </w:r>
            <w:r>
              <w:rPr>
                <w:sz w:val="18"/>
                <w:szCs w:val="18"/>
                <w:lang w:eastAsia="ru-RU"/>
              </w:rPr>
              <w:t xml:space="preserve">содержание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3.1. Количество кладбищ, содержание которых </w:t>
            </w:r>
            <w:r>
              <w:rPr>
                <w:sz w:val="16"/>
                <w:szCs w:val="16"/>
                <w:lang w:eastAsia="ru-RU"/>
              </w:rPr>
              <w:t xml:space="preserve">обеспечивается в надлежащем порядке в соответствии с санитарно-эпидемиологическими нормами.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3.2. Выполнение мероприятий по организации захоронений трупов, невостребованных родственниками.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Содержание мест захоронения (кладбищ), ритуальные услуги»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выплат по гарантированному перечню услуг по погребению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Комитет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отдел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851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1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6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5"/>
  </w:num>
  <w:num w:numId="15">
    <w:abstractNumId w:val="17"/>
  </w:num>
  <w:num w:numId="16">
    <w:abstractNumId w:val="0"/>
  </w:num>
  <w:num w:numId="17">
    <w:abstractNumId w:val="2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4 Char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692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693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694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696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697">
    <w:name w:val="Title Char"/>
    <w:basedOn w:val="732"/>
    <w:link w:val="744"/>
    <w:uiPriority w:val="10"/>
    <w:rPr>
      <w:sz w:val="48"/>
      <w:szCs w:val="48"/>
    </w:rPr>
  </w:style>
  <w:style w:type="character" w:styleId="698">
    <w:name w:val="Subtitle Char"/>
    <w:basedOn w:val="732"/>
    <w:link w:val="746"/>
    <w:uiPriority w:val="11"/>
    <w:rPr>
      <w:sz w:val="24"/>
      <w:szCs w:val="24"/>
    </w:rPr>
  </w:style>
  <w:style w:type="character" w:styleId="699">
    <w:name w:val="Quote Char"/>
    <w:link w:val="748"/>
    <w:uiPriority w:val="29"/>
    <w:rPr>
      <w:i/>
    </w:rPr>
  </w:style>
  <w:style w:type="character" w:styleId="700">
    <w:name w:val="Intense Quote Char"/>
    <w:link w:val="750"/>
    <w:uiPriority w:val="30"/>
    <w:rPr>
      <w:i/>
    </w:rPr>
  </w:style>
  <w:style w:type="table" w:styleId="701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5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8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9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0">
    <w:name w:val="Footnote Text Char"/>
    <w:link w:val="880"/>
    <w:uiPriority w:val="99"/>
    <w:rPr>
      <w:sz w:val="18"/>
    </w:rPr>
  </w:style>
  <w:style w:type="character" w:styleId="721">
    <w:name w:val="Endnote Text Char"/>
    <w:link w:val="883"/>
    <w:uiPriority w:val="99"/>
    <w:rPr>
      <w:sz w:val="20"/>
    </w:rPr>
  </w:style>
  <w:style w:type="paragraph" w:styleId="72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3">
    <w:name w:val="Heading 1"/>
    <w:basedOn w:val="722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4">
    <w:name w:val="Heading 2"/>
    <w:basedOn w:val="722"/>
    <w:next w:val="722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5">
    <w:name w:val="Heading 3"/>
    <w:basedOn w:val="722"/>
    <w:next w:val="722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6">
    <w:name w:val="Heading 4"/>
    <w:basedOn w:val="722"/>
    <w:next w:val="722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722"/>
    <w:next w:val="722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722"/>
    <w:next w:val="722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9">
    <w:name w:val="Heading 7"/>
    <w:basedOn w:val="722"/>
    <w:next w:val="722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0">
    <w:name w:val="Heading 8"/>
    <w:basedOn w:val="722"/>
    <w:next w:val="722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1">
    <w:name w:val="Heading 9"/>
    <w:basedOn w:val="722"/>
    <w:next w:val="722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Heading 1 Char"/>
    <w:basedOn w:val="732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32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2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722"/>
    <w:next w:val="722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Заголовок Знак"/>
    <w:basedOn w:val="732"/>
    <w:link w:val="744"/>
    <w:uiPriority w:val="10"/>
    <w:rPr>
      <w:sz w:val="48"/>
      <w:szCs w:val="48"/>
    </w:rPr>
  </w:style>
  <w:style w:type="paragraph" w:styleId="746">
    <w:name w:val="Subtitle"/>
    <w:basedOn w:val="722"/>
    <w:next w:val="722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32"/>
    <w:link w:val="746"/>
    <w:uiPriority w:val="11"/>
    <w:rPr>
      <w:sz w:val="24"/>
      <w:szCs w:val="24"/>
    </w:rPr>
  </w:style>
  <w:style w:type="paragraph" w:styleId="748">
    <w:name w:val="Quote"/>
    <w:basedOn w:val="722"/>
    <w:next w:val="722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2"/>
    <w:next w:val="722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32"/>
    <w:uiPriority w:val="99"/>
  </w:style>
  <w:style w:type="character" w:styleId="753" w:customStyle="1">
    <w:name w:val="Footer Char"/>
    <w:basedOn w:val="732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2"/>
    <w:uiPriority w:val="99"/>
    <w:unhideWhenUsed/>
    <w:rPr>
      <w:vertAlign w:val="superscript"/>
    </w:rPr>
  </w:style>
  <w:style w:type="paragraph" w:styleId="883">
    <w:name w:val="endnote text"/>
    <w:basedOn w:val="72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2"/>
    <w:uiPriority w:val="99"/>
    <w:semiHidden/>
    <w:unhideWhenUsed/>
    <w:rPr>
      <w:vertAlign w:val="superscript"/>
    </w:rPr>
  </w:style>
  <w:style w:type="paragraph" w:styleId="886">
    <w:name w:val="toc 1"/>
    <w:basedOn w:val="722"/>
    <w:next w:val="722"/>
    <w:uiPriority w:val="39"/>
    <w:unhideWhenUsed/>
    <w:pPr>
      <w:spacing w:after="57"/>
    </w:pPr>
  </w:style>
  <w:style w:type="paragraph" w:styleId="887">
    <w:name w:val="toc 2"/>
    <w:basedOn w:val="722"/>
    <w:next w:val="722"/>
    <w:uiPriority w:val="39"/>
    <w:unhideWhenUsed/>
    <w:pPr>
      <w:ind w:left="283"/>
      <w:spacing w:after="57"/>
    </w:pPr>
  </w:style>
  <w:style w:type="paragraph" w:styleId="888">
    <w:name w:val="toc 3"/>
    <w:basedOn w:val="722"/>
    <w:next w:val="722"/>
    <w:uiPriority w:val="39"/>
    <w:unhideWhenUsed/>
    <w:pPr>
      <w:ind w:left="567"/>
      <w:spacing w:after="57"/>
    </w:pPr>
  </w:style>
  <w:style w:type="paragraph" w:styleId="889">
    <w:name w:val="toc 4"/>
    <w:basedOn w:val="722"/>
    <w:next w:val="722"/>
    <w:uiPriority w:val="39"/>
    <w:unhideWhenUsed/>
    <w:pPr>
      <w:ind w:left="850"/>
      <w:spacing w:after="57"/>
    </w:pPr>
  </w:style>
  <w:style w:type="paragraph" w:styleId="890">
    <w:name w:val="toc 5"/>
    <w:basedOn w:val="722"/>
    <w:next w:val="722"/>
    <w:uiPriority w:val="39"/>
    <w:unhideWhenUsed/>
    <w:pPr>
      <w:ind w:left="1134"/>
      <w:spacing w:after="57"/>
    </w:pPr>
  </w:style>
  <w:style w:type="paragraph" w:styleId="891">
    <w:name w:val="toc 6"/>
    <w:basedOn w:val="722"/>
    <w:next w:val="722"/>
    <w:uiPriority w:val="39"/>
    <w:unhideWhenUsed/>
    <w:pPr>
      <w:ind w:left="1417"/>
      <w:spacing w:after="57"/>
    </w:pPr>
  </w:style>
  <w:style w:type="paragraph" w:styleId="892">
    <w:name w:val="toc 7"/>
    <w:basedOn w:val="722"/>
    <w:next w:val="722"/>
    <w:uiPriority w:val="39"/>
    <w:unhideWhenUsed/>
    <w:pPr>
      <w:ind w:left="1701"/>
      <w:spacing w:after="57"/>
    </w:pPr>
  </w:style>
  <w:style w:type="paragraph" w:styleId="893">
    <w:name w:val="toc 8"/>
    <w:basedOn w:val="722"/>
    <w:next w:val="722"/>
    <w:uiPriority w:val="39"/>
    <w:unhideWhenUsed/>
    <w:pPr>
      <w:ind w:left="1984"/>
      <w:spacing w:after="57"/>
    </w:pPr>
  </w:style>
  <w:style w:type="paragraph" w:styleId="894">
    <w:name w:val="toc 9"/>
    <w:basedOn w:val="722"/>
    <w:next w:val="72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2"/>
    <w:next w:val="722"/>
    <w:uiPriority w:val="99"/>
    <w:unhideWhenUsed/>
    <w:pPr>
      <w:spacing w:after="0"/>
    </w:pPr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722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722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722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722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722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72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722"/>
    <w:link w:val="91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72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72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72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3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722"/>
    <w:link w:val="92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722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72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722"/>
    <w:link w:val="93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722"/>
    <w:next w:val="722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72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722"/>
    <w:next w:val="72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722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722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722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34"/>
    <w:semiHidden/>
    <w:unhideWhenUsed/>
  </w:style>
  <w:style w:type="table" w:styleId="951" w:customStyle="1">
    <w:name w:val="Сетка таблицы1"/>
    <w:basedOn w:val="733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72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72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722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722"/>
    <w:next w:val="722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722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722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32"/>
  </w:style>
  <w:style w:type="character" w:styleId="976">
    <w:name w:val="annotation reference"/>
    <w:basedOn w:val="732"/>
    <w:uiPriority w:val="99"/>
    <w:semiHidden/>
    <w:unhideWhenUsed/>
    <w:rPr>
      <w:sz w:val="16"/>
      <w:szCs w:val="16"/>
    </w:rPr>
  </w:style>
  <w:style w:type="paragraph" w:styleId="977">
    <w:name w:val="annotation text"/>
    <w:basedOn w:val="722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32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576E2-6998-45A6-B409-D31EDE169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11</cp:revision>
  <dcterms:created xsi:type="dcterms:W3CDTF">2026-03-10T08:47:00Z</dcterms:created>
  <dcterms:modified xsi:type="dcterms:W3CDTF">2026-03-26T09:44:48Z</dcterms:modified>
</cp:coreProperties>
</file>