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ПЕЧЕНГСКОГО МУНИЦИПАЛЬНОГО ОКРУГА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МУРМАНСКОЙ ОБЛАСТИ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683"/>
        <w:keepNext w:val="0"/>
        <w:widowControl w:val="off"/>
        <w:rPr>
          <w:caps/>
          <w:sz w:val="44"/>
          <w:szCs w:val="44"/>
        </w:rPr>
      </w:pPr>
      <w:r>
        <w:rPr>
          <w:caps/>
          <w:sz w:val="44"/>
          <w:szCs w:val="44"/>
        </w:rPr>
        <w:t xml:space="preserve">РАСПОРЯЖЕНИЕ</w:t>
      </w:r>
      <w:r>
        <w:rPr>
          <w:caps/>
          <w:sz w:val="44"/>
          <w:szCs w:val="44"/>
        </w:rPr>
      </w:r>
      <w:r>
        <w:rPr>
          <w:caps/>
          <w:sz w:val="44"/>
          <w:szCs w:val="4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30.03.2026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№ 35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Об утверждении Плана мероприятий по противодействию коррупции в администрации </w:t>
      </w:r>
      <w:r>
        <w:rPr>
          <w:rFonts w:ascii="Times New Roman" w:hAnsi="Times New Roman" w:cs="Times New Roman"/>
          <w:sz w:val="20"/>
        </w:rPr>
        <w:br/>
        <w:t xml:space="preserve">Печенгского муниципального округа на 2026 год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709"/>
        <w:jc w:val="both"/>
        <w:tabs>
          <w:tab w:val="left" w:pos="993" w:leader="none"/>
        </w:tabs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В соответствии с Федеральным законом от 25.12.2008 № 273-ФЗ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br/>
        <w:t xml:space="preserve">«О противодействии коррупции», руководствуясь подпунктом 1 статьи 4 Закона Мурма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нской области от 26.10.2007 № 898-01-ЗМО «О противодействии коррупции в Мурманской области», постановлением Правительства Мурманской области от 25.02.2026 № 91-ПП «О Плане основных мероприятий по противодействию коррупции в Мурманской области на 2026 год» 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64"/>
        <w:ind w:firstLine="709"/>
        <w:jc w:val="center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numPr>
          <w:ilvl w:val="0"/>
          <w:numId w:val="3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прилагаемый План мероприятий по противодействию коррупции в администрации Печенгского муниципального округа на 2026 год (далее – План).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numPr>
          <w:ilvl w:val="0"/>
          <w:numId w:val="3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Руководителю МКУ «Управление по</w:t>
      </w:r>
      <w:r>
        <w:rPr>
          <w:rFonts w:ascii="Times New Roman" w:hAnsi="Times New Roman" w:cs="Times New Roman"/>
          <w:sz w:val="24"/>
          <w:szCs w:val="24"/>
        </w:rPr>
        <w:t xml:space="preserve"> обеспечению деятельности администрации Печенгского муниципального округа Мурманской области» (Рудневская М.А.), руководителям структурных подразделений администрации Печенгского муниципального округа, являющихся исполнителями мероприятий Плана необходимо: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numPr>
          <w:ilvl w:val="0"/>
          <w:numId w:val="6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реализацию мероприятий Плана;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numPr>
          <w:ilvl w:val="0"/>
          <w:numId w:val="6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ежеквартально (без нарастающего итога) до 15 числа месяца следующего за отчетным направлять в юридический отдел отчеты о ходе реализации Плана.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numPr>
          <w:ilvl w:val="0"/>
          <w:numId w:val="3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Признать утратившим силу распоряжение администрации Печенгского муниципального округа от 28.03.2025 № 41 «Об утверждении Плана мероприятий по противодействию коррупции в администрации Печенгского муниципального округа на 2025 год».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numPr>
          <w:ilvl w:val="0"/>
          <w:numId w:val="4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вступает в силу после его подписания.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numPr>
          <w:ilvl w:val="0"/>
          <w:numId w:val="5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подлежит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  <w:t xml:space="preserve">Щукина Л.Я., 6-07-18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850" w:bottom="680" w:left="1701" w:header="709" w:footer="709" w:gutter="0"/>
          <w:cols w:num="1" w:sep="0" w:space="708" w:equalWidth="1"/>
          <w:docGrid w:linePitch="360"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Утвержден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распоряжением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30.03.2026</w:t>
      </w:r>
      <w:r>
        <w:rPr>
          <w:sz w:val="24"/>
          <w:szCs w:val="24"/>
        </w:rPr>
        <w:t xml:space="preserve"> № 35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мероприятий по противодействию коррупции в администрации Печенгского муниципального округа на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Style w:val="882"/>
        <w:tblW w:w="14567" w:type="dxa"/>
        <w:tblLook w:val="0000" w:firstRow="0" w:lastRow="0" w:firstColumn="0" w:lastColumn="0" w:noHBand="0" w:noVBand="0"/>
      </w:tblPr>
      <w:tblGrid>
        <w:gridCol w:w="1007"/>
        <w:gridCol w:w="7166"/>
        <w:gridCol w:w="2707"/>
        <w:gridCol w:w="3612"/>
        <w:gridCol w:w="75"/>
      </w:tblGrid>
      <w:tr>
        <w:tblPrEx/>
        <w:trPr>
          <w:trHeight w:val="57"/>
        </w:trPr>
        <w:tc>
          <w:tcPr>
            <w:tcW w:w="100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Мероприятия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70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Срок исполнения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W w:w="368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Ответственные исполнители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329"/>
        </w:trPr>
        <w:tc>
          <w:tcPr>
            <w:gridSpan w:val="5"/>
            <w:tcW w:w="1456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1. Организационное обеспечение реализации антикоррупционной экспертизы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rFonts w:eastAsia="Courier New"/>
                <w:color w:val="000000"/>
                <w:spacing w:val="1"/>
                <w:sz w:val="20"/>
                <w:szCs w:val="20"/>
              </w:rPr>
              <w:t xml:space="preserve">Подготовка предложений и пр</w:t>
            </w:r>
            <w:r>
              <w:rPr>
                <w:rFonts w:eastAsia="Courier New"/>
                <w:color w:val="000000"/>
                <w:spacing w:val="1"/>
                <w:sz w:val="20"/>
                <w:szCs w:val="20"/>
              </w:rPr>
              <w:t xml:space="preserve">оектов соответствующих нормативных правовых актов для приведения их в соответствие с вновь принятыми федеральными нормативными правовыми актами и нормативными правовыми актами Мурманской области, направленными на реализацию мер по противодействию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</w:t>
            </w:r>
            <w:r>
              <w:rPr>
                <w:sz w:val="20"/>
                <w:szCs w:val="20"/>
              </w:rPr>
              <w:t xml:space="preserve">труктурные подразделения администрации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Совершенствование нормативной правовой базы по вопросам муниципальной службы муниципального образования Печенгский муниципальный округ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мере необходимости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заседаний рабочей группы по рассмотрению вопросов правоприменительной практики по результатам вступивших в законную силу решений судов, арбитражных судов о признании недейств</w:t>
            </w:r>
            <w:r>
              <w:rPr>
                <w:sz w:val="20"/>
                <w:szCs w:val="20"/>
              </w:rPr>
              <w:t xml:space="preserve">ительными ненормативных правовых актов, незаконными решений и действий (бездействия) администрации Печенгского муниципального округа и должностных лиц администрации в целях выработки и принятия мер по предупреждению и устранению причин выявленных нарушений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вступления решения суда в законную силу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7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Участие в заседаниях рабочей группы по противодействию коррупции при прокуроре Печенгского района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планом работы рабочей группы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5"/>
            <w:tcW w:w="1456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2. Проведение антикоррупционной экспертизы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муниципальных нормативных правовых актов и их проектов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антикоррупционной экспертизы проектов муниципальных нормативных правовых актов, а также действующих муниципальных нормативных правовых актов на наличие положений коррупционного характера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мониторинга изменений действующего законодательства в целях своевременного учета соответствующих изменений в муниципальных нормативных правовых актах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устранение выявленных при проведении антикоррупционной экспертизы коррупциогенных факторов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течении 5 календарных дней после выявления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за разработку нормативного правового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устранение в муниципальных нормативных правовых актах и их проектах коррупциогенных факторов, выявленных органами прокуратуры, юстиции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-166" w:firstLine="166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течении срока, указанного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66" w:firstLine="166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предписании контрольных 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66" w:firstLine="166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надзорных органов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за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разработку нормативного правового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размещения проектов муниципальных нор</w:t>
            </w:r>
            <w:r>
              <w:rPr>
                <w:sz w:val="20"/>
                <w:szCs w:val="20"/>
              </w:rPr>
              <w:t xml:space="preserve">мативных правовых актов на официальном сайте Печенгского муниципального округа в сети Интернет для проведения независимой антикоррупционной экспертизы проектов муниципальных нормативных правовых актов в соответствии с законодательством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за разработку нормативного правового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gridSpan w:val="5"/>
            <w:tcW w:w="1456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Раздел 3. </w:t>
            </w:r>
            <w:r>
              <w:rPr>
                <w:b/>
                <w:sz w:val="20"/>
                <w:szCs w:val="20"/>
              </w:rPr>
              <w:t xml:space="preserve">Формирование системы мер кадровой политики в органах местного самоуправления в целях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устранения условий, порождающих коррупцию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gridAfter w:val="1"/>
          <w:trHeight w:val="994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Предъявление в установленном законом порядке квалификационных требований к гражданам, претендующим на замещение должностей муниципальной службы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заключении трудового договора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3.2.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Ознакомление вновь принятых муниципальных служащих администрации по вопросам прохождения муниципальной службы, этики поведения муниципального служащего, возникновения конфликта интересов, ответственности за совершение должностных правонарушений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заключении трудового договора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3.3.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 установленном порядке сбора сведений о дох</w:t>
            </w:r>
            <w:r>
              <w:rPr>
                <w:sz w:val="20"/>
                <w:szCs w:val="20"/>
              </w:rPr>
              <w:t xml:space="preserve">одах, расходах, об имуществе и обязательствах имущественного характера муниципальными служащими администрации (в соответствии с утвержденным перечнем должностей муниципальной службы в администрации), а также сведений о доходах, расходах, об имуществе и обя</w:t>
            </w:r>
            <w:r>
              <w:rPr>
                <w:sz w:val="20"/>
                <w:szCs w:val="20"/>
              </w:rPr>
              <w:t xml:space="preserve">зательствах имущественного характера своих супруги (супруга) и несовершеннолетних детей, в том числе  руководителей подведомственных учреждений, и членов их семей, при необходимости осуществления контроля за соответствием расходов названных лиц их доходам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 до 1 мая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</w:pPr>
            <w:r>
              <w:rPr>
                <w:sz w:val="20"/>
                <w:szCs w:val="20"/>
              </w:rPr>
              <w:t xml:space="preserve">службы и кадров</w:t>
            </w:r>
            <w:r/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3.4.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анализа сведений, представляемых муниципальными служащими, руководителями подведомс</w:t>
            </w:r>
            <w:r>
              <w:rPr>
                <w:sz w:val="20"/>
                <w:szCs w:val="20"/>
              </w:rPr>
              <w:t xml:space="preserve">твенных учреждений,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членов их семей в соответствии с законодательством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 май-июль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3.5.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анализа сведений о доходах, расходах, об имуществе и обязательствах имущественного характера, представляемых гражданами, претендующими: на замещение муниципальных должностей, должностей руководителей подведомственных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поступлении на муниципальную службу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3.6.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проверок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служащими, руководителями организаций, </w:t>
            </w:r>
            <w:r>
              <w:rPr>
                <w:sz w:val="20"/>
                <w:szCs w:val="20"/>
              </w:rPr>
              <w:t xml:space="preserve">подведомственных администрации Печенгского муниципального округа, и соблюдения ими требований к служебному поведению в соответствии с требованиями законодательства Мурманской области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основании поступившей </w:t>
            </w:r>
            <w:r>
              <w:rPr>
                <w:sz w:val="20"/>
                <w:szCs w:val="20"/>
              </w:rPr>
              <w:t xml:space="preserve">информации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3.7.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Внесение изменений в перечень конкретных должностей муниципальной службы, при замещении которых муниципальные служащие </w:t>
            </w:r>
            <w:r>
              <w:rPr>
                <w:sz w:val="20"/>
                <w:szCs w:val="20"/>
              </w:rPr>
              <w:t xml:space="preserve">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мере необходимости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940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3.8.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мер по выявлению и устранению причин и</w:t>
            </w:r>
            <w:r>
              <w:rPr>
                <w:sz w:val="20"/>
                <w:szCs w:val="20"/>
              </w:rPr>
              <w:t xml:space="preserve"> условий, способствующих возникновению конфликта интересов на муниципальной службе, обеспечение деятельности комиссии по соблюдению требований к служебному поведению муниципальных служащих и урегулированию конфликта интересов, образованной в администрации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основании поступившей информации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структурных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подразделений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499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tabs>
                <w:tab w:val="left" w:pos="340" w:leader="none"/>
                <w:tab w:val="center" w:pos="572" w:leader="none"/>
              </w:tabs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3.9.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по обеспечению реализации муниципальными служащими обязанности уведо</w:t>
            </w:r>
            <w:r>
              <w:rPr>
                <w:sz w:val="20"/>
                <w:szCs w:val="20"/>
              </w:rPr>
              <w:t xml:space="preserve">млять представителя нанимателя, органы прокуратуры, иные федеральные государственные органы обо всех случаях обращения к ним каких-либо лиц в целях склонения к совершению коррупционных правонарушений и проверке сведений, содержащихся в указанных обращениях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законодательством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служащие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1060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3.10.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</w:t>
            </w:r>
            <w:r>
              <w:rPr>
                <w:sz w:val="20"/>
                <w:szCs w:val="20"/>
              </w:rPr>
              <w:t xml:space="preserve">по уведомлению</w:t>
            </w:r>
            <w:r>
              <w:rPr>
                <w:sz w:val="20"/>
                <w:szCs w:val="20"/>
              </w:rPr>
              <w:t xml:space="preserve"> муниципальными служащими представителя нанимателя о выполнении иной оплачиваемой работы в соответствии с </w:t>
            </w:r>
            <w:hyperlink r:id="rId11" w:tooltip="Федеральный закон от 27.07.2004 N 79-ФЗ (ред. от 30.12.2015) &quot;О государственной гражданской службе Российской Федерации&quot;{КонсультантПлюс}" w:history="1">
              <w:r>
                <w:rPr>
                  <w:sz w:val="20"/>
                  <w:szCs w:val="20"/>
                </w:rPr>
                <w:t xml:space="preserve">ч. 2 ст. 1</w:t>
              </w:r>
            </w:hyperlink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 Закона Мурманской области от </w:t>
            </w:r>
            <w:r>
              <w:rPr>
                <w:sz w:val="20"/>
                <w:szCs w:val="20"/>
              </w:rPr>
              <w:t xml:space="preserve">29.06.2007</w:t>
            </w:r>
            <w:r>
              <w:rPr>
                <w:sz w:val="20"/>
                <w:szCs w:val="20"/>
              </w:rPr>
              <w:t xml:space="preserve"> № 860-01-ЗМО «О муниципальной службе в Мурманской области»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основании поступления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служащие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345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3.11.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уведомление о фактах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должностным положением или исполнением должностных обязанностей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служащие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345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3.12.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муниципальным служащим администрации Печенгского муни</w:t>
            </w:r>
            <w:r>
              <w:rPr>
                <w:sz w:val="20"/>
                <w:szCs w:val="20"/>
              </w:rPr>
              <w:t xml:space="preserve">ципального округа и гражданам консультативной помощи (проведение профилактических бесед и распространение информационных материалов) по вопросам, связанным с применением законодательства Российской Федерации и Мурманской области о противодействии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345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3.13.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соблюдения муниципальными служащими запретов, ограничений и требований, установленных в целях противодействия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3.14.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контроля за соб</w:t>
            </w:r>
            <w:r>
              <w:rPr>
                <w:sz w:val="20"/>
                <w:szCs w:val="20"/>
              </w:rPr>
              <w:t xml:space="preserve">людением муниципальными служащими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3.15.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Своевременная актуализация сведен</w:t>
            </w:r>
            <w:r>
              <w:rPr>
                <w:sz w:val="20"/>
                <w:szCs w:val="20"/>
              </w:rPr>
              <w:t xml:space="preserve">ий, содержащихся в личных делах муниципальных служащих, в анкетах, предоставляемых при назначении на должности муниципальной службы и поступлении на муниципальную службу, об их родственниках и свойственниках в целях выявления возможного конфликта интересов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 служащие,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3.16.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в установленном законодательством порядке повышения</w:t>
            </w:r>
            <w:r>
              <w:rPr>
                <w:sz w:val="20"/>
                <w:szCs w:val="20"/>
              </w:rPr>
              <w:t xml:space="preserve"> квалификации муниципальных служащих, в должностные обязанности которых входит участие в противодействии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3.17.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участия </w:t>
            </w:r>
            <w:r>
              <w:rPr>
                <w:sz w:val="20"/>
                <w:szCs w:val="20"/>
              </w:rPr>
              <w:t xml:space="preserve">муниципальных служащих, впервые поступивших на муниципальную службу для замещения должностей,</w:t>
            </w:r>
            <w:r>
              <w:rPr>
                <w:sz w:val="20"/>
                <w:szCs w:val="20"/>
              </w:rPr>
              <w:t xml:space="preserve"> связанных с соблюдением антикоррупционных стандартов, в мероприятиях по профессиональному развитию в области противодействия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</w:t>
            </w:r>
            <w:r>
              <w:rPr>
                <w:bCs/>
                <w:color w:val="202020"/>
                <w:sz w:val="20"/>
                <w:szCs w:val="20"/>
                <w:lang w:val="en-US"/>
              </w:rPr>
              <w:t xml:space="preserve">8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проверок соблюдения гражданами, замещавшими должности муниципальной службы в администраци</w:t>
            </w:r>
            <w:r>
              <w:rPr>
                <w:sz w:val="20"/>
                <w:szCs w:val="20"/>
              </w:rPr>
              <w:t xml:space="preserve">и</w:t>
            </w:r>
            <w:r>
              <w:rPr>
                <w:sz w:val="20"/>
                <w:szCs w:val="20"/>
              </w:rPr>
              <w:t xml:space="preserve">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законами. При выявлении нарушений требований ст. 12 Федерального закона </w:t>
              <w:br/>
              <w:t xml:space="preserve">от 25.12.2008</w:t>
            </w:r>
            <w:r>
              <w:rPr>
                <w:sz w:val="20"/>
                <w:szCs w:val="20"/>
              </w:rPr>
              <w:t xml:space="preserve"> № 273-ФЗ «О противодействии коррупции», ст. 64.1 Трудового кодекса РФ информирование прокуратуры Печенгского района в целях реализации полномочий по привлечению виновных юридических лиц к административной ответственности, предусмотренной ст. 19.29 КоАП РФ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</w:t>
            </w:r>
            <w:r>
              <w:rPr>
                <w:bCs/>
                <w:color w:val="202020"/>
                <w:sz w:val="20"/>
                <w:szCs w:val="20"/>
                <w:lang w:val="en-US"/>
              </w:rPr>
              <w:t xml:space="preserve">19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сведений о лице, к которому было применено взыскание в виде уво</w:t>
            </w:r>
            <w:r>
              <w:rPr>
                <w:sz w:val="20"/>
                <w:szCs w:val="20"/>
              </w:rPr>
              <w:t xml:space="preserve">льнения (освобождения от должности) в связи с утратой доверия за совершение коррупционного правонарушения, для включения его в реестр лиц, уволенных в связи с утратой доверия (далее - реестр), либо исключения сведений из реестра по основаниям, указанным в </w:t>
            </w:r>
            <w:hyperlink r:id="rId12" w:tooltip="consultantplus://offline/ref=9C31144BEFC3C9FD9765C94C708F6E67F4145B5B120B5A5E385644C08115E1C7316329161AC9C7B4504274DC051F312E558514B4BD70B87Cw5fCL" w:history="1">
              <w:r>
                <w:rPr>
                  <w:rStyle w:val="881"/>
                  <w:color w:val="auto"/>
                  <w:sz w:val="20"/>
                  <w:szCs w:val="20"/>
                  <w:u w:val="none"/>
                </w:rPr>
                <w:t xml:space="preserve">Положении</w:t>
              </w:r>
            </w:hyperlink>
            <w:r>
              <w:rPr>
                <w:sz w:val="20"/>
                <w:szCs w:val="20"/>
              </w:rPr>
              <w:t xml:space="preserve"> о реестре, утвержденн</w:t>
            </w: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м постановлением Правительства Российской Федерации </w:t>
              <w:br/>
              <w:t xml:space="preserve">от 05.03.2018 № 228, для последующего направления в департамент Правительства Российской Федерации, к сфере ведения которого относится обеспечение реализации полномочий Правительства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наступлении события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5"/>
            <w:tcW w:w="1456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Раздел 4. Противодействие коррупции при размещении муниципальных заказов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информационно-разъяснительной работы о требованиях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размещению муниципальных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экспертизы заявок муниципальных заказчиков в части соответствия требованиям законодательства в сфере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размещению муниципальных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4.3.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outlineLvl w:val="0"/>
            </w:pPr>
            <w:r>
              <w:rPr>
                <w:sz w:val="20"/>
                <w:szCs w:val="20"/>
              </w:rPr>
              <w:t xml:space="preserve">Обеспечение соблюдения законодательства Р</w:t>
            </w:r>
            <w:r>
              <w:rPr>
                <w:sz w:val="20"/>
                <w:szCs w:val="20"/>
              </w:rPr>
              <w:t xml:space="preserve">оссийской </w:t>
            </w:r>
            <w:r>
              <w:rPr>
                <w:sz w:val="20"/>
                <w:szCs w:val="20"/>
              </w:rPr>
              <w:t xml:space="preserve">Ф</w:t>
            </w:r>
            <w:r>
              <w:rPr>
                <w:sz w:val="20"/>
                <w:szCs w:val="20"/>
              </w:rPr>
              <w:t xml:space="preserve">едерации</w:t>
            </w:r>
            <w:r>
              <w:rPr>
                <w:sz w:val="20"/>
                <w:szCs w:val="20"/>
              </w:rPr>
              <w:t xml:space="preserve">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размещении заказов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заказчики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4.4.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outlineLvl w:val="0"/>
            </w:pPr>
            <w:r>
              <w:rPr>
                <w:sz w:val="20"/>
                <w:szCs w:val="20"/>
              </w:rPr>
              <w:t xml:space="preserve">Осуществление контроля в сфере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планом проверок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Контрольно-ревизионный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4.5.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 целевым использованием бюджетных средств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Финансовое управление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4.6.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обучения муниципальных служащих, в должностные обязанности которых входит участие в закупке товаров, работ, услуг для обеспечения муниципальных нужд, по дополнительным профессиональным программам в </w:t>
            </w:r>
            <w:r>
              <w:rPr>
                <w:sz w:val="20"/>
                <w:szCs w:val="20"/>
              </w:rPr>
              <w:t xml:space="preserve">области противодействия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gridSpan w:val="5"/>
            <w:tcW w:w="1456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5. Обеспечение максимальной прозрачности деятельности органов местного самоуправления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муниципального образования Печенгский муниципальный округ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функционирования электронного почтового ящика на Интернет-странице, посвященной противодействию коррупции на официальном сайте Печенгского муниципального округа в сети Интернет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информационных технологий МКУ «Управление по обеспечению деятельности администрации Печенгского муниципального округа»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(далее - МКУ «ОДА»)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на официальном сайте Печенгского муниципального округа в информационно-коммуникационной сети Интернет информации о деятельности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</w:t>
            </w:r>
            <w:r>
              <w:rPr>
                <w:sz w:val="20"/>
                <w:szCs w:val="20"/>
              </w:rPr>
              <w:t xml:space="preserve"> подразделений,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информационных технологий 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«телефона доверия» для оперативного получения информации о фактах коррупции. Извещение населения через средства массовой информации, иные источники информации об организации работы «телефона доверия»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на официальном сайте Печенгского муниципального округа в сети Интернет информации о фактах коррупции и принятых по ним мерам, о мероприятиях по противодействию коррупции со стороны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и внедрение административных регламентов исполнения муниципальных функций (предоставления муниципальных услуг)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Приведение административных регламентов в соответствие с требованиями Федеральног</w:t>
            </w:r>
            <w:r>
              <w:rPr>
                <w:sz w:val="20"/>
                <w:szCs w:val="20"/>
              </w:rPr>
              <w:t xml:space="preserve">о закона от 27.07.2010 № 210-ФЗ «</w:t>
            </w:r>
            <w:r>
              <w:rPr>
                <w:sz w:val="20"/>
                <w:szCs w:val="20"/>
              </w:rPr>
              <w:t xml:space="preserve">Об организации предоставления государственных и муниципальных услуг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исполнители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предоставления муниципальных услуг (функций)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применения административных регламентов исполнения муниципальных функций (предоставления муниципальных услуг)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исполнители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предоставления муниципальных услуг (функций)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Организация работы по приведению подразделов официального сайта Печенгского муниципального округа, посвященных противодействию коррупции, в соответствие с Требования</w:t>
            </w:r>
            <w:r>
              <w:rPr>
                <w:bCs/>
                <w:sz w:val="20"/>
                <w:szCs w:val="20"/>
              </w:rPr>
              <w:t xml:space="preserve">ми к размещению и наполнению подразделов, посвященных вопросам противодействия коррупции, официальных сайтов исполнительных органов государственной власти Мурманской области, утвержденными Постановлением Губернатора Мурманской области от 21.02.2022 № 25-ПГ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тдел информационных технологий 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Опубликование на официальном сайте Печенгского муниципального округа в информационно-телекоммуникационной сети Интернет просветительских материалов, направленных на борьбу с проявлениями коррупции, а также популяризация соответствующего раздела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84"/>
              <w:jc w:val="both"/>
              <w:widowControl w:val="off"/>
              <w:rPr>
                <w:sz w:val="20"/>
                <w:szCs w:val="20"/>
              </w:rPr>
            </w:pPr>
            <w:r/>
            <w:bookmarkStart w:id="0" w:name="_GoBack"/>
            <w:r/>
            <w:bookmarkEnd w:id="0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службы и кадров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5"/>
            <w:tcW w:w="1456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6. Мониторинг коррупционных рисков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57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Анализ обращений граждан на предмет выявления фактов коррупции и коррупционно опасных факторов в деятельности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Учет и анализ заявлений и уведомлений сотрудников администрации о фактах склонения к коррупционным правонарушениям и проявления коррупции в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информации в юридический отдел адми</w:t>
            </w:r>
            <w:r>
              <w:rPr>
                <w:sz w:val="20"/>
                <w:szCs w:val="20"/>
              </w:rPr>
              <w:t xml:space="preserve">нистрации о вступивших в законную силу решения судов, арбитражных судов о признании недействительными ненормативных правовых актов, незаконными решений и действий (бездействия) администрации и должностных лиц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управлению имуществом,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отдел образования, финансовое управление, отдел экономического развития,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строительства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предложений и принятие решений по внедрению антикоррупционных механизмов в сферах деятельности органов местного самоуправления с повышенным риском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</w:t>
            </w:r>
            <w:r>
              <w:rPr>
                <w:sz w:val="20"/>
                <w:szCs w:val="20"/>
              </w:rPr>
              <w:t xml:space="preserve"> жилищно-коммунального хозяйства, внедрение комплекса мер, направленных на снижение уровня коррупции при обеспечении жилыми помещениями, при организации муниципального контроля за сохранностью автомобильных дорог,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строительства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</w:t>
            </w:r>
            <w:r>
              <w:rPr>
                <w:sz w:val="20"/>
                <w:szCs w:val="20"/>
              </w:rPr>
              <w:t xml:space="preserve">рупционных рисков, в том числе причин и условий коррупции при соблюдении правил постановки на учет, зачисления, перевода и отчисления обучающихся из дошкольных образовательных учреждений, общеобразовательных школ,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предоставления земельных участков, реализации недвижимого муниципального имущества, сдаче помещений в аренду,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управлению имуществом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обеспечения жилыми помещениями детей-сирот и детей, оставшихся без попечения родителей,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6.9.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предпринимательской деятельности,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экономического развития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42"/>
        </w:trPr>
        <w:tc>
          <w:tcPr>
            <w:gridSpan w:val="5"/>
            <w:tcW w:w="14567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7. Организация контроля за исполнением и своевременной корректировкой мероприятий Плана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57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7.1.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отчета о реализации Плана мероприятий противодействия коррупции в администрации на 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требованию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Министерства юстиции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реже 1 раза в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тветственные должностные лица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7.2.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Корректировка Плана мероприятий противодействия коррупции в администрации на 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г., в соответствии с Планом основных мероприятий по противодействию коррупции в Мурманской области на соответствующий период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весь период,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месяца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момента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hd w:val="clear" w:color="auto" w:fill="ffffff"/>
              <w:rPr>
                <w:bCs/>
                <w:color w:val="20202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изменений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gridSpan w:val="2"/>
            <w:tcW w:w="368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должностные лица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6838" w:h="11906" w:orient="landscape"/>
      <w:pgMar w:top="709" w:right="567" w:bottom="568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</w:rPr>
    </w:lvl>
    <w:lvl w:ilvl="1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2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3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4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5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6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7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8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</w:abstractNum>
  <w:abstractNum w:abstractNumId="1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6"/>
    <w:uiPriority w:val="10"/>
    <w:rPr>
      <w:sz w:val="48"/>
      <w:szCs w:val="48"/>
    </w:rPr>
  </w:style>
  <w:style w:type="character" w:styleId="675">
    <w:name w:val="Subtitle Char"/>
    <w:basedOn w:val="692"/>
    <w:link w:val="708"/>
    <w:uiPriority w:val="11"/>
    <w:rPr>
      <w:sz w:val="24"/>
      <w:szCs w:val="24"/>
    </w:rPr>
  </w:style>
  <w:style w:type="character" w:styleId="676">
    <w:name w:val="Quote Char"/>
    <w:link w:val="710"/>
    <w:uiPriority w:val="29"/>
    <w:rPr>
      <w:i/>
    </w:rPr>
  </w:style>
  <w:style w:type="character" w:styleId="677">
    <w:name w:val="Intense Quote Char"/>
    <w:link w:val="712"/>
    <w:uiPriority w:val="30"/>
    <w:rPr>
      <w:i/>
    </w:rPr>
  </w:style>
  <w:style w:type="character" w:styleId="678">
    <w:name w:val="Header Char"/>
    <w:basedOn w:val="692"/>
    <w:link w:val="714"/>
    <w:uiPriority w:val="99"/>
  </w:style>
  <w:style w:type="character" w:styleId="679">
    <w:name w:val="Caption Char"/>
    <w:basedOn w:val="718"/>
    <w:link w:val="716"/>
    <w:uiPriority w:val="99"/>
  </w:style>
  <w:style w:type="character" w:styleId="680">
    <w:name w:val="Footnote Text Char"/>
    <w:link w:val="845"/>
    <w:uiPriority w:val="99"/>
    <w:rPr>
      <w:sz w:val="18"/>
    </w:rPr>
  </w:style>
  <w:style w:type="character" w:styleId="681">
    <w:name w:val="Endnote Text Char"/>
    <w:link w:val="848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Times New Roman"/>
      <w:sz w:val="28"/>
      <w:szCs w:val="28"/>
    </w:rPr>
  </w:style>
  <w:style w:type="paragraph" w:styleId="683">
    <w:name w:val="Heading 1"/>
    <w:basedOn w:val="682"/>
    <w:next w:val="682"/>
    <w:link w:val="866"/>
    <w:qFormat/>
    <w:pPr>
      <w:jc w:val="center"/>
      <w:keepNext/>
      <w:outlineLvl w:val="0"/>
    </w:pPr>
    <w:rPr>
      <w:b/>
      <w:bCs/>
      <w:sz w:val="54"/>
      <w:szCs w:val="54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List Paragraph"/>
    <w:basedOn w:val="682"/>
    <w:uiPriority w:val="34"/>
    <w:qFormat/>
    <w:pPr>
      <w:contextualSpacing/>
      <w:ind w:left="720"/>
    </w:pPr>
  </w:style>
  <w:style w:type="paragraph" w:styleId="705">
    <w:name w:val="No Spacing"/>
    <w:uiPriority w:val="1"/>
    <w:qFormat/>
  </w:style>
  <w:style w:type="paragraph" w:styleId="706">
    <w:name w:val="Title"/>
    <w:basedOn w:val="682"/>
    <w:next w:val="682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 w:customStyle="1">
    <w:name w:val="Название Знак"/>
    <w:basedOn w:val="692"/>
    <w:link w:val="706"/>
    <w:uiPriority w:val="10"/>
    <w:rPr>
      <w:sz w:val="48"/>
      <w:szCs w:val="48"/>
    </w:rPr>
  </w:style>
  <w:style w:type="paragraph" w:styleId="708">
    <w:name w:val="Subtitle"/>
    <w:basedOn w:val="682"/>
    <w:next w:val="682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 w:customStyle="1">
    <w:name w:val="Подзаголовок Знак"/>
    <w:basedOn w:val="692"/>
    <w:link w:val="708"/>
    <w:uiPriority w:val="11"/>
    <w:rPr>
      <w:sz w:val="24"/>
      <w:szCs w:val="24"/>
    </w:rPr>
  </w:style>
  <w:style w:type="paragraph" w:styleId="710">
    <w:name w:val="Quote"/>
    <w:basedOn w:val="682"/>
    <w:next w:val="682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2"/>
    <w:next w:val="682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2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2"/>
    <w:link w:val="714"/>
    <w:uiPriority w:val="99"/>
  </w:style>
  <w:style w:type="paragraph" w:styleId="716">
    <w:name w:val="Footer"/>
    <w:basedOn w:val="682"/>
    <w:link w:val="71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2"/>
    <w:uiPriority w:val="99"/>
  </w:style>
  <w:style w:type="paragraph" w:styleId="718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2"/>
    <w:link w:val="846"/>
    <w:uiPriority w:val="99"/>
    <w:semiHidden/>
    <w:unhideWhenUsed/>
    <w:pPr>
      <w:spacing w:after="40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2"/>
    <w:uiPriority w:val="99"/>
    <w:unhideWhenUsed/>
    <w:rPr>
      <w:vertAlign w:val="superscript"/>
    </w:rPr>
  </w:style>
  <w:style w:type="paragraph" w:styleId="848">
    <w:name w:val="endnote text"/>
    <w:basedOn w:val="682"/>
    <w:link w:val="849"/>
    <w:uiPriority w:val="99"/>
    <w:semiHidden/>
    <w:unhideWhenUsed/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2"/>
    <w:uiPriority w:val="99"/>
    <w:semiHidden/>
    <w:unhideWhenUsed/>
    <w:rPr>
      <w:vertAlign w:val="superscript"/>
    </w:rPr>
  </w:style>
  <w:style w:type="paragraph" w:styleId="851">
    <w:name w:val="toc 1"/>
    <w:basedOn w:val="682"/>
    <w:next w:val="682"/>
    <w:uiPriority w:val="39"/>
    <w:unhideWhenUsed/>
    <w:pPr>
      <w:spacing w:after="57"/>
    </w:pPr>
  </w:style>
  <w:style w:type="paragraph" w:styleId="852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3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4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5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6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7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8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9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2"/>
    <w:next w:val="682"/>
    <w:uiPriority w:val="99"/>
    <w:unhideWhenUsed/>
  </w:style>
  <w:style w:type="paragraph" w:styleId="862" w:customStyle="1">
    <w:name w:val="ConsPlusNormal"/>
    <w:pPr>
      <w:widowControl w:val="off"/>
    </w:pPr>
    <w:rPr>
      <w:rFonts w:cs="Calibri"/>
      <w:sz w:val="22"/>
    </w:rPr>
  </w:style>
  <w:style w:type="paragraph" w:styleId="86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64" w:customStyle="1">
    <w:name w:val="ConsPlusTitle"/>
    <w:pPr>
      <w:widowControl w:val="off"/>
    </w:pPr>
    <w:rPr>
      <w:rFonts w:cs="Calibri"/>
      <w:b/>
      <w:sz w:val="22"/>
    </w:rPr>
  </w:style>
  <w:style w:type="paragraph" w:styleId="865" w:customStyle="1">
    <w:name w:val="ConsPlusTitlePage"/>
    <w:pPr>
      <w:widowControl w:val="off"/>
    </w:pPr>
    <w:rPr>
      <w:rFonts w:ascii="Tahoma" w:hAnsi="Tahoma" w:cs="Tahoma"/>
    </w:rPr>
  </w:style>
  <w:style w:type="character" w:styleId="866" w:customStyle="1">
    <w:name w:val="Заголовок 1 Знак"/>
    <w:link w:val="683"/>
    <w:rPr>
      <w:rFonts w:ascii="Times New Roman" w:hAnsi="Times New Roman" w:eastAsia="Times New Roman" w:cs="Times New Roman"/>
      <w:b/>
      <w:bCs/>
      <w:sz w:val="54"/>
      <w:szCs w:val="54"/>
      <w:lang w:eastAsia="ru-RU"/>
    </w:rPr>
  </w:style>
  <w:style w:type="paragraph" w:styleId="867">
    <w:name w:val="Balloon Text"/>
    <w:basedOn w:val="682"/>
    <w:link w:val="868"/>
    <w:semiHidden/>
    <w:rPr>
      <w:rFonts w:ascii="Tahoma" w:hAnsi="Tahoma"/>
      <w:sz w:val="16"/>
      <w:szCs w:val="16"/>
    </w:rPr>
  </w:style>
  <w:style w:type="character" w:styleId="868" w:customStyle="1">
    <w:name w:val="Текст выноски Знак"/>
    <w:link w:val="867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9" w:customStyle="1">
    <w:name w:val="Сноска_"/>
    <w:rPr>
      <w:rFonts w:ascii="Times New Roman" w:hAnsi="Times New Roman" w:cs="Times New Roman"/>
      <w:sz w:val="19"/>
      <w:szCs w:val="19"/>
      <w:u w:val="none"/>
    </w:rPr>
  </w:style>
  <w:style w:type="character" w:styleId="870" w:customStyle="1">
    <w:name w:val="Сноска"/>
    <w:rPr>
      <w:rFonts w:ascii="Times New Roman" w:hAnsi="Times New Roman" w:cs="Times New Roman"/>
      <w:color w:val="000000"/>
      <w:spacing w:val="0"/>
      <w:position w:val="0"/>
      <w:sz w:val="19"/>
      <w:szCs w:val="19"/>
      <w:u w:val="none"/>
      <w:lang w:val="ru-RU" w:eastAsia="ru-RU"/>
    </w:rPr>
  </w:style>
  <w:style w:type="character" w:styleId="871" w:customStyle="1">
    <w:name w:val="Основной текст_"/>
    <w:link w:val="87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styleId="872" w:customStyle="1">
    <w:name w:val="Основной текст + 11 pt"/>
    <w:rPr>
      <w:rFonts w:ascii="Times New Roman" w:hAnsi="Times New Roman" w:cs="Times New Roman"/>
      <w:b/>
      <w:bCs/>
      <w:color w:val="000000"/>
      <w:spacing w:val="0"/>
      <w:position w:val="0"/>
      <w:sz w:val="22"/>
      <w:szCs w:val="22"/>
      <w:shd w:val="clear" w:color="auto" w:fill="ffffff"/>
      <w:lang w:val="ru-RU" w:eastAsia="ru-RU"/>
    </w:rPr>
  </w:style>
  <w:style w:type="character" w:styleId="873" w:customStyle="1">
    <w:name w:val="Подпись к таблице_"/>
    <w:rPr>
      <w:rFonts w:ascii="Times New Roman" w:hAnsi="Times New Roman" w:cs="Times New Roman"/>
      <w:sz w:val="26"/>
      <w:szCs w:val="26"/>
      <w:u w:val="none"/>
    </w:rPr>
  </w:style>
  <w:style w:type="character" w:styleId="874" w:customStyle="1">
    <w:name w:val="Подпись к таблице"/>
    <w:rPr>
      <w:rFonts w:ascii="Times New Roman" w:hAnsi="Times New Roman" w:cs="Times New Roman"/>
      <w:color w:val="000000"/>
      <w:spacing w:val="0"/>
      <w:position w:val="0"/>
      <w:sz w:val="26"/>
      <w:szCs w:val="26"/>
      <w:u w:val="single"/>
      <w:lang w:val="ru-RU" w:eastAsia="ru-RU"/>
    </w:rPr>
  </w:style>
  <w:style w:type="character" w:styleId="875" w:customStyle="1">
    <w:name w:val="Основной текст + 11"/>
    <w:rPr>
      <w:rFonts w:ascii="Times New Roman" w:hAnsi="Times New Roman" w:cs="Times New Roman"/>
      <w:b/>
      <w:bCs/>
      <w:color w:val="000000"/>
      <w:spacing w:val="0"/>
      <w:position w:val="0"/>
      <w:sz w:val="23"/>
      <w:szCs w:val="23"/>
      <w:shd w:val="clear" w:color="auto" w:fill="ffffff"/>
      <w:lang w:val="ru-RU" w:eastAsia="ru-RU"/>
    </w:rPr>
  </w:style>
  <w:style w:type="character" w:styleId="876" w:customStyle="1">
    <w:name w:val="Основной текст1"/>
    <w:rPr>
      <w:rFonts w:ascii="Times New Roman" w:hAnsi="Times New Roman" w:cs="Times New Roman"/>
      <w:color w:val="000000"/>
      <w:spacing w:val="0"/>
      <w:position w:val="0"/>
      <w:sz w:val="26"/>
      <w:szCs w:val="26"/>
      <w:u w:val="single"/>
      <w:shd w:val="clear" w:color="auto" w:fill="ffffff"/>
      <w:lang w:val="ru-RU" w:eastAsia="ru-RU"/>
    </w:rPr>
  </w:style>
  <w:style w:type="paragraph" w:styleId="877" w:customStyle="1">
    <w:name w:val="Основной текст2"/>
    <w:basedOn w:val="682"/>
    <w:link w:val="871"/>
    <w:pPr>
      <w:jc w:val="right"/>
      <w:spacing w:line="691" w:lineRule="exact"/>
      <w:shd w:val="clear" w:color="auto" w:fill="ffffff"/>
      <w:widowControl w:val="off"/>
    </w:pPr>
    <w:rPr>
      <w:rFonts w:eastAsia="Calibri"/>
      <w:sz w:val="26"/>
      <w:szCs w:val="26"/>
    </w:rPr>
  </w:style>
  <w:style w:type="character" w:styleId="878" w:customStyle="1">
    <w:name w:val="js-messages-title-dropdown-name"/>
    <w:rPr>
      <w:rFonts w:cs="Times New Roman"/>
    </w:rPr>
  </w:style>
  <w:style w:type="paragraph" w:styleId="879" w:customStyle="1">
    <w:name w:val="Знак Знак11 Знак Знак"/>
    <w:basedOn w:val="682"/>
    <w:pPr>
      <w:spacing w:after="160" w:line="240" w:lineRule="exact"/>
    </w:pPr>
    <w:rPr>
      <w:rFonts w:ascii="Verdana" w:hAnsi="Verdana" w:eastAsia="Calibri" w:cs="Verdana"/>
      <w:sz w:val="20"/>
      <w:szCs w:val="20"/>
      <w:lang w:val="en-US" w:eastAsia="en-US"/>
    </w:rPr>
  </w:style>
  <w:style w:type="paragraph" w:styleId="880" w:customStyle="1">
    <w:name w:val="Знак Знак11 Знак Знак1"/>
    <w:basedOn w:val="682"/>
    <w:pPr>
      <w:spacing w:after="160" w:line="240" w:lineRule="exact"/>
    </w:pPr>
    <w:rPr>
      <w:rFonts w:ascii="Verdana" w:hAnsi="Verdana" w:eastAsia="Calibri" w:cs="Verdana"/>
      <w:sz w:val="20"/>
      <w:szCs w:val="20"/>
      <w:lang w:val="en-US" w:eastAsia="en-US"/>
    </w:rPr>
  </w:style>
  <w:style w:type="character" w:styleId="881">
    <w:name w:val="Hyperlink"/>
    <w:rPr>
      <w:color w:val="0000ff"/>
      <w:u w:val="single"/>
    </w:rPr>
  </w:style>
  <w:style w:type="table" w:styleId="882">
    <w:name w:val="Table Grid"/>
    <w:basedOn w:val="69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C3352E7479357DBF1BF481D992FDB30B9013A6053B401986143B8B8D9E8C1B89F24FF4CD28193C6EM8G2J" TargetMode="External"/><Relationship Id="rId12" Type="http://schemas.openxmlformats.org/officeDocument/2006/relationships/hyperlink" Target="consultantplus://offline/ref=9C31144BEFC3C9FD9765C94C708F6E67F4145B5B120B5A5E385644C08115E1C7316329161AC9C7B4504274DC051F312E558514B4BD70B87Cw5fC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F4609-D2CC-46C9-A23B-685876C3E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Китаев</dc:creator>
  <cp:revision>32</cp:revision>
  <dcterms:created xsi:type="dcterms:W3CDTF">2023-07-28T12:17:00Z</dcterms:created>
  <dcterms:modified xsi:type="dcterms:W3CDTF">2026-03-31T14:05:17Z</dcterms:modified>
</cp:coreProperties>
</file>