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23.03.2026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№ 395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</w:t>
      </w:r>
      <w:r>
        <w:rPr>
          <w:b/>
        </w:rPr>
        <w:t xml:space="preserve">Печенгского муниципального округа </w:t>
      </w:r>
      <w:r>
        <w:rPr>
          <w:b/>
        </w:rPr>
        <w:t xml:space="preserve">«</w:t>
      </w:r>
      <w:r>
        <w:rPr>
          <w:b/>
        </w:rPr>
        <w:t xml:space="preserve">Обеспечение социальной стабильности</w:t>
      </w:r>
      <w:r>
        <w:rPr>
          <w:b/>
        </w:rPr>
        <w:t xml:space="preserve">» на 202</w:t>
      </w:r>
      <w:r>
        <w:rPr>
          <w:b/>
        </w:rPr>
        <w:t xml:space="preserve">6</w:t>
      </w:r>
      <w:r>
        <w:rPr>
          <w:b/>
        </w:rPr>
        <w:t xml:space="preserve"> - 202</w:t>
      </w:r>
      <w:r>
        <w:rPr>
          <w:b/>
        </w:rPr>
        <w:t xml:space="preserve">8</w:t>
      </w:r>
      <w:r>
        <w:rPr>
          <w:b/>
        </w:rPr>
        <w:t xml:space="preserve"> годы, утвержденную постановлением администрации Печенгского муниципального округа от </w:t>
      </w:r>
      <w:r>
        <w:rPr>
          <w:b/>
        </w:rPr>
        <w:t xml:space="preserve">12</w:t>
      </w:r>
      <w:r>
        <w:rPr>
          <w:b/>
        </w:rPr>
        <w:t xml:space="preserve">.11.202</w:t>
      </w:r>
      <w:r>
        <w:rPr>
          <w:b/>
        </w:rPr>
        <w:t xml:space="preserve">5</w:t>
      </w:r>
      <w:r>
        <w:rPr>
          <w:b/>
        </w:rPr>
        <w:t xml:space="preserve"> № 1</w:t>
      </w:r>
      <w:r>
        <w:rPr>
          <w:b/>
        </w:rPr>
        <w:t xml:space="preserve">8</w:t>
      </w:r>
      <w:r>
        <w:rPr>
          <w:b/>
        </w:rPr>
        <w:t xml:space="preserve">35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</w:t>
      </w:r>
      <w:r>
        <w:rPr>
          <w:rFonts w:eastAsia="Times New Roman"/>
          <w:sz w:val="24"/>
          <w:szCs w:val="24"/>
        </w:rPr>
        <w:t xml:space="preserve">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</w:t>
      </w:r>
      <w:r>
        <w:rPr>
          <w:rFonts w:eastAsia="Times New Roman"/>
          <w:sz w:val="24"/>
          <w:szCs w:val="24"/>
        </w:rPr>
        <w:t xml:space="preserve">18.09.2025 № 1488</w:t>
      </w:r>
      <w:r>
        <w:rPr>
          <w:rFonts w:eastAsia="Times New Roman"/>
          <w:sz w:val="24"/>
          <w:szCs w:val="24"/>
        </w:rPr>
        <w:t xml:space="preserve">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Обеспечение социальной стабильности</w:t>
      </w:r>
      <w:r>
        <w:rPr>
          <w:bCs/>
          <w:sz w:val="24"/>
          <w:szCs w:val="24"/>
        </w:rPr>
        <w:t xml:space="preserve">» на 202</w:t>
      </w:r>
      <w:r>
        <w:rPr>
          <w:bCs/>
          <w:sz w:val="24"/>
          <w:szCs w:val="24"/>
        </w:rPr>
        <w:t xml:space="preserve">6 </w:t>
      </w:r>
      <w:r>
        <w:rPr>
          <w:bCs/>
          <w:sz w:val="24"/>
          <w:szCs w:val="24"/>
        </w:rPr>
        <w:t xml:space="preserve">- 202</w:t>
      </w:r>
      <w:r>
        <w:rPr>
          <w:bCs/>
          <w:sz w:val="24"/>
          <w:szCs w:val="24"/>
        </w:rPr>
        <w:t xml:space="preserve">8</w:t>
      </w:r>
      <w:r>
        <w:rPr>
          <w:bCs/>
          <w:sz w:val="24"/>
          <w:szCs w:val="24"/>
        </w:rPr>
        <w:t xml:space="preserve">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35</w:t>
      </w:r>
      <w:r>
        <w:rPr>
          <w:sz w:val="24"/>
          <w:szCs w:val="24"/>
        </w:rPr>
        <w:t xml:space="preserve"> (далее -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таблицу 4</w:t>
      </w:r>
      <w:r>
        <w:rPr>
          <w:sz w:val="24"/>
          <w:szCs w:val="24"/>
        </w:rPr>
        <w:t xml:space="preserve"> «Перечень мер налогового регулирования (налоговых расходов) в сфере реализации муниципальной программы» Программы изложить в редакции согласно приложению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строки </w:t>
      </w:r>
      <w:r>
        <w:rPr>
          <w:sz w:val="24"/>
          <w:szCs w:val="24"/>
        </w:rPr>
        <w:t xml:space="preserve">2 и 3</w:t>
      </w:r>
      <w:r>
        <w:rPr>
          <w:sz w:val="24"/>
          <w:szCs w:val="24"/>
        </w:rPr>
        <w:t xml:space="preserve"> таблицы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Сведения об объемах финансирования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муниципальной программы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Программы изложить в следующей </w:t>
      </w:r>
      <w:r>
        <w:rPr>
          <w:sz w:val="24"/>
          <w:szCs w:val="24"/>
        </w:rPr>
        <w:t xml:space="preserve">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84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709"/>
        <w:gridCol w:w="850"/>
        <w:gridCol w:w="1418"/>
        <w:gridCol w:w="1275"/>
        <w:gridCol w:w="1276"/>
        <w:gridCol w:w="1223"/>
        <w:gridCol w:w="903"/>
      </w:tblGrid>
      <w:tr>
        <w:tblPrEx/>
        <w:trPr>
          <w:trHeight w:val="273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«2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 </w:t>
            </w:r>
            <w:r/>
          </w:p>
        </w:tc>
        <w:tc>
          <w:tcPr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ind w:firstLine="29"/>
              <w:jc w:val="both"/>
            </w:pPr>
            <w:r>
              <w:rPr>
                <w:u w:val="single"/>
              </w:rPr>
              <w:t xml:space="preserve">Комплекс процессных мероприятий 2</w:t>
            </w:r>
            <w:r>
              <w:t xml:space="preserve"> «Создание условий для эффективной интеграции инвалидов в общество»</w:t>
            </w:r>
            <w:r/>
          </w:p>
          <w:p>
            <w:pPr>
              <w:ind w:firstLine="29"/>
              <w:jc w:val="both"/>
            </w:pPr>
            <w:r/>
            <w:r/>
          </w:p>
        </w:tc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2026- 2028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b/>
              </w:rPr>
            </w:pPr>
            <w:r>
              <w:rPr>
                <w:b/>
              </w:rPr>
              <w:t xml:space="preserve">Всего: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1 470 581,00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491 207,00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490 187,00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489 187,00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ОРН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МБ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1 470 581,00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491 207,00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490 187,00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489 187,00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ОБ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ФБ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ВБС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3 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both"/>
              <w:rPr>
                <w:b/>
              </w:rPr>
            </w:pPr>
            <w:r>
              <w:rPr>
                <w:u w:val="single"/>
              </w:rPr>
              <w:t xml:space="preserve">Комплекс процессных мероприятий </w:t>
            </w:r>
            <w:r>
              <w:rPr>
                <w:u w:val="single"/>
              </w:rPr>
              <w:t xml:space="preserve">3</w:t>
            </w:r>
            <w:r>
              <w:rPr>
                <w:b/>
              </w:rPr>
              <w:t xml:space="preserve"> </w:t>
            </w:r>
            <w:r>
              <w:t xml:space="preserve">«Создание условий для социальной помощи семьям»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2026- 2028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b/>
              </w:rPr>
            </w:pPr>
            <w:r>
              <w:rPr>
                <w:b/>
              </w:rPr>
              <w:t xml:space="preserve">Всего: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10 215 820,00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3 541 420,00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3 283 600,00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3 390 800,00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ОС и ЖКХ, КУИ».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МБ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4 050 210,00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1 472 051,00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1 236 016,00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1 342 143,00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ОБ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3 030 000,00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1 010 000,00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1 010 000,00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1 010 000,00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ФБ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40 910,00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14 869,00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12 484,00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13 557,00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48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ВБС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3 094 700,00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1 044 500,00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1 025 100,00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1 025 100,00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878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8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2. Настоящее постановление вступает в силу после его </w:t>
      </w:r>
      <w:r>
        <w:rPr>
          <w:rFonts w:eastAsia="Times New Roman"/>
          <w:sz w:val="24"/>
          <w:szCs w:val="24"/>
        </w:rPr>
        <w:t xml:space="preserve">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8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</w:t>
      </w:r>
      <w:r>
        <w:rPr>
          <w:sz w:val="24"/>
          <w:szCs w:val="24"/>
        </w:rPr>
        <w:t xml:space="preserve"> 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Рудневская М</w:t>
      </w:r>
      <w:r>
        <w:t xml:space="preserve">.А., 51</w:t>
      </w:r>
      <w:r>
        <w:t xml:space="preserve">543</w:t>
      </w:r>
      <w:r/>
    </w:p>
    <w:p>
      <w:pPr>
        <w:jc w:val="both"/>
        <w:widowControl w:val="off"/>
      </w:pPr>
      <w:r/>
      <w:r/>
    </w:p>
    <w:p>
      <w:pPr>
        <w:jc w:val="both"/>
        <w:widowControl w:val="off"/>
        <w:sectPr>
          <w:footnotePr/>
          <w:endnotePr/>
          <w:type w:val="nextPage"/>
          <w:pgSz w:w="11906" w:h="16838" w:orient="portrait"/>
          <w:pgMar w:top="1135" w:right="566" w:bottom="993" w:left="1701" w:header="709" w:footer="709" w:gutter="0"/>
          <w:cols w:num="1" w:sep="0" w:space="708" w:equalWidth="1"/>
          <w:docGrid w:linePitch="360"/>
        </w:sectPr>
      </w:pPr>
      <w:r/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                                                                                                 П</w:t>
      </w:r>
      <w:r>
        <w:rPr>
          <w:rFonts w:eastAsia="Times New Roman"/>
          <w:bCs/>
          <w:sz w:val="24"/>
          <w:szCs w:val="24"/>
        </w:rPr>
        <w:t xml:space="preserve">риложение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eastAsia="Times New Roman"/>
          <w:sz w:val="24"/>
          <w:szCs w:val="24"/>
        </w:rPr>
        <w:t xml:space="preserve">к постановлению администрации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eastAsia="Times New Roman"/>
          <w:sz w:val="24"/>
          <w:szCs w:val="24"/>
        </w:rPr>
        <w:t xml:space="preserve">Печенгского муниципального округа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lang w:eastAsia="en-US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eastAsia="Times New Roman"/>
          <w:sz w:val="24"/>
          <w:szCs w:val="24"/>
        </w:rPr>
        <w:t xml:space="preserve">от </w:t>
      </w:r>
      <w:r>
        <w:rPr>
          <w:rFonts w:eastAsia="Times New Roman"/>
          <w:sz w:val="24"/>
          <w:szCs w:val="24"/>
        </w:rPr>
        <w:t xml:space="preserve">23.03.2026 № 395</w:t>
      </w:r>
      <w:r>
        <w:rPr>
          <w:i/>
          <w:color w:val="0000ff"/>
          <w:lang w:eastAsia="en-US"/>
        </w:rPr>
      </w:r>
      <w:r>
        <w:rPr>
          <w:i/>
          <w:color w:val="0000ff"/>
          <w:lang w:eastAsia="en-US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«</w:t>
      </w:r>
      <w:r>
        <w:rPr>
          <w:b/>
          <w:sz w:val="24"/>
          <w:szCs w:val="24"/>
          <w:lang w:eastAsia="en-US"/>
        </w:rPr>
        <w:t xml:space="preserve">4. Перечень мер налогового регулирования (налоговых расходов) в сфере реализации муниципальной программы</w:t>
      </w: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</w:p>
    <w:p>
      <w:pPr>
        <w:jc w:val="both"/>
        <w:spacing w:after="200" w:line="288" w:lineRule="atLeas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 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tbl>
      <w:tblPr>
        <w:tblW w:w="151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111"/>
        <w:gridCol w:w="1559"/>
        <w:gridCol w:w="1560"/>
        <w:gridCol w:w="1417"/>
        <w:gridCol w:w="2693"/>
        <w:gridCol w:w="3261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200"/>
              <w:rPr>
                <w:lang w:eastAsia="en-US"/>
              </w:rPr>
            </w:pPr>
            <w:r>
              <w:rPr>
                <w:lang w:eastAsia="en-US"/>
              </w:rPr>
              <w:t xml:space="preserve">№ п/п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200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меры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textDirection w:val="lrTb"/>
            <w:noWrap w:val="false"/>
          </w:tcPr>
          <w:p>
            <w:pPr>
              <w:jc w:val="center"/>
              <w:spacing w:after="200"/>
              <w:rPr>
                <w:lang w:eastAsia="en-US"/>
              </w:rPr>
            </w:pPr>
            <w:r>
              <w:rPr>
                <w:lang w:eastAsia="en-US"/>
              </w:rPr>
              <w:t xml:space="preserve">Объем выпадающих доходов бюджета округа (руб.)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200"/>
              <w:rPr>
                <w:lang w:eastAsia="en-US"/>
              </w:rPr>
            </w:pPr>
            <w:r>
              <w:rPr>
                <w:lang w:eastAsia="en-US"/>
              </w:rPr>
              <w:t xml:space="preserve">Основание применения меры налогового регулирования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200"/>
              <w:rPr>
                <w:lang w:eastAsia="en-US"/>
              </w:rPr>
            </w:pPr>
            <w:r>
              <w:rPr>
                <w:lang w:eastAsia="en-US"/>
              </w:rPr>
              <w:t xml:space="preserve">Цель применения меры, связь с показателями муниципальной программы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200"/>
              <w:rPr>
                <w:lang w:eastAsia="en-US"/>
              </w:rPr>
            </w:pPr>
            <w:r>
              <w:rPr>
                <w:lang w:eastAsia="en-US"/>
              </w:rPr>
              <w:t xml:space="preserve">2026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200"/>
              <w:rPr>
                <w:lang w:eastAsia="en-US"/>
              </w:rPr>
            </w:pPr>
            <w:r>
              <w:rPr>
                <w:lang w:eastAsia="en-US"/>
              </w:rPr>
              <w:t xml:space="preserve">2027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200"/>
              <w:rPr>
                <w:lang w:eastAsia="en-US"/>
              </w:rPr>
            </w:pPr>
            <w:r>
              <w:rPr>
                <w:lang w:eastAsia="en-US"/>
              </w:rPr>
              <w:t xml:space="preserve">2028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1" w:type="dxa"/>
            <w:vAlign w:val="center"/>
            <w:vMerge w:val="continue"/>
            <w:textDirection w:val="lrTb"/>
            <w:noWrap w:val="false"/>
          </w:tcPr>
          <w:p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200"/>
              <w:rPr>
                <w:lang w:eastAsia="en-US"/>
              </w:rPr>
            </w:pPr>
            <w:r>
              <w:rPr>
                <w:lang w:eastAsia="en-US"/>
              </w:rPr>
              <w:t xml:space="preserve">План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200"/>
              <w:rPr>
                <w:lang w:eastAsia="en-US"/>
              </w:rPr>
            </w:pPr>
            <w:r>
              <w:rPr>
                <w:lang w:eastAsia="en-US"/>
              </w:rPr>
              <w:t xml:space="preserve">План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200"/>
              <w:rPr>
                <w:lang w:eastAsia="en-US"/>
              </w:rPr>
            </w:pPr>
            <w:r>
              <w:rPr>
                <w:lang w:eastAsia="en-US"/>
              </w:rPr>
              <w:t xml:space="preserve">План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1" w:type="dxa"/>
            <w:vAlign w:val="center"/>
            <w:vMerge w:val="continue"/>
            <w:textDirection w:val="lrTb"/>
            <w:noWrap w:val="false"/>
          </w:tcPr>
          <w:p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601" w:type="dxa"/>
            <w:vAlign w:val="center"/>
            <w:textDirection w:val="lrTb"/>
            <w:noWrap w:val="false"/>
          </w:tcPr>
          <w:p>
            <w:pPr>
              <w:spacing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Направление: «Создание условий для роста благосостояния граждан – получа</w:t>
            </w:r>
            <w:r>
              <w:rPr>
                <w:sz w:val="24"/>
                <w:szCs w:val="24"/>
                <w:lang w:eastAsia="en-US"/>
              </w:rPr>
              <w:t xml:space="preserve">телей мер социальной поддержки»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1.1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Освобождение от налогообложения земельным налогом Героев Советского Союза, Героев Российской Федерации, полных кавалеров ордена Славы; инвалидов </w:t>
            </w:r>
            <w:r>
              <w:rPr>
                <w:lang w:val="en-US" w:eastAsia="en-US"/>
              </w:rPr>
              <w:t xml:space="preserve">I</w:t>
            </w:r>
            <w:r>
              <w:rPr>
                <w:lang w:eastAsia="en-US"/>
              </w:rPr>
              <w:t xml:space="preserve"> и </w:t>
            </w:r>
            <w:r>
              <w:rPr>
                <w:lang w:val="en-US" w:eastAsia="en-US"/>
              </w:rPr>
              <w:t xml:space="preserve">II</w:t>
            </w:r>
            <w:r>
              <w:rPr>
                <w:lang w:eastAsia="en-US"/>
              </w:rPr>
              <w:t xml:space="preserve"> групп инвал</w:t>
            </w:r>
            <w:r>
              <w:rPr>
                <w:lang w:eastAsia="en-US"/>
              </w:rPr>
              <w:t xml:space="preserve">идн</w:t>
            </w:r>
            <w:r>
              <w:rPr>
                <w:lang w:eastAsia="en-US"/>
              </w:rPr>
              <w:t xml:space="preserve">ости; инвалидов с детства, </w:t>
              <w:br/>
              <w:t xml:space="preserve">детей - инвалидов; ветеранов и инвалидов Великой Отечественной войны, а также ветеранов и инвалидов боевых действий, физических лиц, имеющих трех и более детей, в том числе усыновленных детей, в возрасте до 18 лет и (или) до 23 </w:t>
            </w:r>
            <w:r>
              <w:rPr>
                <w:lang w:eastAsia="en-US"/>
              </w:rPr>
              <w:t xml:space="preserve">лет, при условии обучения детей, достигших 18 лет, в образовательных организациях по очной форме обучения, а также дети из многодетных семей, в том числе усыновленные дети в возрасте 18 лет и (или) до 23 лет, при условии обучения детей, достигших 18 лет, в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образовательных орга</w:t>
            </w:r>
            <w:r>
              <w:rPr>
                <w:lang w:eastAsia="en-US"/>
              </w:rPr>
              <w:t xml:space="preserve">низациях по очной форме обучения, в отношении земельных участков,предоставленных в собственность на бесплатной основе в соответствии с Законом Мурманской области от 31.12.2003 № 462-01-ЗМО «Об основах регулирования земельных отношений в Мурманской области»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27 000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27 000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27 000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Подпункты 4.4, 4.5, 4.6, 4.7, 4.10 пункта 4 решения Совета депутатов Печенгского муниципального округа </w:t>
            </w:r>
            <w:r>
              <w:rPr>
                <w:lang w:eastAsia="en-US"/>
              </w:rPr>
              <w:br/>
              <w:t xml:space="preserve">от 23.10.2020 № 39 </w:t>
            </w:r>
            <w:r>
              <w:rPr>
                <w:lang w:eastAsia="en-US"/>
              </w:rPr>
              <w:br/>
              <w:t xml:space="preserve">«Об установлении земельного налога на территории муниципального образования Печенгский муниципальный округ Мурманской области»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(в ред. от </w:t>
            </w:r>
            <w:r>
              <w:rPr>
                <w:lang w:eastAsia="en-US"/>
              </w:rPr>
              <w:t xml:space="preserve">13.</w:t>
            </w:r>
            <w:r>
              <w:rPr>
                <w:lang w:eastAsia="en-US"/>
              </w:rPr>
              <w:t xml:space="preserve">02</w:t>
            </w:r>
            <w:r>
              <w:rPr>
                <w:lang w:eastAsia="en-US"/>
              </w:rPr>
              <w:t xml:space="preserve">.202</w:t>
            </w:r>
            <w:r>
              <w:rPr>
                <w:lang w:eastAsia="en-US"/>
              </w:rPr>
              <w:t xml:space="preserve">6</w:t>
            </w:r>
            <w:r>
              <w:rPr>
                <w:lang w:eastAsia="en-US"/>
              </w:rPr>
              <w:t xml:space="preserve"> № </w:t>
            </w:r>
            <w:r>
              <w:rPr>
                <w:lang w:eastAsia="en-US"/>
              </w:rPr>
              <w:t xml:space="preserve">39</w:t>
            </w:r>
            <w:r>
              <w:rPr>
                <w:lang w:eastAsia="en-US"/>
              </w:rPr>
              <w:t xml:space="preserve">)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1" w:type="dxa"/>
            <w:textDirection w:val="lrTb"/>
            <w:noWrap w:val="false"/>
          </w:tcPr>
          <w:p>
            <w:pPr>
              <w:rPr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 </w:t>
            </w:r>
            <w:r>
              <w:rPr>
                <w:sz w:val="22"/>
                <w:szCs w:val="22"/>
                <w:lang w:eastAsia="en-US"/>
              </w:rPr>
              <w:t xml:space="preserve">Социальная поддержка отдельных категорий граждан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0.1</w:t>
            </w:r>
            <w:r>
              <w:rPr>
                <w:sz w:val="24"/>
                <w:szCs w:val="24"/>
                <w:lang w:eastAsia="en-US"/>
              </w:rPr>
              <w:t xml:space="preserve">. </w:t>
            </w:r>
            <w:r>
              <w:rPr>
                <w:lang w:eastAsia="en-US"/>
              </w:rPr>
              <w:t xml:space="preserve">Доля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Times New Roman"/>
              </w:rPr>
              <w:t xml:space="preserve">граждан, получивших социальную поддержку, от общего числа граждан, которым назначена социальная поддержка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1.2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textDirection w:val="lrTb"/>
            <w:noWrap w:val="false"/>
          </w:tcPr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Налоговая льгота в размере подлежащей уплате налогоплательщиком суммы налога на имущество физических лиц в о</w:t>
            </w:r>
            <w:r>
              <w:rPr>
                <w:lang w:eastAsia="en-US"/>
              </w:rPr>
              <w:t xml:space="preserve">тношении объекта налогообложения</w:t>
            </w:r>
            <w:r>
              <w:rPr>
                <w:lang w:eastAsia="en-US"/>
              </w:rPr>
              <w:t xml:space="preserve">, находящегося в собственности налогоплательщика и не используемого налогоплательщиком в предпринимательской деятельности лицам, имеющие звание «Почетный гражданин города Заполярный»,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«Почетный гражданин Печенгского района», «Почетный гражданин поселка Печенга»; членам многодетных семей (с тремя и более несовершеннолетними детьми); приемным родителям, опекунам и попечителям, усыновивших (опекающих) третьего и (или) последующего несовер</w:t>
            </w:r>
            <w:r>
              <w:rPr>
                <w:lang w:eastAsia="en-US"/>
              </w:rPr>
              <w:t xml:space="preserve">шеннолетнего гражданина в семье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104 000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104 000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104 000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textDirection w:val="lrTb"/>
            <w:noWrap w:val="false"/>
          </w:tcPr>
          <w:p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 xml:space="preserve">Подпункты 5.1-5.4 пункта 5 решения Совета депутатов Печенгского муниципального округа от 23.10.2020 № 40 </w:t>
            </w:r>
            <w:r>
              <w:rPr>
                <w:lang w:eastAsia="en-US"/>
              </w:rPr>
              <w:br/>
              <w:t xml:space="preserve">«Об установлении налога на имущество физических лиц на территории муниципального образования Печенгский муниципальный округ Мурманской области» (ред. </w:t>
            </w:r>
            <w:r>
              <w:rPr>
                <w:lang w:eastAsia="en-US"/>
              </w:rPr>
              <w:br/>
              <w:t xml:space="preserve">от </w:t>
            </w:r>
            <w:r>
              <w:rPr>
                <w:lang w:eastAsia="en-US"/>
              </w:rPr>
              <w:t xml:space="preserve">13.02</w:t>
            </w:r>
            <w:r>
              <w:rPr>
                <w:lang w:eastAsia="en-US"/>
              </w:rPr>
              <w:t xml:space="preserve">.202</w:t>
            </w:r>
            <w:r>
              <w:rPr>
                <w:lang w:eastAsia="en-US"/>
              </w:rPr>
              <w:t xml:space="preserve">6</w:t>
            </w:r>
            <w:r>
              <w:rPr>
                <w:lang w:eastAsia="en-US"/>
              </w:rPr>
              <w:t xml:space="preserve"> № </w:t>
            </w:r>
            <w:r>
              <w:rPr>
                <w:lang w:eastAsia="en-US"/>
              </w:rPr>
              <w:t xml:space="preserve">39</w:t>
            </w:r>
            <w:bookmarkStart w:id="0" w:name="_GoBack"/>
            <w:r/>
            <w:bookmarkEnd w:id="0"/>
            <w:r>
              <w:rPr>
                <w:lang w:eastAsia="en-US"/>
              </w:rPr>
              <w:t xml:space="preserve">)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1" w:type="dxa"/>
            <w:textDirection w:val="lrTb"/>
            <w:noWrap w:val="false"/>
          </w:tcPr>
          <w:p>
            <w:pPr>
              <w:rPr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 </w:t>
            </w:r>
            <w:r>
              <w:rPr>
                <w:sz w:val="22"/>
                <w:szCs w:val="22"/>
                <w:lang w:eastAsia="en-US"/>
              </w:rPr>
              <w:t xml:space="preserve">Социальная поддержка отдельных категорий граждан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 xml:space="preserve">0</w:t>
            </w:r>
            <w:r>
              <w:rPr>
                <w:lang w:eastAsia="en-US"/>
              </w:rPr>
              <w:t xml:space="preserve">.1</w:t>
            </w:r>
            <w:r>
              <w:rPr>
                <w:sz w:val="24"/>
                <w:szCs w:val="24"/>
                <w:lang w:eastAsia="en-US"/>
              </w:rPr>
              <w:t xml:space="preserve">. </w:t>
            </w:r>
            <w:r>
              <w:rPr>
                <w:lang w:eastAsia="en-US"/>
              </w:rPr>
              <w:t xml:space="preserve">Доля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Times New Roman"/>
              </w:rPr>
              <w:t xml:space="preserve">граждан, получивших социальную поддержку, от общего числа граждан, которым назначена социальная поддержка</w:t>
            </w:r>
            <w:r>
              <w:rPr>
                <w:rFonts w:eastAsia="Times New Roman"/>
              </w:rPr>
              <w:t xml:space="preserve">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0.3.</w:t>
            </w:r>
            <w:r>
              <w:rPr>
                <w:rFonts w:eastAsia="Times New Roman"/>
              </w:rPr>
              <w:t xml:space="preserve"> Доля почетных граждан г. Заполярный, граждан, награжденные </w:t>
            </w:r>
            <w:r>
              <w:rPr>
                <w:rFonts w:eastAsia="Times New Roman"/>
              </w:rPr>
              <w:t xml:space="preserve">почетным знаком «За заслуги перед Печенгским округом», граждан, которым присвоено почетное звание «Почетный гражданин «Печенгского муниципального округа», своевременно получивших социальную поддержку от общего числа граждан, которым присвоены такие звания.</w:t>
            </w:r>
            <w:r>
              <w:rPr>
                <w:rFonts w:eastAsia="Times New Roman"/>
              </w:rPr>
              <w:t xml:space="preserve">».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spacing w:line="288" w:lineRule="atLeas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 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center"/>
        <w:spacing w:line="288" w:lineRule="atLeas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center"/>
        <w:spacing w:line="288" w:lineRule="atLeas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center"/>
        <w:spacing w:line="288" w:lineRule="atLeast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p>
      <w:pPr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both"/>
        <w:widowControl w:val="off"/>
        <w:sectPr>
          <w:footnotePr/>
          <w:endnotePr/>
          <w:type w:val="nextPage"/>
          <w:pgSz w:w="16838" w:h="11906" w:orient="landscape"/>
          <w:pgMar w:top="1276" w:right="678" w:bottom="566" w:left="993" w:header="709" w:footer="709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"/>
  </w:num>
  <w:num w:numId="6">
    <w:abstractNumId w:val="10"/>
  </w:num>
  <w:num w:numId="7">
    <w:abstractNumId w:val="9"/>
  </w:num>
  <w:num w:numId="8">
    <w:abstractNumId w:val="4"/>
  </w:num>
  <w:num w:numId="9">
    <w:abstractNumId w:val="7"/>
  </w:num>
  <w:num w:numId="10">
    <w:abstractNumId w:val="6"/>
  </w:num>
  <w:num w:numId="11">
    <w:abstractNumId w:val="3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7">
    <w:name w:val="Heading 1 Char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678">
    <w:name w:val="Heading 2 Char"/>
    <w:basedOn w:val="702"/>
    <w:link w:val="694"/>
    <w:uiPriority w:val="9"/>
    <w:rPr>
      <w:rFonts w:ascii="Arial" w:hAnsi="Arial" w:eastAsia="Arial" w:cs="Arial"/>
      <w:sz w:val="34"/>
    </w:rPr>
  </w:style>
  <w:style w:type="character" w:styleId="679">
    <w:name w:val="Heading 3 Char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680">
    <w:name w:val="Heading 4 Char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681">
    <w:name w:val="Heading 5 Char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682">
    <w:name w:val="Heading 6 Char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683">
    <w:name w:val="Heading 7 Char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8 Char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685">
    <w:name w:val="Heading 9 Char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character" w:styleId="686">
    <w:name w:val="Title Char"/>
    <w:basedOn w:val="702"/>
    <w:link w:val="714"/>
    <w:uiPriority w:val="10"/>
    <w:rPr>
      <w:sz w:val="48"/>
      <w:szCs w:val="48"/>
    </w:rPr>
  </w:style>
  <w:style w:type="character" w:styleId="687">
    <w:name w:val="Subtitle Char"/>
    <w:basedOn w:val="702"/>
    <w:link w:val="716"/>
    <w:uiPriority w:val="11"/>
    <w:rPr>
      <w:sz w:val="24"/>
      <w:szCs w:val="24"/>
    </w:rPr>
  </w:style>
  <w:style w:type="character" w:styleId="688">
    <w:name w:val="Quote Char"/>
    <w:link w:val="718"/>
    <w:uiPriority w:val="29"/>
    <w:rPr>
      <w:i/>
    </w:rPr>
  </w:style>
  <w:style w:type="character" w:styleId="689">
    <w:name w:val="Intense Quote Char"/>
    <w:link w:val="720"/>
    <w:uiPriority w:val="30"/>
    <w:rPr>
      <w:i/>
    </w:rPr>
  </w:style>
  <w:style w:type="character" w:styleId="690">
    <w:name w:val="Footnote Text Char"/>
    <w:link w:val="852"/>
    <w:uiPriority w:val="99"/>
    <w:rPr>
      <w:sz w:val="18"/>
    </w:rPr>
  </w:style>
  <w:style w:type="character" w:styleId="691">
    <w:name w:val="Endnote Text Char"/>
    <w:link w:val="855"/>
    <w:uiPriority w:val="99"/>
    <w:rPr>
      <w:sz w:val="20"/>
    </w:rPr>
  </w:style>
  <w:style w:type="paragraph" w:styleId="692" w:default="1">
    <w:name w:val="Normal"/>
    <w:qFormat/>
    <w:rPr>
      <w:rFonts w:eastAsia="Calibri"/>
    </w:rPr>
  </w:style>
  <w:style w:type="paragraph" w:styleId="693">
    <w:name w:val="Heading 1"/>
    <w:basedOn w:val="692"/>
    <w:next w:val="692"/>
    <w:link w:val="70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4">
    <w:name w:val="Heading 2"/>
    <w:basedOn w:val="692"/>
    <w:next w:val="692"/>
    <w:link w:val="70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5">
    <w:name w:val="Heading 3"/>
    <w:basedOn w:val="692"/>
    <w:next w:val="692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6">
    <w:name w:val="Heading 4"/>
    <w:basedOn w:val="692"/>
    <w:next w:val="692"/>
    <w:link w:val="70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692"/>
    <w:next w:val="692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692"/>
    <w:next w:val="692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692"/>
    <w:next w:val="692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0">
    <w:name w:val="Heading 8"/>
    <w:basedOn w:val="692"/>
    <w:next w:val="692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1">
    <w:name w:val="Heading 9"/>
    <w:basedOn w:val="692"/>
    <w:next w:val="692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 w:default="1">
    <w:name w:val="Default Paragraph Font"/>
    <w:uiPriority w:val="1"/>
    <w:semiHidden/>
    <w:unhideWhenUsed/>
  </w:style>
  <w:style w:type="table" w:styleId="7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4" w:default="1">
    <w:name w:val="No List"/>
    <w:uiPriority w:val="99"/>
    <w:semiHidden/>
    <w:unhideWhenUsed/>
  </w:style>
  <w:style w:type="character" w:styleId="705" w:customStyle="1">
    <w:name w:val="Заголовок 1 Знак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706" w:customStyle="1">
    <w:name w:val="Заголовок 2 Знак"/>
    <w:basedOn w:val="702"/>
    <w:link w:val="694"/>
    <w:uiPriority w:val="9"/>
    <w:rPr>
      <w:rFonts w:ascii="Arial" w:hAnsi="Arial" w:eastAsia="Arial" w:cs="Arial"/>
      <w:sz w:val="34"/>
    </w:rPr>
  </w:style>
  <w:style w:type="character" w:styleId="707" w:customStyle="1">
    <w:name w:val="Заголовок 3 Знак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708" w:customStyle="1">
    <w:name w:val="Заголовок 4 Знак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709" w:customStyle="1">
    <w:name w:val="Заголовок 5 Знак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10" w:customStyle="1">
    <w:name w:val="Заголовок 6 Знак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711" w:customStyle="1">
    <w:name w:val="Заголовок 7 Знак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 w:customStyle="1">
    <w:name w:val="Заголовок 8 Знак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713" w:customStyle="1">
    <w:name w:val="Заголовок 9 Знак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Title"/>
    <w:basedOn w:val="692"/>
    <w:next w:val="692"/>
    <w:link w:val="71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5" w:customStyle="1">
    <w:name w:val="Заголовок Знак"/>
    <w:basedOn w:val="702"/>
    <w:link w:val="714"/>
    <w:uiPriority w:val="10"/>
    <w:rPr>
      <w:sz w:val="48"/>
      <w:szCs w:val="48"/>
    </w:rPr>
  </w:style>
  <w:style w:type="paragraph" w:styleId="716">
    <w:name w:val="Subtitle"/>
    <w:basedOn w:val="692"/>
    <w:next w:val="692"/>
    <w:link w:val="717"/>
    <w:uiPriority w:val="11"/>
    <w:qFormat/>
    <w:pPr>
      <w:spacing w:before="200" w:after="200"/>
    </w:pPr>
    <w:rPr>
      <w:sz w:val="24"/>
      <w:szCs w:val="24"/>
    </w:rPr>
  </w:style>
  <w:style w:type="character" w:styleId="717" w:customStyle="1">
    <w:name w:val="Подзаголовок Знак"/>
    <w:basedOn w:val="702"/>
    <w:link w:val="716"/>
    <w:uiPriority w:val="11"/>
    <w:rPr>
      <w:sz w:val="24"/>
      <w:szCs w:val="24"/>
    </w:rPr>
  </w:style>
  <w:style w:type="paragraph" w:styleId="718">
    <w:name w:val="Quote"/>
    <w:basedOn w:val="692"/>
    <w:next w:val="692"/>
    <w:link w:val="719"/>
    <w:uiPriority w:val="29"/>
    <w:qFormat/>
    <w:pPr>
      <w:ind w:left="720" w:right="720"/>
    </w:pPr>
    <w:rPr>
      <w:i/>
    </w:rPr>
  </w:style>
  <w:style w:type="character" w:styleId="719" w:customStyle="1">
    <w:name w:val="Цитата 2 Знак"/>
    <w:link w:val="718"/>
    <w:uiPriority w:val="29"/>
    <w:rPr>
      <w:i/>
    </w:rPr>
  </w:style>
  <w:style w:type="paragraph" w:styleId="720">
    <w:name w:val="Intense Quote"/>
    <w:basedOn w:val="692"/>
    <w:next w:val="692"/>
    <w:link w:val="72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1" w:customStyle="1">
    <w:name w:val="Выделенная цитата Знак"/>
    <w:link w:val="720"/>
    <w:uiPriority w:val="30"/>
    <w:rPr>
      <w:i/>
    </w:rPr>
  </w:style>
  <w:style w:type="character" w:styleId="722" w:customStyle="1">
    <w:name w:val="Header Char"/>
    <w:basedOn w:val="702"/>
    <w:uiPriority w:val="99"/>
  </w:style>
  <w:style w:type="character" w:styleId="723" w:customStyle="1">
    <w:name w:val="Footer Char"/>
    <w:basedOn w:val="702"/>
    <w:uiPriority w:val="99"/>
  </w:style>
  <w:style w:type="paragraph" w:styleId="724">
    <w:name w:val="Caption"/>
    <w:basedOn w:val="692"/>
    <w:next w:val="6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5" w:customStyle="1">
    <w:name w:val="Caption Char"/>
    <w:uiPriority w:val="99"/>
  </w:style>
  <w:style w:type="table" w:styleId="726" w:customStyle="1">
    <w:name w:val="Table Grid Light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7">
    <w:name w:val="Plain Table 1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2"/>
    <w:basedOn w:val="70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>
    <w:name w:val="Plain Table 3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0">
    <w:name w:val="Plain Table 4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Plain Table 5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2">
    <w:name w:val="Grid Table 1 Light"/>
    <w:basedOn w:val="70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2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4"/>
    <w:basedOn w:val="70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4" w:customStyle="1">
    <w:name w:val="Grid Table 4 - Accent 1"/>
    <w:basedOn w:val="70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5" w:customStyle="1">
    <w:name w:val="Grid Table 4 - Accent 2"/>
    <w:basedOn w:val="70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6" w:customStyle="1">
    <w:name w:val="Grid Table 4 - Accent 3"/>
    <w:basedOn w:val="70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7" w:customStyle="1">
    <w:name w:val="Grid Table 4 - Accent 4"/>
    <w:basedOn w:val="70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8" w:customStyle="1">
    <w:name w:val="Grid Table 4 - Accent 5"/>
    <w:basedOn w:val="70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9" w:customStyle="1">
    <w:name w:val="Grid Table 4 - Accent 6"/>
    <w:basedOn w:val="70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0">
    <w:name w:val="Grid Table 5 Dark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- Accent 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2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3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- Accent 4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5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6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7">
    <w:name w:val="Grid Table 6 Colorful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8" w:customStyle="1">
    <w:name w:val="Grid Table 6 Colorful - Accent 1"/>
    <w:basedOn w:val="70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9" w:customStyle="1">
    <w:name w:val="Grid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0" w:customStyle="1">
    <w:name w:val="Grid Table 6 Colorful - Accent 3"/>
    <w:basedOn w:val="70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1" w:customStyle="1">
    <w:name w:val="Grid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2" w:customStyle="1">
    <w:name w:val="Grid Table 6 Colorful - Accent 5"/>
    <w:basedOn w:val="70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3" w:customStyle="1">
    <w:name w:val="Grid Table 6 Colorful - Accent 6"/>
    <w:basedOn w:val="70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4">
    <w:name w:val="Grid Table 7 Colorful"/>
    <w:basedOn w:val="70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1"/>
    <w:basedOn w:val="70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5"/>
    <w:basedOn w:val="70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6"/>
    <w:basedOn w:val="70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>
    <w:name w:val="List Table 1 Light"/>
    <w:basedOn w:val="70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1"/>
    <w:basedOn w:val="70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2"/>
    <w:basedOn w:val="70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3"/>
    <w:basedOn w:val="70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4"/>
    <w:basedOn w:val="70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5"/>
    <w:basedOn w:val="70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6"/>
    <w:basedOn w:val="70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2"/>
    <w:basedOn w:val="70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5">
    <w:name w:val="List Table 3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5 Dark"/>
    <w:basedOn w:val="70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1"/>
    <w:basedOn w:val="70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>
    <w:name w:val="List Table 6 Colorful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7" w:customStyle="1">
    <w:name w:val="List Table 6 Colorful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8" w:customStyle="1">
    <w:name w:val="List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9" w:customStyle="1">
    <w:name w:val="List Table 6 Colorful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0" w:customStyle="1">
    <w:name w:val="List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1" w:customStyle="1">
    <w:name w:val="List Table 6 Colorful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2" w:customStyle="1">
    <w:name w:val="List Table 6 Colorful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3">
    <w:name w:val="List Table 7 Colorful"/>
    <w:basedOn w:val="70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1"/>
    <w:basedOn w:val="70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2"/>
    <w:basedOn w:val="70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3"/>
    <w:basedOn w:val="70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4"/>
    <w:basedOn w:val="70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5"/>
    <w:basedOn w:val="70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6"/>
    <w:basedOn w:val="70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ned - Accent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1" w:customStyle="1">
    <w:name w:val="Lined - Accent 1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2" w:customStyle="1">
    <w:name w:val="Lined - Accent 2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3" w:customStyle="1">
    <w:name w:val="Lined - Accent 3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4" w:customStyle="1">
    <w:name w:val="Lined - Accent 4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5" w:customStyle="1">
    <w:name w:val="Lined - Accent 5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6" w:customStyle="1">
    <w:name w:val="Lined - Accent 6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7" w:customStyle="1">
    <w:name w:val="Bordered &amp; Lined - Accent"/>
    <w:basedOn w:val="70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8" w:customStyle="1">
    <w:name w:val="Bordered &amp; Lined - Accent 1"/>
    <w:basedOn w:val="70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9" w:customStyle="1">
    <w:name w:val="Bordered &amp; Lined - Accent 2"/>
    <w:basedOn w:val="70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0" w:customStyle="1">
    <w:name w:val="Bordered &amp; Lined - Accent 3"/>
    <w:basedOn w:val="70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1" w:customStyle="1">
    <w:name w:val="Bordered &amp; Lined - Accent 4"/>
    <w:basedOn w:val="70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2" w:customStyle="1">
    <w:name w:val="Bordered &amp; Lined - Accent 5"/>
    <w:basedOn w:val="70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3" w:customStyle="1">
    <w:name w:val="Bordered &amp; Lined - Accent 6"/>
    <w:basedOn w:val="70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4" w:customStyle="1">
    <w:name w:val="Bordered"/>
    <w:basedOn w:val="70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5" w:customStyle="1">
    <w:name w:val="Bordered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6" w:customStyle="1">
    <w:name w:val="Bordered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7" w:customStyle="1">
    <w:name w:val="Bordered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8" w:customStyle="1">
    <w:name w:val="Bordered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9" w:customStyle="1">
    <w:name w:val="Bordered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0" w:customStyle="1">
    <w:name w:val="Bordered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51">
    <w:name w:val="Hyperlink"/>
    <w:uiPriority w:val="99"/>
    <w:unhideWhenUsed/>
    <w:rPr>
      <w:color w:val="0000ff" w:themeColor="hyperlink"/>
      <w:u w:val="single"/>
    </w:rPr>
  </w:style>
  <w:style w:type="paragraph" w:styleId="852">
    <w:name w:val="footnote text"/>
    <w:basedOn w:val="692"/>
    <w:link w:val="853"/>
    <w:uiPriority w:val="99"/>
    <w:semiHidden/>
    <w:unhideWhenUsed/>
    <w:pPr>
      <w:spacing w:after="40"/>
    </w:pPr>
    <w:rPr>
      <w:sz w:val="18"/>
    </w:rPr>
  </w:style>
  <w:style w:type="character" w:styleId="853" w:customStyle="1">
    <w:name w:val="Текст сноски Знак"/>
    <w:link w:val="852"/>
    <w:uiPriority w:val="99"/>
    <w:rPr>
      <w:sz w:val="18"/>
    </w:rPr>
  </w:style>
  <w:style w:type="character" w:styleId="854">
    <w:name w:val="footnote reference"/>
    <w:basedOn w:val="702"/>
    <w:uiPriority w:val="99"/>
    <w:unhideWhenUsed/>
    <w:rPr>
      <w:vertAlign w:val="superscript"/>
    </w:rPr>
  </w:style>
  <w:style w:type="paragraph" w:styleId="855">
    <w:name w:val="endnote text"/>
    <w:basedOn w:val="692"/>
    <w:link w:val="856"/>
    <w:uiPriority w:val="99"/>
    <w:semiHidden/>
    <w:unhideWhenUsed/>
  </w:style>
  <w:style w:type="character" w:styleId="856" w:customStyle="1">
    <w:name w:val="Текст концевой сноски Знак"/>
    <w:link w:val="855"/>
    <w:uiPriority w:val="99"/>
    <w:rPr>
      <w:sz w:val="20"/>
    </w:rPr>
  </w:style>
  <w:style w:type="character" w:styleId="857">
    <w:name w:val="endnote reference"/>
    <w:basedOn w:val="702"/>
    <w:uiPriority w:val="99"/>
    <w:semiHidden/>
    <w:unhideWhenUsed/>
    <w:rPr>
      <w:vertAlign w:val="superscript"/>
    </w:rPr>
  </w:style>
  <w:style w:type="paragraph" w:styleId="858">
    <w:name w:val="toc 1"/>
    <w:basedOn w:val="692"/>
    <w:next w:val="692"/>
    <w:uiPriority w:val="39"/>
    <w:unhideWhenUsed/>
    <w:pPr>
      <w:spacing w:after="57"/>
    </w:pPr>
  </w:style>
  <w:style w:type="paragraph" w:styleId="859">
    <w:name w:val="toc 2"/>
    <w:basedOn w:val="692"/>
    <w:next w:val="692"/>
    <w:uiPriority w:val="39"/>
    <w:unhideWhenUsed/>
    <w:pPr>
      <w:ind w:left="283"/>
      <w:spacing w:after="57"/>
    </w:pPr>
  </w:style>
  <w:style w:type="paragraph" w:styleId="860">
    <w:name w:val="toc 3"/>
    <w:basedOn w:val="692"/>
    <w:next w:val="692"/>
    <w:uiPriority w:val="39"/>
    <w:unhideWhenUsed/>
    <w:pPr>
      <w:ind w:left="567"/>
      <w:spacing w:after="57"/>
    </w:pPr>
  </w:style>
  <w:style w:type="paragraph" w:styleId="861">
    <w:name w:val="toc 4"/>
    <w:basedOn w:val="692"/>
    <w:next w:val="692"/>
    <w:uiPriority w:val="39"/>
    <w:unhideWhenUsed/>
    <w:pPr>
      <w:ind w:left="850"/>
      <w:spacing w:after="57"/>
    </w:pPr>
  </w:style>
  <w:style w:type="paragraph" w:styleId="862">
    <w:name w:val="toc 5"/>
    <w:basedOn w:val="692"/>
    <w:next w:val="692"/>
    <w:uiPriority w:val="39"/>
    <w:unhideWhenUsed/>
    <w:pPr>
      <w:ind w:left="1134"/>
      <w:spacing w:after="57"/>
    </w:pPr>
  </w:style>
  <w:style w:type="paragraph" w:styleId="863">
    <w:name w:val="toc 6"/>
    <w:basedOn w:val="692"/>
    <w:next w:val="692"/>
    <w:uiPriority w:val="39"/>
    <w:unhideWhenUsed/>
    <w:pPr>
      <w:ind w:left="1417"/>
      <w:spacing w:after="57"/>
    </w:pPr>
  </w:style>
  <w:style w:type="paragraph" w:styleId="864">
    <w:name w:val="toc 7"/>
    <w:basedOn w:val="692"/>
    <w:next w:val="692"/>
    <w:uiPriority w:val="39"/>
    <w:unhideWhenUsed/>
    <w:pPr>
      <w:ind w:left="1701"/>
      <w:spacing w:after="57"/>
    </w:pPr>
  </w:style>
  <w:style w:type="paragraph" w:styleId="865">
    <w:name w:val="toc 8"/>
    <w:basedOn w:val="692"/>
    <w:next w:val="692"/>
    <w:uiPriority w:val="39"/>
    <w:unhideWhenUsed/>
    <w:pPr>
      <w:ind w:left="1984"/>
      <w:spacing w:after="57"/>
    </w:pPr>
  </w:style>
  <w:style w:type="paragraph" w:styleId="866">
    <w:name w:val="toc 9"/>
    <w:basedOn w:val="692"/>
    <w:next w:val="692"/>
    <w:uiPriority w:val="39"/>
    <w:unhideWhenUsed/>
    <w:pPr>
      <w:ind w:left="2268"/>
      <w:spacing w:after="57"/>
    </w:pPr>
  </w:style>
  <w:style w:type="paragraph" w:styleId="867">
    <w:name w:val="TOC Heading"/>
    <w:uiPriority w:val="39"/>
    <w:unhideWhenUsed/>
  </w:style>
  <w:style w:type="paragraph" w:styleId="868">
    <w:name w:val="table of figures"/>
    <w:basedOn w:val="692"/>
    <w:next w:val="692"/>
    <w:uiPriority w:val="99"/>
    <w:unhideWhenUsed/>
  </w:style>
  <w:style w:type="paragraph" w:styleId="869">
    <w:name w:val="Normal (Web)"/>
    <w:basedOn w:val="692"/>
    <w:semiHidden/>
    <w:pPr>
      <w:spacing w:before="100" w:beforeAutospacing="1" w:after="100" w:afterAutospacing="1"/>
    </w:pPr>
    <w:rPr>
      <w:sz w:val="24"/>
      <w:szCs w:val="24"/>
    </w:rPr>
  </w:style>
  <w:style w:type="paragraph" w:styleId="870" w:customStyle="1">
    <w:name w:val="Абзац списка1"/>
    <w:basedOn w:val="692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71">
    <w:name w:val="Balloon Text"/>
    <w:basedOn w:val="692"/>
    <w:link w:val="872"/>
    <w:rPr>
      <w:rFonts w:ascii="Calibri" w:hAnsi="Calibri"/>
      <w:sz w:val="16"/>
      <w:szCs w:val="16"/>
    </w:rPr>
  </w:style>
  <w:style w:type="character" w:styleId="872" w:customStyle="1">
    <w:name w:val="Текст выноски Знак"/>
    <w:link w:val="871"/>
    <w:rPr>
      <w:rFonts w:ascii="Calibri" w:hAnsi="Calibri" w:eastAsia="Calibri"/>
      <w:sz w:val="16"/>
      <w:szCs w:val="16"/>
    </w:rPr>
  </w:style>
  <w:style w:type="paragraph" w:styleId="873">
    <w:name w:val="Header"/>
    <w:basedOn w:val="692"/>
    <w:link w:val="874"/>
    <w:pPr>
      <w:tabs>
        <w:tab w:val="center" w:pos="4677" w:leader="none"/>
        <w:tab w:val="right" w:pos="9355" w:leader="none"/>
      </w:tabs>
    </w:pPr>
  </w:style>
  <w:style w:type="character" w:styleId="874" w:customStyle="1">
    <w:name w:val="Верхний колонтитул Знак"/>
    <w:link w:val="873"/>
    <w:rPr>
      <w:rFonts w:eastAsia="Calibri"/>
    </w:rPr>
  </w:style>
  <w:style w:type="paragraph" w:styleId="875">
    <w:name w:val="Footer"/>
    <w:basedOn w:val="692"/>
    <w:link w:val="876"/>
    <w:pPr>
      <w:tabs>
        <w:tab w:val="center" w:pos="4677" w:leader="none"/>
        <w:tab w:val="right" w:pos="9355" w:leader="none"/>
      </w:tabs>
    </w:pPr>
  </w:style>
  <w:style w:type="character" w:styleId="876" w:customStyle="1">
    <w:name w:val="Нижний колонтитул Знак"/>
    <w:link w:val="875"/>
    <w:rPr>
      <w:rFonts w:eastAsia="Calibri"/>
    </w:rPr>
  </w:style>
  <w:style w:type="table" w:styleId="877">
    <w:name w:val="Table Grid"/>
    <w:basedOn w:val="70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8">
    <w:name w:val="List Paragraph"/>
    <w:basedOn w:val="692"/>
    <w:qFormat/>
    <w:pPr>
      <w:contextualSpacing/>
      <w:ind w:left="720"/>
    </w:pPr>
  </w:style>
  <w:style w:type="paragraph" w:styleId="879" w:customStyle="1">
    <w:name w:val="Знак Знак2"/>
    <w:basedOn w:val="69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80">
    <w:name w:val="Body Text 2"/>
    <w:basedOn w:val="692"/>
    <w:link w:val="881"/>
    <w:pPr>
      <w:spacing w:after="120" w:line="480" w:lineRule="auto"/>
    </w:pPr>
  </w:style>
  <w:style w:type="character" w:styleId="881" w:customStyle="1">
    <w:name w:val="Основной текст 2 Знак"/>
    <w:basedOn w:val="702"/>
    <w:link w:val="880"/>
    <w:rPr>
      <w:rFonts w:eastAsia="Calibri"/>
    </w:rPr>
  </w:style>
  <w:style w:type="table" w:styleId="882" w:customStyle="1">
    <w:name w:val="Сетка таблицы1"/>
    <w:basedOn w:val="703"/>
    <w:next w:val="87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3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884" w:customStyle="1">
    <w:name w:val="Сетка таблицы2"/>
    <w:basedOn w:val="703"/>
    <w:next w:val="87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67C38B-4B5E-4F6E-8E41-4AD9D9FD1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34</cp:revision>
  <dcterms:created xsi:type="dcterms:W3CDTF">2025-10-24T09:15:00Z</dcterms:created>
  <dcterms:modified xsi:type="dcterms:W3CDTF">2026-04-07T09:17:08Z</dcterms:modified>
</cp:coreProperties>
</file>