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2787015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9.4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26.03.2026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№ </w:t>
      </w:r>
      <w:r>
        <w:rPr>
          <w:b/>
          <w:sz w:val="24"/>
        </w:rPr>
        <w:t xml:space="preserve">426а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О внесении изменений в план реализации муниципальной программы Печенгского муниципального округа «Обеспечение </w:t>
      </w:r>
      <w:r>
        <w:rPr>
          <w:b/>
          <w:bCs/>
          <w:color w:val="auto"/>
        </w:rPr>
        <w:t xml:space="preserve">социальной стабильности</w:t>
      </w:r>
      <w:r>
        <w:rPr>
          <w:b/>
          <w:bCs/>
          <w:color w:val="auto"/>
        </w:rPr>
        <w:t xml:space="preserve">» на 2026 - 2028 годы</w:t>
      </w:r>
      <w:r>
        <w:rPr>
          <w:b/>
          <w:bCs/>
          <w:color w:val="auto"/>
        </w:rPr>
      </w:r>
    </w:p>
    <w:p>
      <w:pPr>
        <w:ind w:firstLine="709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</w:t>
      </w:r>
      <w:r>
        <w:rPr>
          <w:color w:val="auto"/>
          <w:sz w:val="24"/>
          <w:szCs w:val="24"/>
        </w:rPr>
        <w:br/>
        <w:t xml:space="preserve">от 18.09.2025 № 1488, в соответствии с муниципальной программой Печенгского муниципального округа «Обеспечение </w:t>
      </w:r>
      <w:r>
        <w:rPr>
          <w:color w:val="auto"/>
          <w:sz w:val="24"/>
          <w:szCs w:val="24"/>
        </w:rPr>
        <w:t xml:space="preserve">социальной стабильности</w:t>
      </w:r>
      <w:r>
        <w:rPr>
          <w:color w:val="auto"/>
          <w:sz w:val="24"/>
          <w:szCs w:val="24"/>
        </w:rPr>
        <w:t xml:space="preserve">» на 2026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-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2028 годы», утвержденной постановлением администрации Печенгского муниципального округа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от 12.11.2025 № 183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, в целях повышения эффективности и результативности расходования бюджетных средств,</w:t>
      </w:r>
      <w:r>
        <w:rPr>
          <w:color w:val="auto"/>
          <w:sz w:val="24"/>
          <w:szCs w:val="24"/>
        </w:rPr>
      </w:r>
    </w:p>
    <w:p>
      <w:pPr>
        <w:ind w:firstLine="7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ПОСТАНОВЛЯЮ:</w:t>
      </w:r>
      <w:r>
        <w:rPr>
          <w:b/>
          <w:bCs/>
          <w:color w:val="auto"/>
          <w:sz w:val="24"/>
          <w:szCs w:val="24"/>
        </w:rPr>
      </w:r>
    </w:p>
    <w:p>
      <w:pPr>
        <w:ind w:right="-5"/>
        <w:jc w:val="both"/>
        <w:widowControl w:val="off"/>
        <w:tabs>
          <w:tab w:val="left" w:pos="70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 План реализации муниципальной программы Печенгского муниципального округа «Обеспечение </w:t>
      </w:r>
      <w:r>
        <w:rPr>
          <w:color w:val="auto"/>
          <w:sz w:val="24"/>
          <w:szCs w:val="24"/>
        </w:rPr>
        <w:t xml:space="preserve">социальной стабильности</w:t>
      </w:r>
      <w:r>
        <w:rPr>
          <w:color w:val="auto"/>
          <w:sz w:val="24"/>
          <w:szCs w:val="24"/>
        </w:rPr>
        <w:t xml:space="preserve">» на 2026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-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2028 годы, утвержденный постановлением администрации Печенгского муниципального округа от 1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.11.2025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№ 18</w:t>
      </w:r>
      <w:r>
        <w:rPr>
          <w:color w:val="auto"/>
          <w:sz w:val="24"/>
          <w:szCs w:val="24"/>
        </w:rPr>
        <w:t xml:space="preserve">73,</w:t>
      </w:r>
      <w:r>
        <w:rPr>
          <w:color w:val="auto"/>
          <w:sz w:val="24"/>
          <w:szCs w:val="24"/>
        </w:rPr>
        <w:t xml:space="preserve"> изложить в редакции согласно приложению.</w:t>
      </w:r>
      <w:r>
        <w:rPr>
          <w:color w:val="auto"/>
          <w:sz w:val="24"/>
          <w:szCs w:val="24"/>
        </w:rPr>
      </w:r>
    </w:p>
    <w:p>
      <w:pPr>
        <w:ind w:right="-5"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 Настоящее постановление вступает в силу с момента подписания.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 Настоящее постановление разместить на сайте Печенгского муниципального округа в сети Интернет.</w:t>
      </w:r>
      <w:r>
        <w:rPr>
          <w:color w:val="auto"/>
          <w:sz w:val="24"/>
          <w:szCs w:val="24"/>
        </w:rPr>
      </w:r>
    </w:p>
    <w:p>
      <w:pPr>
        <w:ind w:right="-5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right="-5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Глава Печенгского муниципального округа                                                        </w:t>
      </w:r>
      <w:r>
        <w:rPr>
          <w:color w:val="auto"/>
          <w:sz w:val="24"/>
          <w:szCs w:val="24"/>
        </w:rPr>
        <w:t xml:space="preserve">   </w:t>
      </w:r>
      <w:r>
        <w:rPr>
          <w:color w:val="auto"/>
          <w:sz w:val="24"/>
          <w:szCs w:val="24"/>
        </w:rPr>
        <w:t xml:space="preserve">А.С. </w:t>
      </w:r>
      <w:r>
        <w:rPr>
          <w:color w:val="auto"/>
          <w:sz w:val="24"/>
          <w:szCs w:val="24"/>
        </w:rPr>
        <w:t xml:space="preserve">Пеньшин</w:t>
      </w:r>
      <w:r>
        <w:rPr>
          <w:color w:val="auto"/>
          <w:sz w:val="24"/>
          <w:szCs w:val="24"/>
        </w:rPr>
      </w:r>
    </w:p>
    <w:p>
      <w:pPr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200" w:line="276" w:lineRule="auto"/>
      </w:pPr>
      <w:r/>
      <w:r/>
    </w:p>
    <w:p>
      <w:pPr>
        <w:spacing w:after="200" w:line="276" w:lineRule="auto"/>
      </w:pPr>
      <w:r/>
      <w:r/>
    </w:p>
    <w:p>
      <w:pPr>
        <w:spacing w:after="200" w:line="276" w:lineRule="auto"/>
        <w:sectPr>
          <w:footnotePr/>
          <w:endnotePr/>
          <w:type w:val="nextPage"/>
          <w:pgSz w:w="11906" w:h="16838" w:orient="portrait"/>
          <w:pgMar w:top="720" w:right="720" w:bottom="720" w:left="1701" w:header="709" w:footer="709" w:gutter="0"/>
          <w:rtlGutter/>
          <w:cols w:num="1" w:sep="0" w:space="709" w:equalWidth="1"/>
          <w:docGrid w:linePitch="360"/>
        </w:sectPr>
      </w:pPr>
      <w:r>
        <w:t xml:space="preserve">Р</w:t>
      </w:r>
      <w:r>
        <w:t xml:space="preserve">удневская</w:t>
      </w:r>
      <w:r>
        <w:t xml:space="preserve"> М</w:t>
      </w:r>
      <w:r>
        <w:t xml:space="preserve">.А., </w:t>
      </w:r>
      <w:r>
        <w:t xml:space="preserve">51543</w:t>
      </w:r>
      <w:r/>
    </w:p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581"/>
        <w:gridCol w:w="2221"/>
        <w:gridCol w:w="1016"/>
        <w:gridCol w:w="719"/>
        <w:gridCol w:w="1417"/>
        <w:gridCol w:w="1418"/>
        <w:gridCol w:w="1417"/>
        <w:gridCol w:w="1418"/>
        <w:gridCol w:w="3685"/>
        <w:gridCol w:w="1560"/>
      </w:tblGrid>
      <w:tr>
        <w:tblPrEx/>
        <w:trPr>
          <w:trHeight w:val="570"/>
        </w:trPr>
        <w:tc>
          <w:tcPr>
            <w:gridSpan w:val="10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452" w:type="dxa"/>
            <w:vAlign w:val="center"/>
            <w:textDirection w:val="lrTb"/>
            <w:noWrap w:val="false"/>
          </w:tcPr>
          <w:p>
            <w:pPr>
              <w:contextualSpacing/>
              <w:ind w:left="110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                                                                                                                          к постановлению администрации                         </w:t>
            </w:r>
            <w:r>
              <w:rPr>
                <w:sz w:val="24"/>
                <w:szCs w:val="24"/>
              </w:rPr>
              <w:t xml:space="preserve">                                                                                                  Печенгского муниципального округа                                                                                                                          от </w:t>
            </w:r>
            <w:r>
              <w:rPr>
                <w:sz w:val="24"/>
                <w:szCs w:val="24"/>
              </w:rPr>
              <w:t xml:space="preserve">26.03.2026</w:t>
            </w:r>
            <w:bookmarkStart w:id="0" w:name="_GoBack"/>
            <w:r/>
            <w:bookmarkEnd w:id="0"/>
            <w:r>
              <w:rPr>
                <w:sz w:val="24"/>
                <w:szCs w:val="24"/>
              </w:rPr>
              <w:t xml:space="preserve"> № </w:t>
            </w:r>
            <w:r>
              <w:rPr>
                <w:sz w:val="24"/>
                <w:szCs w:val="24"/>
              </w:rPr>
              <w:t xml:space="preserve">426а</w:t>
            </w:r>
            <w:r>
              <w:rPr>
                <w:sz w:val="24"/>
                <w:szCs w:val="24"/>
              </w:rPr>
            </w:r>
          </w:p>
          <w:p>
            <w:pPr>
              <w:contextualSpacing/>
              <w:ind w:left="110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contextualSpacing/>
              <w:ind w:left="110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Приложение                                                                                                                           к постановлению администрации     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                                      Печенгского муниципального округа                                                                                                                          от 14.11.2025 № 1873</w:t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6"/>
                <w:szCs w:val="26"/>
              </w:rPr>
            </w:pPr>
            <w:r>
              <w:rPr>
                <w:b/>
                <w:bCs/>
                <w:color w:val="auto"/>
                <w:sz w:val="26"/>
                <w:szCs w:val="26"/>
              </w:rPr>
            </w:r>
            <w:r>
              <w:rPr>
                <w:b/>
                <w:bCs/>
                <w:color w:val="auto"/>
                <w:sz w:val="26"/>
                <w:szCs w:val="26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ПЛАН</w:t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реализации муниципальной программы Печенгского муниципального округа «Обеспечение социальной стабильности» </w:t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 на 2026 - 2028 годы</w:t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39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r>
              <w:rPr>
                <w:sz w:val="18"/>
                <w:szCs w:val="18"/>
              </w:rPr>
              <w:t xml:space="preserve">п</w:t>
            </w:r>
            <w:r>
              <w:rPr>
                <w:sz w:val="18"/>
                <w:szCs w:val="18"/>
              </w:rPr>
              <w:t xml:space="preserve">/п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программа,  направление (подпрограмма), комплексы процессных </w:t>
            </w:r>
            <w:r>
              <w:rPr>
                <w:sz w:val="18"/>
                <w:szCs w:val="18"/>
              </w:rPr>
              <w:t xml:space="preserve">и(</w:t>
            </w:r>
            <w:r>
              <w:rPr>
                <w:sz w:val="18"/>
                <w:szCs w:val="18"/>
              </w:rPr>
              <w:t xml:space="preserve">или) проектных мероприятий, мероприятие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01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Годы выполнения</w:t>
            </w:r>
            <w:r>
              <w:rPr>
                <w:sz w:val="18"/>
                <w:szCs w:val="18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8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Объемы и источники финансирования (рублей)</w:t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Связь комплексов процессных </w:t>
            </w:r>
            <w:r>
              <w:rPr>
                <w:color w:val="auto"/>
                <w:sz w:val="18"/>
                <w:szCs w:val="18"/>
              </w:rPr>
              <w:t xml:space="preserve">и(</w:t>
            </w:r>
            <w:r>
              <w:rPr>
                <w:color w:val="auto"/>
                <w:sz w:val="18"/>
                <w:szCs w:val="18"/>
              </w:rPr>
              <w:t xml:space="preserve">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Соисполнители, участники </w:t>
            </w:r>
            <w:r>
              <w:rPr>
                <w:sz w:val="18"/>
                <w:szCs w:val="18"/>
                <w:vertAlign w:val="superscript"/>
              </w:rPr>
              <w:t xml:space="preserve">1</w:t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7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 годам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«Обеспечение социальной стабильности»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2026-2028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tabs>
                <w:tab w:val="left" w:pos="0" w:leader="none"/>
              </w:tabs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111 839 800,00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37 791 800,00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36 970 900,00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37 077 100,00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ind w:right="-31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-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Управляющий делами администрации; сектор муниципальной службы и кадров; специалист по работе с населением; ОРН; отдел образования; отдел </w:t>
            </w:r>
            <w:r>
              <w:rPr>
                <w:sz w:val="16"/>
                <w:szCs w:val="16"/>
              </w:rPr>
              <w:t xml:space="preserve">КСиМП</w:t>
            </w:r>
            <w:r>
              <w:rPr>
                <w:sz w:val="16"/>
                <w:szCs w:val="16"/>
              </w:rPr>
              <w:t xml:space="preserve">; КУИ; ОС и ЖКХ</w:t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МБ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26 451 590,00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9 655 631,00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8 345 416,00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8 450 543,00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ОБ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82 252 600,00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27 076 800,00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27 587 900,00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27 587 900,00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4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ФБ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 40 910,00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14 869,00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12 484,00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13 557,00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ВБС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3 094 700,00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1 044 500,00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1 025 100,00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1 025 100,00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1 </w:t>
            </w:r>
            <w:r>
              <w:rPr>
                <w:sz w:val="18"/>
                <w:szCs w:val="18"/>
              </w:rPr>
              <w:t xml:space="preserve">«Создание условий для </w:t>
            </w:r>
            <w:r>
              <w:rPr>
                <w:sz w:val="18"/>
                <w:szCs w:val="18"/>
              </w:rPr>
              <w:t xml:space="preserve">роста благосостояния граждан – получателей мер социальной поддержки»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tabs>
                <w:tab w:val="left" w:pos="0" w:leader="none"/>
              </w:tabs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100 153 399,00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33 759 173,00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33 197 113,00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33 197 113,00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0.1. Доля граждан, получивших социальную поддержку, от общего числа граждан, которым назначена социальная поддержка</w:t>
            </w:r>
            <w:r>
              <w:rPr>
                <w:color w:val="auto"/>
                <w:sz w:val="16"/>
                <w:szCs w:val="16"/>
              </w:rPr>
              <w:br/>
              <w:t xml:space="preserve">0.2. Доля муниципальных служащих своевременно получающих пенсию за выслугу лет </w:t>
            </w:r>
            <w:r>
              <w:rPr>
                <w:color w:val="auto"/>
                <w:sz w:val="16"/>
                <w:szCs w:val="16"/>
              </w:rPr>
              <w:t xml:space="preserve">от общей численности муниципальных служащих, которым назначена пенсия за выслугу лет</w:t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0.3. Доля почетных граждан г. Заполярный, граждан, награжденных почетным знаком «За заслуги перед </w:t>
            </w:r>
            <w:r>
              <w:rPr>
                <w:color w:val="auto"/>
                <w:sz w:val="16"/>
                <w:szCs w:val="16"/>
              </w:rPr>
              <w:t xml:space="preserve">Печенгским</w:t>
            </w:r>
            <w:r>
              <w:rPr>
                <w:color w:val="auto"/>
                <w:sz w:val="16"/>
                <w:szCs w:val="16"/>
              </w:rPr>
              <w:t xml:space="preserve"> округом», граждан, которым присвоено почетное звание «Почетный гражданин «Печенгского муниципального округа», своевременно получивших социальную поддержку от общего числа граждан, которым присвоены такие звания          </w:t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0.4. Выполнение обязательств, связанных с захоронением погибших в ходе специальной военной операции </w:t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Управляющий делами администрации; </w:t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муниципальной </w:t>
            </w:r>
            <w:r>
              <w:rPr>
                <w:sz w:val="16"/>
                <w:szCs w:val="16"/>
              </w:rPr>
              <w:t xml:space="preserve">службы и кадров; специалист по работе с населением; </w:t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ОРН;</w:t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отдел образования;</w:t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отдел </w:t>
            </w:r>
            <w:r>
              <w:rPr>
                <w:sz w:val="16"/>
                <w:szCs w:val="16"/>
              </w:rPr>
              <w:t xml:space="preserve">КСиМП</w:t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3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20 930 799,00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7 692 373,00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6 619 213,00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6 619 213,00  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26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79 222 600,00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26 066 800,00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26 577 900,00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26 577 900,00  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13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259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«Выплата пенсий за выслугу лет муниципальным служащим и лицам, замещавшим муниципальные должности в органах местного самоуправления»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19 571 400,00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6 523 800,00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6 523 800,00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6 523 800,00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Ведение реестра муниципальных должностей. Расчет, назначение и выплата пенсии за выслугу лет муниципальным служащим и лицам, замещавшим муниципальные должности в органах местного самоуправления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сектор муниципальной службы и кадров</w:t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19 571 400,00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6 523 800,00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6 523 800,00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6 523 800,00  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9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18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91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28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типа»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72 546 900,00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23 870 300,00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24 338 300,00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24 338 300,00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Расчет, назначение и выплата компенсации расходов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отдел образования, отдел </w:t>
            </w:r>
            <w:r>
              <w:rPr>
                <w:color w:val="auto"/>
                <w:sz w:val="18"/>
                <w:szCs w:val="18"/>
              </w:rPr>
              <w:t xml:space="preserve">КСиМП</w:t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72 546 900,00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23 870 300,00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24 338 300,00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24 338 300,00  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1.3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Merge w:val="restart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Мероприятие «Выплата денежного вознаграждения гражданам, </w:t>
            </w:r>
            <w:r>
              <w:rPr>
                <w:color w:val="auto"/>
                <w:sz w:val="18"/>
                <w:szCs w:val="18"/>
              </w:rPr>
              <w:t xml:space="preserve">удостоенных</w:t>
            </w:r>
            <w:r>
              <w:rPr>
                <w:color w:val="auto"/>
                <w:sz w:val="18"/>
                <w:szCs w:val="18"/>
              </w:rPr>
              <w:t xml:space="preserve"> звания «Почетный гражданин города Заполярный», «Почетный гражданин Печенгского муниципального округа», награждаемых  почетным знаком «За заслуги перед </w:t>
            </w:r>
            <w:r>
              <w:rPr>
                <w:color w:val="auto"/>
                <w:sz w:val="18"/>
                <w:szCs w:val="18"/>
              </w:rPr>
              <w:t xml:space="preserve">Печенгским</w:t>
            </w:r>
            <w:r>
              <w:rPr>
                <w:color w:val="auto"/>
                <w:sz w:val="18"/>
                <w:szCs w:val="18"/>
              </w:rPr>
              <w:t xml:space="preserve"> округом»</w:t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286 239,00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95 413,00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95 413,00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95 413,00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Назначение и выплата вознаграждения гражданам, </w:t>
            </w:r>
            <w:r>
              <w:rPr>
                <w:sz w:val="16"/>
                <w:szCs w:val="16"/>
              </w:rPr>
              <w:t xml:space="preserve">удостоенных</w:t>
            </w:r>
            <w:r>
              <w:rPr>
                <w:sz w:val="16"/>
                <w:szCs w:val="16"/>
              </w:rPr>
              <w:t xml:space="preserve"> звания «Почетный гражданин города Заполярный», «Почетный гражданин Печенгского муниципального округа», награждаемых почетным знаком «За заслуги перед </w:t>
            </w:r>
            <w:r>
              <w:rPr>
                <w:sz w:val="16"/>
                <w:szCs w:val="16"/>
              </w:rPr>
              <w:t xml:space="preserve">Печенгским</w:t>
            </w:r>
            <w:r>
              <w:rPr>
                <w:sz w:val="16"/>
                <w:szCs w:val="16"/>
              </w:rPr>
              <w:t xml:space="preserve"> округом»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ОРН</w:t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286 239,00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95 413,00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95 413,00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95 413,00  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84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1.4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«Исполнение государственных полномочий по предоставлению и организации выплаты вознаграждения опекунам совершеннолетних недееспособных граждан»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6 675 700,00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2 196 500,00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2 239 600,00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2 239 600,00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Рассмотрение документов, назначение, заключение договора выплаты вознаграждения опекунам совершеннолетних недееспособных граждан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специалист по работе с населением</w:t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2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8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6 675 700,00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2 196 500,00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2 239 600,00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2 239 600,00  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7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4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1.5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«Проведение мероприятий, связанных с захоронением погибших в ходе специальной военной операции»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1 073 160,00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1 073 160,00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0,00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0,00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Выполнение обязательств, связанных с захоронением погибших в ходе специальной военной операции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Управляющий делами администрации</w:t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6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1 073 160,00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1 073 160,00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2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2</w:t>
            </w:r>
            <w:r>
              <w:rPr>
                <w:sz w:val="18"/>
                <w:szCs w:val="18"/>
              </w:rPr>
              <w:t xml:space="preserve"> «Создание условий для эффективной интеграции инвалидов в общество»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1 470 581,00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491 207,00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490 187,00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489 187,00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0.5. Доля приоритетных объектов социальной и</w:t>
            </w:r>
            <w:r>
              <w:rPr>
                <w:sz w:val="16"/>
                <w:szCs w:val="16"/>
              </w:rPr>
              <w:t xml:space="preserve">нфраструктуры (далее - ОСИ)  Печенгского муниципального округа занесенных в электронный реестр ОСИ Мурманской области, а также размещенных на электронной карте доступности интернет портала "Жить вместе" государственной программы Российской федерации "Досту</w:t>
            </w:r>
            <w:r>
              <w:rPr>
                <w:sz w:val="16"/>
                <w:szCs w:val="16"/>
              </w:rPr>
              <w:t xml:space="preserve">пная среда"                                                                            0.6. Доля исполненных обоснованных заявлений (обращений) по обеспечению доступности в МКД, в которых проживают инвалиды от общего числа поступивших заявлений (обращений)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ОРН</w:t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1 470 581,00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491 207,00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490 187,00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489 187,00  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0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1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7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Мероприятие «Обеспечение доступности в многоквартирных домах»</w:t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        1 470 581,00   </w:t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          491 207,00   </w:t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          490 187,00   </w:t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         489 187,00   </w:t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Проведение мероприятий по обеспечению доступности в многоквартирных домах (установка поручней, пандусов и т.д.)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ОРН</w:t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МБ</w:t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        1 470 581,00   </w:t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          491 207,00   </w:t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          490 187,00   </w:t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         489 187,00   </w:t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2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ОБ</w:t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ФБ</w:t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4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ВБС</w:t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1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«Участие в создании на территории Печенгского муниципального округа инвалидам и маломобильным группам населения условий для беспрепятственного доступа к объектам социальной </w:t>
            </w:r>
            <w:r>
              <w:rPr>
                <w:sz w:val="18"/>
                <w:szCs w:val="18"/>
              </w:rPr>
              <w:t xml:space="preserve">инфраструктуры, а также для беспрепятственного пользования средствами связи, информации, транспорта, размещение информации на </w:t>
            </w:r>
            <w:r>
              <w:rPr>
                <w:sz w:val="18"/>
                <w:szCs w:val="18"/>
              </w:rPr>
              <w:t xml:space="preserve">интернет-портале</w:t>
            </w:r>
            <w:r>
              <w:rPr>
                <w:sz w:val="18"/>
                <w:szCs w:val="18"/>
              </w:rPr>
              <w:t xml:space="preserve"> «Учимся жить вместе», государственной программы «Доступная среда» по паспортам доступности ОСИ Печенгского муниципального округа»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Размещение информации на </w:t>
            </w:r>
            <w:r>
              <w:rPr>
                <w:sz w:val="16"/>
                <w:szCs w:val="16"/>
              </w:rPr>
              <w:t xml:space="preserve">Интернет-портале</w:t>
            </w:r>
            <w:r>
              <w:rPr>
                <w:sz w:val="16"/>
                <w:szCs w:val="16"/>
              </w:rPr>
              <w:t xml:space="preserve"> «Учимся жить вместе» Государственной программы «Доступная среда» по паспортам доступности ОСИ Печенгского муниципального округа»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ОРН </w:t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4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2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6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ВБС</w:t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3 </w:t>
            </w:r>
            <w:r>
              <w:rPr>
                <w:sz w:val="18"/>
                <w:szCs w:val="18"/>
              </w:rPr>
              <w:t xml:space="preserve">«Создание условий для социальной помощи семьям»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10 215 820,00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3 541 420,00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3 283 600,00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3 390 800,00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0.7. Число семей участников Государственной программы получивших социальную выплату на приобретение (строительство) жилья от общего числа семей, обратившихся за получением меры социальной поддержки.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ОС и ЖКХ; </w:t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КУИ</w:t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6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4 050 210,00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1 472 051,00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1 236 016,00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1 342 143,00  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3 030 000,00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1 010 000,00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1 010 000,00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1 010 000,00  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40 910,00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14 869,00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12 484,00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13 557,00  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3 094 700,00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1 044 500,00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1 025 100,00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1 025 100,00  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3.1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«Предоставление социальных выплат молодым семьям»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2026-2028</w:t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7 185 820,00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2 531 420,00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2 273 600,00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2 380 800,00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рассмотрения предоставленных документов, расчёт, назначение, обеспечение выплат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 и ЖКХ</w:t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9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4 050 210,00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1 472 051,00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1 236 016,00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1 342 143,00  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6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40 910,00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14 869,00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12 484,00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13 557,00  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3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3 094 700,00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1 044 500,00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1 025 100,00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1 025 100,00  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3.2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«Предоставление единовременной денежной выплаты многодетным семьям на улучшение жилищных условий»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3 030 000,00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1 010 000,00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1 010 000,00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1 010 000,00   </w:t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рассмотрения предоставленных документов, своевременное направление на единовременные выплаты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3 030 000,00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1 010 000,00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1 010 000,00   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1 010 000,00  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3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ind w:left="5529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spacing w:line="276" w:lineRule="auto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  <w:vertAlign w:val="superscript"/>
        </w:rPr>
        <w:t xml:space="preserve">1 </w:t>
      </w:r>
      <w:r>
        <w:rPr>
          <w:color w:val="auto"/>
          <w:sz w:val="18"/>
          <w:szCs w:val="18"/>
          <w:u w:val="single"/>
        </w:rPr>
        <w:t xml:space="preserve">Соисполнители, участники:</w:t>
      </w:r>
      <w:r>
        <w:rPr>
          <w:color w:val="auto"/>
          <w:sz w:val="18"/>
          <w:szCs w:val="18"/>
          <w:u w:val="single"/>
        </w:rPr>
      </w:r>
    </w:p>
    <w:p>
      <w:pPr>
        <w:jc w:val="both"/>
        <w:spacing w:line="276" w:lineRule="auto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Управляющий делами администрации – Администрация Печенгского муниципального округа (Управляющий делами администрации Печенгского муниципального округа);</w:t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сектор муниципальной службы и кадров – Администрация Печенгского муниципального округа (Сектор муниципальной службы и кадров администрации Печенгского муниципального округа);</w:t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специалист по работе с населением – Администрация Печенгского муниципального округа (Специалист по работе с населением администрации Печенгского муниципального округа);</w:t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ОРН – отдел работы с населением муниципального казенного учреждения «Управление по обеспечению деятельности администрации Печенгского муниципального округа»;</w:t>
      </w:r>
      <w:r>
        <w:rPr>
          <w:color w:val="auto"/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color w:val="auto"/>
          <w:sz w:val="18"/>
          <w:szCs w:val="18"/>
        </w:rPr>
        <w:t xml:space="preserve">- отдел образования - </w:t>
      </w:r>
      <w:r>
        <w:rPr>
          <w:sz w:val="18"/>
          <w:szCs w:val="18"/>
        </w:rPr>
        <w:t xml:space="preserve">Отдел образования администрации Печенгского муниципального округа;</w:t>
      </w:r>
      <w:r>
        <w:rPr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отдел </w:t>
      </w:r>
      <w:r>
        <w:rPr>
          <w:color w:val="auto"/>
          <w:sz w:val="18"/>
          <w:szCs w:val="18"/>
        </w:rPr>
        <w:t xml:space="preserve">КСиМП</w:t>
      </w:r>
      <w:r>
        <w:rPr>
          <w:color w:val="auto"/>
          <w:sz w:val="18"/>
          <w:szCs w:val="18"/>
        </w:rPr>
        <w:t xml:space="preserve"> – Отдел культуры, спорта и молодежной политики администрации Печенгского муниципального округа;</w:t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КУИ – Комитет по управлению имуществом администрации Печенгского муниципального округа;</w:t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ОС и ЖКХ –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округа).</w:t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</w:rPr>
        <w:t xml:space="preserve">Используемые сокращения:</w:t>
      </w:r>
      <w:r>
        <w:rPr>
          <w:color w:val="auto"/>
          <w:sz w:val="18"/>
          <w:szCs w:val="18"/>
          <w:u w:val="single"/>
        </w:rPr>
      </w:r>
    </w:p>
    <w:p>
      <w:pPr>
        <w:jc w:val="both"/>
        <w:rPr>
          <w:bCs/>
          <w:sz w:val="16"/>
          <w:szCs w:val="16"/>
        </w:rPr>
      </w:pPr>
      <w:r>
        <w:rPr>
          <w:color w:val="auto"/>
          <w:sz w:val="18"/>
          <w:szCs w:val="18"/>
        </w:rPr>
        <w:t xml:space="preserve">МБ – местный бюджет; ОБ – областной бюджет; ФБ – федеральный бюджет; ВБС – внебюджетные средства</w:t>
      </w:r>
      <w:r>
        <w:rPr>
          <w:color w:val="auto"/>
          <w:sz w:val="18"/>
          <w:szCs w:val="18"/>
        </w:rPr>
        <w:t xml:space="preserve">.</w:t>
      </w:r>
      <w:r>
        <w:rPr>
          <w:color w:val="auto"/>
          <w:sz w:val="18"/>
          <w:szCs w:val="18"/>
        </w:rPr>
        <w:t xml:space="preserve">».</w:t>
      </w:r>
      <w:r>
        <w:rPr>
          <w:bCs/>
          <w:sz w:val="16"/>
          <w:szCs w:val="16"/>
        </w:rPr>
      </w:r>
    </w:p>
    <w:p>
      <w:pPr>
        <w:jc w:val="both"/>
        <w:tabs>
          <w:tab w:val="left" w:pos="927" w:leader="none"/>
        </w:tabs>
        <w:rPr>
          <w:bCs/>
          <w:sz w:val="24"/>
          <w:szCs w:val="24"/>
        </w:rPr>
        <w:sectPr>
          <w:footnotePr/>
          <w:endnotePr/>
          <w:type w:val="nextPage"/>
          <w:pgSz w:w="16838" w:h="11906" w:orient="landscape"/>
          <w:pgMar w:top="993" w:right="536" w:bottom="567" w:left="1135" w:header="709" w:footer="709" w:gutter="0"/>
          <w:rtlGutter/>
          <w:cols w:num="1" w:sep="0" w:space="709" w:equalWidth="1"/>
          <w:docGrid w:linePitch="360"/>
        </w:sect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707" w:bottom="426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imesNewRomanPSMT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isLgl w:val="false"/>
      <w:suff w:val="tab"/>
      <w:lvlText w:val="%2)"/>
      <w:lvlJc w:val="left"/>
      <w:pPr>
        <w:ind w:left="325" w:hanging="21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370" w:hanging="21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421" w:hanging="21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471" w:hanging="21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522" w:hanging="21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72" w:hanging="21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23" w:hanging="21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3" w:hanging="218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07" w:hanging="340"/>
        <w:tabs>
          <w:tab w:val="num" w:pos="907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7" w:hanging="2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67" w:hanging="20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35" w:hanging="20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02" w:hanging="20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970" w:hanging="20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937" w:hanging="20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05" w:hanging="20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872" w:hanging="20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840" w:hanging="201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1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81" w:hanging="21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63" w:hanging="21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45" w:hanging="21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27" w:hanging="21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09" w:hanging="21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91" w:hanging="21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73" w:hanging="21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55" w:hanging="216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64" w:hanging="1155"/>
        <w:tabs>
          <w:tab w:val="num" w:pos="1864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  <w:tabs>
          <w:tab w:val="num" w:pos="1060" w:leader="none"/>
        </w:tabs>
      </w:pPr>
      <w:rPr>
        <w:rFonts w:hint="default"/>
        <w:color w:val="000000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1"/>
      <w:numFmt w:val="decimal"/>
      <w:isLgl w:val="false"/>
      <w:suff w:val="tab"/>
      <w:lvlText w:val="%1"/>
      <w:lvlJc w:val="left"/>
      <w:pPr>
        <w:ind w:left="1391" w:hanging="540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391" w:hanging="54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52"/>
      </w:pPr>
      <w:rPr>
        <w:rFonts w:hint="default"/>
        <w:spacing w:val="0"/>
        <w:lang w:val="ru-RU" w:eastAsia="en-US" w:bidi="ar-SA"/>
      </w:rPr>
    </w:lvl>
    <w:lvl w:ilvl="3">
      <w:start w:val="1"/>
      <w:numFmt w:val="bullet"/>
      <w:isLgl w:val="false"/>
      <w:suff w:val="tab"/>
      <w:lvlText w:val="-"/>
      <w:lvlJc w:val="left"/>
      <w:pPr>
        <w:ind w:left="143" w:hanging="85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35" w:hanging="85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313" w:hanging="85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92" w:hanging="85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70" w:hanging="85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49" w:hanging="852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</w:rPr>
    </w:lvl>
    <w:lvl w:ilvl="1">
      <w:start w:val="1"/>
      <w:numFmt w:val="bullet"/>
      <w:isLgl w:val="false"/>
      <w:suff w:val="tab"/>
      <w:lvlText w:val=""/>
      <w:lvlJc w:val="left"/>
      <w:pPr>
        <w:ind w:left="1364" w:hanging="284"/>
        <w:tabs>
          <w:tab w:val="num" w:pos="1364" w:leader="none"/>
        </w:tabs>
      </w:pPr>
      <w:rPr>
        <w:rFonts w:hint="default" w:ascii="Wingdings" w:hAnsi="Wingdings" w:cs="Wingdings"/>
        <w:b w:val="0"/>
        <w:color w:val="auto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 w:cs="Wingdings"/>
      </w:rPr>
    </w:lvl>
  </w:abstractNum>
  <w:num w:numId="1">
    <w:abstractNumId w:val="6"/>
  </w:num>
  <w:num w:numId="2">
    <w:abstractNumId w:val="7"/>
  </w:num>
  <w:num w:numId="3">
    <w:abstractNumId w:val="13"/>
  </w:num>
  <w:num w:numId="4">
    <w:abstractNumId w:val="11"/>
  </w:num>
  <w:num w:numId="5">
    <w:abstractNumId w:val="4"/>
  </w:num>
  <w:num w:numId="6">
    <w:abstractNumId w:val="1"/>
  </w:num>
  <w:num w:numId="7">
    <w:abstractNumId w:val="10"/>
  </w:num>
  <w:num w:numId="8">
    <w:abstractNumId w:val="0"/>
  </w:num>
  <w:num w:numId="9">
    <w:abstractNumId w:val="9"/>
  </w:num>
  <w:num w:numId="10">
    <w:abstractNumId w:val="3"/>
  </w:num>
  <w:num w:numId="11">
    <w:abstractNumId w:val="5"/>
  </w:num>
  <w:num w:numId="12">
    <w:abstractNumId w:val="2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82">
    <w:name w:val="Heading 1"/>
    <w:basedOn w:val="681"/>
    <w:next w:val="681"/>
    <w:link w:val="7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3">
    <w:name w:val="Heading 2"/>
    <w:basedOn w:val="681"/>
    <w:next w:val="681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4">
    <w:name w:val="Heading 3"/>
    <w:basedOn w:val="681"/>
    <w:next w:val="681"/>
    <w:link w:val="71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5">
    <w:name w:val="Heading 4"/>
    <w:basedOn w:val="681"/>
    <w:next w:val="681"/>
    <w:link w:val="716"/>
    <w:qFormat/>
    <w:pPr>
      <w:ind w:firstLine="709"/>
      <w:keepNext/>
      <w:outlineLvl w:val="3"/>
    </w:pPr>
    <w:rPr>
      <w:sz w:val="28"/>
    </w:rPr>
  </w:style>
  <w:style w:type="paragraph" w:styleId="686">
    <w:name w:val="Heading 5"/>
    <w:basedOn w:val="681"/>
    <w:next w:val="681"/>
    <w:link w:val="71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681"/>
    <w:next w:val="681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8">
    <w:name w:val="Heading 7"/>
    <w:basedOn w:val="681"/>
    <w:next w:val="681"/>
    <w:link w:val="71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9">
    <w:name w:val="Heading 8"/>
    <w:basedOn w:val="681"/>
    <w:next w:val="681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0">
    <w:name w:val="Heading 9"/>
    <w:basedOn w:val="681"/>
    <w:next w:val="681"/>
    <w:link w:val="72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1" w:default="1">
    <w:name w:val="Default Paragraph Font"/>
    <w:uiPriority w:val="1"/>
    <w:semiHidden/>
    <w:unhideWhenUsed/>
  </w:style>
  <w:style w:type="table" w:styleId="6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3" w:default="1">
    <w:name w:val="No List"/>
    <w:uiPriority w:val="99"/>
    <w:semiHidden/>
    <w:unhideWhenUsed/>
  </w:style>
  <w:style w:type="table" w:styleId="694" w:customStyle="1">
    <w:name w:val="Plain Table 1"/>
    <w:basedOn w:val="69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 w:customStyle="1">
    <w:name w:val="Plain Table 2"/>
    <w:basedOn w:val="69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 w:customStyle="1">
    <w:name w:val="Plain Table 3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 w:customStyle="1">
    <w:name w:val="Plain Table 4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 w:customStyle="1">
    <w:name w:val="Plain Table 5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 w:customStyle="1">
    <w:name w:val="Grid Table 1 Light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 w:customStyle="1">
    <w:name w:val="Grid Table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 w:customStyle="1">
    <w:name w:val="Grid Table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 w:customStyle="1">
    <w:name w:val="Grid Table 4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 w:customStyle="1">
    <w:name w:val="Grid Table 5 Dark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4" w:customStyle="1">
    <w:name w:val="Grid Table 6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5" w:customStyle="1">
    <w:name w:val="Grid Table 7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06" w:customStyle="1">
    <w:name w:val="List Table 1 Light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 w:customStyle="1">
    <w:name w:val="List Table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8" w:customStyle="1">
    <w:name w:val="List Table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List Table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List Table 5 Dark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1" w:customStyle="1">
    <w:name w:val="List Table 6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2" w:customStyle="1">
    <w:name w:val="List Table 7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13" w:customStyle="1">
    <w:name w:val="Заголовок 1 Знак"/>
    <w:basedOn w:val="691"/>
    <w:link w:val="682"/>
    <w:uiPriority w:val="9"/>
    <w:rPr>
      <w:rFonts w:ascii="Arial" w:hAnsi="Arial" w:eastAsia="Arial" w:cs="Arial"/>
      <w:sz w:val="40"/>
      <w:szCs w:val="40"/>
    </w:rPr>
  </w:style>
  <w:style w:type="character" w:styleId="714" w:customStyle="1">
    <w:name w:val="Заголовок 2 Знак"/>
    <w:basedOn w:val="691"/>
    <w:link w:val="683"/>
    <w:uiPriority w:val="9"/>
    <w:rPr>
      <w:rFonts w:ascii="Arial" w:hAnsi="Arial" w:eastAsia="Arial" w:cs="Arial"/>
      <w:sz w:val="34"/>
    </w:rPr>
  </w:style>
  <w:style w:type="character" w:styleId="715" w:customStyle="1">
    <w:name w:val="Заголовок 3 Знак"/>
    <w:basedOn w:val="691"/>
    <w:link w:val="684"/>
    <w:uiPriority w:val="9"/>
    <w:rPr>
      <w:rFonts w:ascii="Arial" w:hAnsi="Arial" w:eastAsia="Arial" w:cs="Arial"/>
      <w:sz w:val="30"/>
      <w:szCs w:val="30"/>
    </w:rPr>
  </w:style>
  <w:style w:type="character" w:styleId="716" w:customStyle="1">
    <w:name w:val="Заголовок 4 Знак"/>
    <w:basedOn w:val="691"/>
    <w:link w:val="685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717" w:customStyle="1">
    <w:name w:val="Заголовок 5 Знак"/>
    <w:basedOn w:val="691"/>
    <w:link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718" w:customStyle="1">
    <w:name w:val="Заголовок 6 Знак"/>
    <w:basedOn w:val="691"/>
    <w:link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719" w:customStyle="1">
    <w:name w:val="Заголовок 7 Знак"/>
    <w:basedOn w:val="69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0" w:customStyle="1">
    <w:name w:val="Заголовок 8 Знак"/>
    <w:basedOn w:val="691"/>
    <w:link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721" w:customStyle="1">
    <w:name w:val="Заголовок 9 Знак"/>
    <w:basedOn w:val="691"/>
    <w:link w:val="690"/>
    <w:uiPriority w:val="9"/>
    <w:rPr>
      <w:rFonts w:ascii="Arial" w:hAnsi="Arial" w:eastAsia="Arial" w:cs="Arial"/>
      <w:i/>
      <w:iCs/>
      <w:sz w:val="21"/>
      <w:szCs w:val="21"/>
    </w:rPr>
  </w:style>
  <w:style w:type="character" w:styleId="722" w:customStyle="1">
    <w:name w:val="Heading 1 Char"/>
    <w:basedOn w:val="691"/>
    <w:uiPriority w:val="9"/>
    <w:rPr>
      <w:rFonts w:ascii="Arial" w:hAnsi="Arial" w:eastAsia="Arial" w:cs="Arial"/>
      <w:sz w:val="40"/>
      <w:szCs w:val="40"/>
    </w:rPr>
  </w:style>
  <w:style w:type="character" w:styleId="723" w:customStyle="1">
    <w:name w:val="Heading 2 Char"/>
    <w:basedOn w:val="691"/>
    <w:uiPriority w:val="9"/>
    <w:rPr>
      <w:rFonts w:ascii="Arial" w:hAnsi="Arial" w:eastAsia="Arial" w:cs="Arial"/>
      <w:sz w:val="34"/>
    </w:rPr>
  </w:style>
  <w:style w:type="character" w:styleId="724" w:customStyle="1">
    <w:name w:val="Heading 3 Char"/>
    <w:basedOn w:val="691"/>
    <w:uiPriority w:val="9"/>
    <w:rPr>
      <w:rFonts w:ascii="Arial" w:hAnsi="Arial" w:eastAsia="Arial" w:cs="Arial"/>
      <w:sz w:val="30"/>
      <w:szCs w:val="30"/>
    </w:rPr>
  </w:style>
  <w:style w:type="character" w:styleId="725" w:customStyle="1">
    <w:name w:val="Heading 5 Char"/>
    <w:basedOn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26" w:customStyle="1">
    <w:name w:val="Heading 6 Char"/>
    <w:basedOn w:val="691"/>
    <w:uiPriority w:val="9"/>
    <w:rPr>
      <w:rFonts w:ascii="Arial" w:hAnsi="Arial" w:eastAsia="Arial" w:cs="Arial"/>
      <w:b/>
      <w:bCs/>
      <w:sz w:val="22"/>
      <w:szCs w:val="22"/>
    </w:rPr>
  </w:style>
  <w:style w:type="character" w:styleId="727" w:customStyle="1">
    <w:name w:val="Heading 7 Char"/>
    <w:basedOn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8" w:customStyle="1">
    <w:name w:val="Heading 8 Char"/>
    <w:basedOn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729" w:customStyle="1">
    <w:name w:val="Heading 9 Char"/>
    <w:basedOn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730" w:customStyle="1">
    <w:name w:val="Title Char"/>
    <w:basedOn w:val="691"/>
    <w:uiPriority w:val="10"/>
    <w:rPr>
      <w:sz w:val="48"/>
      <w:szCs w:val="48"/>
    </w:rPr>
  </w:style>
  <w:style w:type="character" w:styleId="731" w:customStyle="1">
    <w:name w:val="Subtitle Char"/>
    <w:basedOn w:val="691"/>
    <w:uiPriority w:val="11"/>
    <w:rPr>
      <w:sz w:val="24"/>
      <w:szCs w:val="24"/>
    </w:rPr>
  </w:style>
  <w:style w:type="character" w:styleId="732" w:customStyle="1">
    <w:name w:val="Quote Char"/>
    <w:uiPriority w:val="29"/>
    <w:rPr>
      <w:i/>
    </w:rPr>
  </w:style>
  <w:style w:type="character" w:styleId="733" w:customStyle="1">
    <w:name w:val="Intense Quote Char"/>
    <w:uiPriority w:val="30"/>
    <w:rPr>
      <w:i/>
    </w:rPr>
  </w:style>
  <w:style w:type="character" w:styleId="734" w:customStyle="1">
    <w:name w:val="Heading 4 Char"/>
    <w:basedOn w:val="691"/>
    <w:uiPriority w:val="9"/>
    <w:rPr>
      <w:rFonts w:ascii="Arial" w:hAnsi="Arial" w:eastAsia="Arial" w:cs="Arial"/>
      <w:b/>
      <w:bCs/>
      <w:sz w:val="26"/>
      <w:szCs w:val="26"/>
    </w:rPr>
  </w:style>
  <w:style w:type="paragraph" w:styleId="735">
    <w:name w:val="No Spacing"/>
    <w:uiPriority w:val="1"/>
    <w:qFormat/>
    <w:pPr>
      <w:spacing w:after="0" w:line="240" w:lineRule="auto"/>
    </w:pPr>
  </w:style>
  <w:style w:type="paragraph" w:styleId="736">
    <w:name w:val="Title"/>
    <w:basedOn w:val="681"/>
    <w:next w:val="681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 w:customStyle="1">
    <w:name w:val="Название Знак"/>
    <w:basedOn w:val="691"/>
    <w:link w:val="736"/>
    <w:uiPriority w:val="10"/>
    <w:rPr>
      <w:sz w:val="48"/>
      <w:szCs w:val="48"/>
    </w:rPr>
  </w:style>
  <w:style w:type="paragraph" w:styleId="738">
    <w:name w:val="Subtitle"/>
    <w:basedOn w:val="681"/>
    <w:next w:val="681"/>
    <w:link w:val="739"/>
    <w:uiPriority w:val="11"/>
    <w:qFormat/>
    <w:pPr>
      <w:spacing w:before="200" w:after="200"/>
    </w:pPr>
    <w:rPr>
      <w:sz w:val="24"/>
      <w:szCs w:val="24"/>
    </w:rPr>
  </w:style>
  <w:style w:type="character" w:styleId="739" w:customStyle="1">
    <w:name w:val="Подзаголовок Знак"/>
    <w:basedOn w:val="691"/>
    <w:link w:val="738"/>
    <w:uiPriority w:val="11"/>
    <w:rPr>
      <w:sz w:val="24"/>
      <w:szCs w:val="24"/>
    </w:rPr>
  </w:style>
  <w:style w:type="paragraph" w:styleId="740">
    <w:name w:val="Quote"/>
    <w:basedOn w:val="681"/>
    <w:next w:val="681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681"/>
    <w:next w:val="681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character" w:styleId="744" w:customStyle="1">
    <w:name w:val="Header Char"/>
    <w:basedOn w:val="691"/>
    <w:uiPriority w:val="99"/>
  </w:style>
  <w:style w:type="character" w:styleId="745" w:customStyle="1">
    <w:name w:val="Footer Char"/>
    <w:basedOn w:val="691"/>
    <w:uiPriority w:val="99"/>
  </w:style>
  <w:style w:type="paragraph" w:styleId="746">
    <w:name w:val="Caption"/>
    <w:basedOn w:val="681"/>
    <w:next w:val="68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7" w:customStyle="1">
    <w:name w:val="Caption Char"/>
    <w:uiPriority w:val="99"/>
  </w:style>
  <w:style w:type="table" w:styleId="748" w:customStyle="1">
    <w:name w:val="Table Grid Light"/>
    <w:basedOn w:val="69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9" w:customStyle="1">
    <w:name w:val="Таблица простая 11"/>
    <w:basedOn w:val="69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Таблица простая 21"/>
    <w:basedOn w:val="69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Таблица простая 31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 w:customStyle="1">
    <w:name w:val="Таблица простая 41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Таблица простая 51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 w:customStyle="1">
    <w:name w:val="Таблица-сетка 1 светлая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Таблица-сетка 2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Таблица-сетка 3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41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 w:customStyle="1">
    <w:name w:val="Grid Table 4 - Accent 1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7" w:customStyle="1">
    <w:name w:val="Grid Table 4 - Accent 2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8" w:customStyle="1">
    <w:name w:val="Grid Table 4 - Accent 3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9" w:customStyle="1">
    <w:name w:val="Grid Table 4 - Accent 4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0" w:customStyle="1">
    <w:name w:val="Grid Table 4 - Accent 5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1" w:customStyle="1">
    <w:name w:val="Grid Table 4 - Accent 6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2" w:customStyle="1">
    <w:name w:val="Таблица-сетка 5 темная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9" w:customStyle="1">
    <w:name w:val="Таблица-сетка 6 цветная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0" w:customStyle="1">
    <w:name w:val="Grid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1" w:customStyle="1">
    <w:name w:val="Grid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2" w:customStyle="1">
    <w:name w:val="Grid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3" w:customStyle="1">
    <w:name w:val="Grid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4" w:customStyle="1">
    <w:name w:val="Grid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Grid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Таблица-сетка 7 цветная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Список-таблица 1 светлая1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1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2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3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4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5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6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Список-таблица 2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7" w:customStyle="1">
    <w:name w:val="Список-таблица 3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Список-таблица 4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5 темная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Список-таблица 6 цветная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9" w:customStyle="1">
    <w:name w:val="List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0" w:customStyle="1">
    <w:name w:val="List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1" w:customStyle="1">
    <w:name w:val="List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2" w:customStyle="1">
    <w:name w:val="List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3" w:customStyle="1">
    <w:name w:val="List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4" w:customStyle="1">
    <w:name w:val="List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5" w:customStyle="1">
    <w:name w:val="Список-таблица 7 цветная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ned - Accent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Lined - Accent 1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Lined - Accent 2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Lined - Accent 3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Lined - Accent 4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Lined - Accent 5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Lined - Accent 6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 &amp; Lined - Accent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Bordered &amp; Lined - Accent 1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Bordered &amp; Lined - Accent 2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Bordered &amp; Lined - Accent 3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Bordered &amp; Lined - Accent 4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Bordered &amp; Lined - Accent 5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Bordered &amp; Lined - Accent 6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7" w:customStyle="1">
    <w:name w:val="Bordered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8" w:customStyle="1">
    <w:name w:val="Bordered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9" w:customStyle="1">
    <w:name w:val="Bordered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0" w:customStyle="1">
    <w:name w:val="Bordered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1" w:customStyle="1">
    <w:name w:val="Bordered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2" w:customStyle="1">
    <w:name w:val="Bordered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3">
    <w:name w:val="Hyperlink"/>
    <w:uiPriority w:val="99"/>
    <w:unhideWhenUsed/>
    <w:rPr>
      <w:color w:val="0000ff" w:themeColor="hyperlink"/>
      <w:u w:val="single"/>
    </w:rPr>
  </w:style>
  <w:style w:type="character" w:styleId="874" w:customStyle="1">
    <w:name w:val="Footnote Text Char"/>
    <w:uiPriority w:val="99"/>
    <w:rPr>
      <w:sz w:val="18"/>
    </w:rPr>
  </w:style>
  <w:style w:type="character" w:styleId="875" w:customStyle="1">
    <w:name w:val="Endnote Text Char"/>
    <w:uiPriority w:val="99"/>
    <w:rPr>
      <w:sz w:val="20"/>
    </w:rPr>
  </w:style>
  <w:style w:type="paragraph" w:styleId="876">
    <w:name w:val="toc 1"/>
    <w:basedOn w:val="681"/>
    <w:next w:val="681"/>
    <w:uiPriority w:val="39"/>
    <w:unhideWhenUsed/>
    <w:pPr>
      <w:spacing w:after="57"/>
    </w:pPr>
  </w:style>
  <w:style w:type="paragraph" w:styleId="877">
    <w:name w:val="toc 2"/>
    <w:basedOn w:val="681"/>
    <w:next w:val="681"/>
    <w:uiPriority w:val="39"/>
    <w:unhideWhenUsed/>
    <w:pPr>
      <w:ind w:left="283"/>
      <w:spacing w:after="57"/>
    </w:pPr>
  </w:style>
  <w:style w:type="paragraph" w:styleId="878">
    <w:name w:val="toc 3"/>
    <w:basedOn w:val="681"/>
    <w:next w:val="681"/>
    <w:uiPriority w:val="39"/>
    <w:unhideWhenUsed/>
    <w:pPr>
      <w:ind w:left="567"/>
      <w:spacing w:after="57"/>
    </w:pPr>
  </w:style>
  <w:style w:type="paragraph" w:styleId="879">
    <w:name w:val="toc 4"/>
    <w:basedOn w:val="681"/>
    <w:next w:val="681"/>
    <w:uiPriority w:val="39"/>
    <w:unhideWhenUsed/>
    <w:pPr>
      <w:ind w:left="850"/>
      <w:spacing w:after="57"/>
    </w:pPr>
  </w:style>
  <w:style w:type="paragraph" w:styleId="880">
    <w:name w:val="toc 5"/>
    <w:basedOn w:val="681"/>
    <w:next w:val="681"/>
    <w:uiPriority w:val="39"/>
    <w:unhideWhenUsed/>
    <w:pPr>
      <w:ind w:left="1134"/>
      <w:spacing w:after="57"/>
    </w:pPr>
  </w:style>
  <w:style w:type="paragraph" w:styleId="881">
    <w:name w:val="toc 6"/>
    <w:basedOn w:val="681"/>
    <w:next w:val="681"/>
    <w:uiPriority w:val="39"/>
    <w:unhideWhenUsed/>
    <w:pPr>
      <w:ind w:left="1417"/>
      <w:spacing w:after="57"/>
    </w:pPr>
  </w:style>
  <w:style w:type="paragraph" w:styleId="882">
    <w:name w:val="toc 7"/>
    <w:basedOn w:val="681"/>
    <w:next w:val="681"/>
    <w:uiPriority w:val="39"/>
    <w:unhideWhenUsed/>
    <w:pPr>
      <w:ind w:left="1701"/>
      <w:spacing w:after="57"/>
    </w:pPr>
  </w:style>
  <w:style w:type="paragraph" w:styleId="883">
    <w:name w:val="toc 8"/>
    <w:basedOn w:val="681"/>
    <w:next w:val="681"/>
    <w:uiPriority w:val="39"/>
    <w:unhideWhenUsed/>
    <w:pPr>
      <w:ind w:left="1984"/>
      <w:spacing w:after="57"/>
    </w:pPr>
  </w:style>
  <w:style w:type="paragraph" w:styleId="884">
    <w:name w:val="toc 9"/>
    <w:basedOn w:val="681"/>
    <w:next w:val="681"/>
    <w:uiPriority w:val="39"/>
    <w:unhideWhenUsed/>
    <w:pPr>
      <w:ind w:left="2268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681"/>
    <w:next w:val="681"/>
    <w:uiPriority w:val="99"/>
    <w:unhideWhenUsed/>
  </w:style>
  <w:style w:type="paragraph" w:styleId="887">
    <w:name w:val="Body Text 2"/>
    <w:basedOn w:val="681"/>
    <w:link w:val="888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88" w:customStyle="1">
    <w:name w:val="Основной текст 2 Знак"/>
    <w:basedOn w:val="691"/>
    <w:link w:val="887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89">
    <w:name w:val="Balloon Text"/>
    <w:basedOn w:val="681"/>
    <w:link w:val="890"/>
    <w:uiPriority w:val="99"/>
    <w:semiHidden/>
    <w:unhideWhenUsed/>
    <w:rPr>
      <w:rFonts w:ascii="Tahoma" w:hAnsi="Tahoma" w:cs="Tahoma"/>
      <w:sz w:val="16"/>
      <w:szCs w:val="16"/>
    </w:rPr>
  </w:style>
  <w:style w:type="character" w:styleId="890" w:customStyle="1">
    <w:name w:val="Текст выноски Знак"/>
    <w:basedOn w:val="691"/>
    <w:link w:val="889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91">
    <w:name w:val="List Paragraph"/>
    <w:basedOn w:val="681"/>
    <w:uiPriority w:val="1"/>
    <w:qFormat/>
    <w:pPr>
      <w:contextualSpacing/>
      <w:ind w:left="720"/>
    </w:pPr>
  </w:style>
  <w:style w:type="paragraph" w:styleId="892">
    <w:name w:val="Header"/>
    <w:basedOn w:val="681"/>
    <w:link w:val="893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3" w:customStyle="1">
    <w:name w:val="Верхний колонтитул Знак"/>
    <w:basedOn w:val="691"/>
    <w:link w:val="892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4">
    <w:name w:val="Footer"/>
    <w:basedOn w:val="681"/>
    <w:link w:val="895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5" w:customStyle="1">
    <w:name w:val="Нижний колонтитул Знак"/>
    <w:basedOn w:val="691"/>
    <w:link w:val="894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6">
    <w:name w:val="footnote text"/>
    <w:basedOn w:val="681"/>
    <w:link w:val="897"/>
    <w:uiPriority w:val="99"/>
    <w:semiHidden/>
    <w:rPr>
      <w:color w:val="auto"/>
    </w:rPr>
  </w:style>
  <w:style w:type="character" w:styleId="897" w:customStyle="1">
    <w:name w:val="Текст сноски Знак"/>
    <w:basedOn w:val="691"/>
    <w:link w:val="89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8">
    <w:name w:val="footnote reference"/>
    <w:basedOn w:val="691"/>
    <w:uiPriority w:val="99"/>
    <w:semiHidden/>
    <w:rPr>
      <w:rFonts w:cs="Times New Roman"/>
      <w:vertAlign w:val="superscript"/>
    </w:rPr>
  </w:style>
  <w:style w:type="paragraph" w:styleId="899">
    <w:name w:val="endnote text"/>
    <w:basedOn w:val="681"/>
    <w:link w:val="900"/>
    <w:uiPriority w:val="99"/>
    <w:semiHidden/>
    <w:rPr>
      <w:color w:val="auto"/>
    </w:rPr>
  </w:style>
  <w:style w:type="character" w:styleId="900" w:customStyle="1">
    <w:name w:val="Текст концевой сноски Знак"/>
    <w:basedOn w:val="691"/>
    <w:link w:val="899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1">
    <w:name w:val="endnote reference"/>
    <w:basedOn w:val="691"/>
    <w:uiPriority w:val="99"/>
    <w:semiHidden/>
    <w:rPr>
      <w:rFonts w:cs="Times New Roman"/>
      <w:vertAlign w:val="superscript"/>
    </w:rPr>
  </w:style>
  <w:style w:type="paragraph" w:styleId="902" w:customStyle="1">
    <w:name w:val="ConsNormal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3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904" w:customStyle="1">
    <w:name w:val="Сетка таблицы1"/>
    <w:basedOn w:val="692"/>
    <w:next w:val="905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5">
    <w:name w:val="Table Grid"/>
    <w:basedOn w:val="692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6" w:customStyle="1">
    <w:name w:val="Сетка таблицы2"/>
    <w:basedOn w:val="692"/>
    <w:next w:val="905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7" w:customStyle="1">
    <w:name w:val="Сетка таблицы3"/>
    <w:basedOn w:val="692"/>
    <w:next w:val="905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8" w:customStyle="1">
    <w:name w:val="Сетка таблицы4"/>
    <w:basedOn w:val="692"/>
    <w:next w:val="905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9" w:customStyle="1">
    <w:name w:val="fontstyle01"/>
    <w:basedOn w:val="691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  <w:style w:type="paragraph" w:styleId="910" w:customStyle="1">
    <w:name w:val="Table Paragraph"/>
    <w:basedOn w:val="681"/>
    <w:uiPriority w:val="1"/>
    <w:qFormat/>
    <w:pPr>
      <w:ind w:left="60"/>
      <w:jc w:val="center"/>
      <w:spacing w:line="211" w:lineRule="exact"/>
      <w:widowControl w:val="off"/>
    </w:pPr>
    <w:rPr>
      <w:color w:val="auto"/>
      <w:sz w:val="22"/>
      <w:szCs w:val="22"/>
      <w:lang w:eastAsia="en-US"/>
    </w:rPr>
  </w:style>
  <w:style w:type="paragraph" w:styleId="911" w:customStyle="1">
    <w:name w:val="Прижатый влево"/>
    <w:basedOn w:val="681"/>
    <w:next w:val="681"/>
    <w:rPr>
      <w:rFonts w:ascii="Arial" w:hAnsi="Arial" w:cs="Arial"/>
      <w:color w:val="auto"/>
      <w:lang w:eastAsia="zh-CN"/>
    </w:rPr>
  </w:style>
  <w:style w:type="table" w:styleId="912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13">
    <w:name w:val="Body Text"/>
    <w:basedOn w:val="681"/>
    <w:link w:val="914"/>
    <w:uiPriority w:val="99"/>
    <w:semiHidden/>
    <w:unhideWhenUsed/>
    <w:pPr>
      <w:spacing w:after="120"/>
    </w:pPr>
  </w:style>
  <w:style w:type="character" w:styleId="914" w:customStyle="1">
    <w:name w:val="Основной текст Знак"/>
    <w:basedOn w:val="691"/>
    <w:link w:val="913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6CAB5-A927-4500-9732-8C3E89AB5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2026-04-06T13:26:00Z</dcterms:created>
  <dcterms:modified xsi:type="dcterms:W3CDTF">2026-04-07T09:17:59Z</dcterms:modified>
</cp:coreProperties>
</file>