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Герб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Герб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alse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32"/>
          <w:szCs w:val="32"/>
          <w:highlight w:val="yellow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highlight w:val="yellow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о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т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19.03.2026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ab/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               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 № 376</w:t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4"/>
          <w:szCs w:val="20"/>
          <w:lang w:eastAsia="ru-RU"/>
        </w:rPr>
        <w:t xml:space="preserve">п.г.т. Никель</w:t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sz w:val="20"/>
          <w:szCs w:val="18"/>
          <w:lang w:eastAsia="ru-RU"/>
        </w:rPr>
      </w:pP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  <w:r>
        <w:rPr>
          <w:rFonts w:ascii="Times New Roman" w:hAnsi="Times New Roman" w:eastAsia="Times New Roman"/>
          <w:sz w:val="20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О внесении изменений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в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реализации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муниципальной программы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«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» на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6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- 202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8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  <w:t xml:space="preserve"> годы</w:t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pPr>
      <w:r>
        <w:rPr>
          <w:rFonts w:ascii="Times New Roman" w:hAnsi="Times New Roman" w:eastAsia="Times New Roman"/>
          <w:b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  <w:r>
        <w:rPr>
          <w:rFonts w:ascii="Times New Roman" w:hAnsi="Times New Roman" w:eastAsia="Times New Roman"/>
          <w:b/>
          <w:bCs/>
          <w:sz w:val="20"/>
          <w:szCs w:val="20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Руководствуясь 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орядк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разработки, реализации и оценки эффективности муниципальных программ Печенгского муниципального округа, утвержденн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ым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постановлением администрации Печенгского муниципального округа от 18.09.2025 </w:t>
        <w:br/>
        <w:t xml:space="preserve">№ 1488,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в соответствии с муниципальной программой Печенского мун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иципаль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ного округа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2026 - 2028 годы,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утвержденной постановлением администрации Печенгского муниципального округа от 18.11.2025 № 1890,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в целях повышения эффективности и результативности расходования бюд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жетных средств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tabs>
          <w:tab w:val="left" w:pos="0" w:leader="none"/>
          <w:tab w:val="left" w:pos="284" w:leader="none"/>
          <w:tab w:val="left" w:pos="426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ПОСТАНОВЛЯЮ: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pP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  <w:r>
        <w:rPr>
          <w:rFonts w:ascii="Times New Roman" w:hAnsi="Times New Roman" w:eastAsia="Times New Roman"/>
          <w:sz w:val="24"/>
          <w:szCs w:val="18"/>
          <w:highlight w:val="yellow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1.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лан реализации 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муниципальн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ой программы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Печенгского муниципального округа «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» на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6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- 202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8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годы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утвержденный постановлением администрации Печенгского муниципального округа от 18.11.2025 № 1890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(в редакции постановления администрации Печенгского муниципального округа от 10.03.2026 № 330)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, изложить в редакции согласно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приложению к настоящему постановлению.</w:t>
      </w: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2.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eastAsia="Times New Roman"/>
          <w:sz w:val="24"/>
          <w:szCs w:val="24"/>
        </w:rPr>
        <w:t xml:space="preserve">Настоящее постановление вступает </w:t>
      </w:r>
      <w:r>
        <w:rPr>
          <w:rFonts w:ascii="Times New Roman" w:hAnsi="Times New Roman" w:eastAsia="Times New Roman"/>
          <w:sz w:val="24"/>
          <w:szCs w:val="24"/>
        </w:rPr>
        <w:t xml:space="preserve">в силу </w:t>
      </w:r>
      <w:r>
        <w:rPr>
          <w:rFonts w:ascii="Times New Roman" w:hAnsi="Times New Roman" w:eastAsia="Times New Roman"/>
          <w:sz w:val="24"/>
          <w:szCs w:val="24"/>
        </w:rPr>
        <w:t xml:space="preserve">с</w:t>
      </w:r>
      <w:r>
        <w:rPr>
          <w:rFonts w:ascii="Times New Roman" w:hAnsi="Times New Roman" w:eastAsia="Times New Roman"/>
          <w:sz w:val="24"/>
          <w:szCs w:val="24"/>
        </w:rPr>
        <w:t xml:space="preserve"> момента</w:t>
      </w:r>
      <w:r>
        <w:rPr>
          <w:rFonts w:ascii="Times New Roman" w:hAnsi="Times New Roman" w:eastAsia="Times New Roman"/>
          <w:sz w:val="24"/>
          <w:szCs w:val="24"/>
        </w:rPr>
        <w:t xml:space="preserve"> подписания</w:t>
      </w:r>
      <w:r>
        <w:rPr>
          <w:rFonts w:ascii="Times New Roman" w:hAnsi="Times New Roman" w:eastAsia="Times New Roman"/>
          <w:sz w:val="24"/>
          <w:szCs w:val="24"/>
        </w:rPr>
        <w:t xml:space="preserve">.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  <w:tab w:val="left" w:pos="993" w:leader="none"/>
          <w:tab w:val="left" w:pos="1134" w:leader="none"/>
        </w:tabs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</w:rPr>
        <w:t xml:space="preserve">3.</w:t>
      </w:r>
      <w:r>
        <w:rPr>
          <w:rFonts w:ascii="Times New Roman" w:hAnsi="Times New Roman" w:eastAsia="Times New Roman"/>
          <w:sz w:val="24"/>
          <w:szCs w:val="24"/>
        </w:rPr>
        <w:t xml:space="preserve"> Настоящее постановление разместить на с</w:t>
      </w: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айте Печенгского муниципального округа</w:t>
      </w:r>
      <w:r>
        <w:rPr>
          <w:rFonts w:ascii="Times New Roman" w:hAnsi="Times New Roman"/>
          <w:sz w:val="24"/>
          <w:szCs w:val="24"/>
          <w:lang w:eastAsia="ru-RU"/>
        </w:rPr>
        <w:t xml:space="preserve"> в сети Интернет.</w:t>
      </w:r>
      <w:r>
        <w:rPr>
          <w:rFonts w:ascii="Times New Roman" w:hAnsi="Times New Roman"/>
          <w:sz w:val="24"/>
          <w:szCs w:val="24"/>
          <w:lang w:eastAsia="ru-RU"/>
        </w:rPr>
      </w:r>
      <w:r>
        <w:rPr>
          <w:rFonts w:ascii="Times New Roman" w:hAnsi="Times New Roman"/>
          <w:sz w:val="24"/>
          <w:szCs w:val="24"/>
          <w:lang w:eastAsia="ru-RU"/>
        </w:rPr>
      </w:r>
    </w:p>
    <w:p>
      <w:pPr>
        <w:ind w:right="-5"/>
        <w:jc w:val="both"/>
        <w:spacing w:after="0" w:line="240" w:lineRule="atLeast"/>
        <w:widowControl w:val="off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  <w:r>
        <w:rPr>
          <w:rFonts w:ascii="Times New Roman" w:hAnsi="Times New Roman"/>
          <w:sz w:val="28"/>
          <w:szCs w:val="28"/>
        </w:rPr>
      </w:r>
    </w:p>
    <w:p>
      <w:pPr>
        <w:ind w:right="-5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  <w:highlight w:val="yellow"/>
        </w:rPr>
      </w:pP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  <w:r>
        <w:rPr>
          <w:rFonts w:ascii="Times New Roman" w:hAnsi="Times New Roman"/>
          <w:sz w:val="24"/>
          <w:szCs w:val="24"/>
          <w:highlight w:val="yellow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            </w:t>
      </w:r>
      <w:r>
        <w:rPr>
          <w:rFonts w:ascii="Times New Roman" w:hAnsi="Times New Roman"/>
          <w:sz w:val="24"/>
          <w:szCs w:val="24"/>
        </w:rPr>
        <w:t xml:space="preserve">А.</w:t>
      </w:r>
      <w:r>
        <w:rPr>
          <w:rFonts w:ascii="Times New Roman" w:hAnsi="Times New Roman"/>
          <w:sz w:val="24"/>
          <w:szCs w:val="24"/>
        </w:rPr>
        <w:t xml:space="preserve">С</w:t>
      </w:r>
      <w:r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</w:rPr>
        <w:t xml:space="preserve">Пеньшин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5"/>
        <w:jc w:val="both"/>
        <w:spacing w:after="0" w:line="240" w:lineRule="auto"/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yellow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4"/>
          <w:szCs w:val="24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Шавырова Ю.В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.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,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 5-</w:t>
      </w:r>
      <w:r>
        <w:rPr>
          <w:rFonts w:ascii="Times New Roman" w:hAnsi="Times New Roman" w:eastAsia="Times New Roman"/>
          <w:sz w:val="20"/>
          <w:szCs w:val="20"/>
          <w:lang w:eastAsia="ru-RU"/>
        </w:rPr>
        <w:t xml:space="preserve">12-91</w:t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  <w:r>
        <w:rPr>
          <w:rFonts w:ascii="Times New Roman" w:hAnsi="Times New Roman" w:eastAsia="Times New Roman"/>
          <w:sz w:val="20"/>
          <w:szCs w:val="20"/>
          <w:highlight w:val="none"/>
          <w:lang w:eastAsia="ru-RU"/>
        </w:rPr>
      </w:r>
    </w:p>
    <w:p>
      <w:pPr>
        <w:ind w:left="5529" w:right="-1"/>
        <w:jc w:val="both"/>
        <w:spacing w:after="0" w:line="240" w:lineRule="auto"/>
        <w:tabs>
          <w:tab w:val="left" w:pos="0" w:leader="none"/>
          <w:tab w:val="left" w:pos="284" w:leader="none"/>
          <w:tab w:val="left" w:pos="11620" w:leader="none"/>
        </w:tabs>
        <w:rPr>
          <w:rFonts w:ascii="Times New Roman" w:hAnsi="Times New Roman" w:eastAsia="Times New Roman"/>
          <w:bCs/>
          <w:sz w:val="24"/>
          <w:szCs w:val="24"/>
          <w:lang w:eastAsia="ru-RU"/>
        </w:rPr>
        <w:sectPr>
          <w:footnotePr/>
          <w:endnotePr/>
          <w:type w:val="nextPage"/>
          <w:pgSz w:w="11905" w:h="16838" w:orient="portrait"/>
          <w:pgMar w:top="1134" w:right="706" w:bottom="1134" w:left="1701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  <w:r>
        <w:rPr>
          <w:rFonts w:ascii="Times New Roman" w:hAnsi="Times New Roman" w:eastAsia="Times New Roman"/>
          <w:bCs/>
          <w:sz w:val="24"/>
          <w:szCs w:val="24"/>
          <w:lang w:eastAsia="ru-RU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19.03.2026 № 376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«Приложение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администрации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ind w:left="10488" w:right="0" w:firstLine="0"/>
        <w:spacing w:after="0" w:line="240" w:lineRule="auto"/>
        <w:rPr>
          <w:rFonts w:ascii="Times New Roman" w:hAnsi="Times New Roman" w:eastAsia="Times New Roman"/>
          <w:sz w:val="24"/>
          <w:szCs w:val="24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от 18.11.2025 № 1890</w:t>
      </w:r>
      <w:r>
        <w:rPr>
          <w:rFonts w:ascii="Times New Roman" w:hAnsi="Times New Roman" w:eastAsia="Times New Roman"/>
          <w:sz w:val="24"/>
          <w:szCs w:val="24"/>
        </w:rPr>
      </w:r>
      <w:r>
        <w:rPr>
          <w:rFonts w:ascii="Times New Roman" w:hAnsi="Times New Roman" w:eastAsia="Times New Roman"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right"/>
        <w:spacing w:after="0" w:line="240" w:lineRule="auto"/>
        <w:rPr>
          <w:rFonts w:ascii="Times New Roman" w:hAnsi="Times New Roman" w:eastAsia="Times New Roman"/>
          <w:sz w:val="20"/>
          <w:szCs w:val="20"/>
          <w:lang w:eastAsia="ru-RU"/>
        </w:rPr>
      </w:pP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  <w:r>
        <w:rPr>
          <w:rFonts w:ascii="Times New Roman" w:hAnsi="Times New Roman" w:eastAsia="Times New Roman"/>
          <w:sz w:val="20"/>
          <w:szCs w:val="20"/>
          <w:lang w:eastAsia="ru-RU"/>
        </w:rPr>
      </w:r>
    </w:p>
    <w:p>
      <w:pPr>
        <w:ind w:left="36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ПЛАН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реализации муниципальной программы Печенгского муниципального округа «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Комфортная среда проживания</w:t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»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ind w:left="0"/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</w:rPr>
        <w:suppressLineNumbers w:val="0"/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  <w:t xml:space="preserve">на 2026 - 2028 годы</w:t>
      </w:r>
      <w:r>
        <w:rPr>
          <w:rFonts w:ascii="Times New Roman" w:hAnsi="Times New Roman" w:eastAsia="Times New Roman"/>
          <w:b/>
          <w:sz w:val="24"/>
          <w:szCs w:val="24"/>
        </w:rPr>
      </w:r>
      <w:r>
        <w:rPr>
          <w:rFonts w:ascii="Times New Roman" w:hAnsi="Times New Roman" w:eastAsia="Times New Roman"/>
          <w:b/>
          <w:sz w:val="24"/>
          <w:szCs w:val="24"/>
        </w:rPr>
      </w:r>
    </w:p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tbl>
      <w:tblPr>
        <w:tblStyle w:val="920"/>
        <w:tblW w:w="15876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701"/>
        <w:gridCol w:w="2560"/>
        <w:gridCol w:w="1134"/>
        <w:gridCol w:w="850"/>
        <w:gridCol w:w="1418"/>
        <w:gridCol w:w="1276"/>
        <w:gridCol w:w="1276"/>
        <w:gridCol w:w="1276"/>
        <w:gridCol w:w="3826"/>
        <w:gridCol w:w="1559"/>
      </w:tblGrid>
      <w:tr>
        <w:tblPrEx/>
        <w:trPr>
          <w:trHeight w:val="270"/>
        </w:trPr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№ п/п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Муниципальная программа, направление (подпрограмма), комплексы процессных и(или) проектных мероприятий, мероприятие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Период реализации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gridSpan w:val="5"/>
            <w:tcW w:w="609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Объемы и источники финансирования (рублей)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Связь комплексов процессных и (или) проектных мероприятий с показателями муниципальной программы, направлений (подпрограмм), ожидаемые результаты реализации (краткая характеристика) мероприятий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559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Соисполнители</w:t>
            </w:r>
            <w:r>
              <w:rPr>
                <w:sz w:val="18"/>
                <w:szCs w:val="18"/>
                <w:lang w:eastAsia="ru-RU"/>
              </w:rPr>
              <w:t xml:space="preserve">, участники </w:t>
            </w:r>
            <w:r>
              <w:rPr>
                <w:sz w:val="18"/>
                <w:szCs w:val="18"/>
                <w:vertAlign w:val="superscript"/>
                <w:lang w:eastAsia="ru-RU"/>
              </w:rPr>
              <w:t xml:space="preserve">1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По годам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Всего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2026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2027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276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2028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u w:val="single"/>
                <w:lang w:eastAsia="ru-RU"/>
              </w:rPr>
              <w:t xml:space="preserve">Муниципальная программа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«Комфортная среда проживания»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2026-2028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809 795 536,98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443 264 878,98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183 266 679,00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183 263 979,00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 </w:t>
            </w: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МБ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677 698 272,27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314 547 272,27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181 572 700,00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ОБ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66 554 564,71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63 174 906,71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1 688 379,00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1 691 279,00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ФБ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ВБС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1</w:t>
            </w:r>
            <w:r>
              <w:rPr>
                <w:b/>
                <w:sz w:val="18"/>
                <w:szCs w:val="18"/>
                <w:lang w:eastAsia="ru-RU"/>
              </w:rPr>
              <w:t xml:space="preserve"> «Экологическая безопасность и окружающая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-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1.1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с процессных мероприятий 1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«Мероприятия по обеспечению благоприятной окружающей среды и экологического благополучия»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46 347 888,38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40 170 530,38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3 088 679,00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0.1. </w:t>
            </w:r>
            <w:r>
              <w:rPr>
                <w:sz w:val="16"/>
                <w:szCs w:val="16"/>
                <w:lang w:eastAsia="ru-RU"/>
              </w:rPr>
              <w:t xml:space="preserve">Доля проведенных мероприятий по ликвидации объектов накопленного вреда окружающей среде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1.1. Количество вновь созданных и отремонтированных контейнерных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1.2. Количество договоров, заключенных с региональным оператором, по вывозу мусора с территорий общего пользования.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1.3. Количество рекультивированных, ликвидированных несанкционированных (санкционированных) свалок, включая разработку ПСД.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1.4. Количество эвакуированного бесхозяйного (брошенного) транспорта с дворовых территорий.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1.5. Количество отловленных животных без владельцев с территорий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ЖКХ,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41 499 951,38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38 554 551,38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1 472 700,00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4 847 937,00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1 615 979,00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Создание и ремонт контейнерных площадок для накопления твердых коммунальных отходов»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Обустройство контейнерных площадок в соответствии с требованиями санитарных норм и правил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вывоза мусора с территорий общего пользования»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518 100,00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Вывоз мусора с мест массового отдыха граждан («Первый мост» пгт. Никель)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518 100,00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«Ликвидация объекта накопленного вреда окружающей среде «Санкционированная свалка на территории пгт. Никель Мурманской области»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Ликвидация санкционированной свалки в пгт. Никель в целях улучшения экологической обстановки на территории Печенгского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КУИ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36 081 851,38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1.1.4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«Эвакуация с дворовых территорий бесхозяйного (брошенного) транспорта»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900 000,00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Устранение помех движению транспорта и пешеходов, стабилизация экологической ситуации на территории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val="en-US"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 МБУ «НДС»</w:t>
            </w:r>
            <w:r>
              <w:rPr>
                <w:sz w:val="18"/>
                <w:szCs w:val="18"/>
                <w:lang w:val="en-US" w:eastAsia="ru-RU"/>
              </w:rPr>
            </w:r>
            <w:r>
              <w:rPr>
                <w:sz w:val="18"/>
                <w:szCs w:val="18"/>
                <w:lang w:val="en-US"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900 000,00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1.1.5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«Организация мероприятий при осуществлении деятельности по обращению животных без владельцев»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благоприятных, комфортных и безопасных условий для жизни и здоровья населения за счет сокращения численности животных без владельцев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4 847 937,00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1 615 979,00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2</w:t>
            </w:r>
            <w:r>
              <w:rPr>
                <w:b/>
                <w:sz w:val="18"/>
                <w:szCs w:val="18"/>
                <w:lang w:eastAsia="ru-RU"/>
              </w:rPr>
              <w:t xml:space="preserve"> «Комфортное жилье и городская среда»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754 598 448,60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400 147 448,60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</w:t>
            </w:r>
            <w:r>
              <w:rPr>
                <w:sz w:val="18"/>
                <w:szCs w:val="18"/>
                <w:lang w:eastAsia="ru-RU"/>
              </w:rPr>
              <w:t xml:space="preserve">б</w:t>
            </w:r>
            <w:r>
              <w:rPr>
                <w:sz w:val="18"/>
                <w:szCs w:val="18"/>
                <w:lang w:eastAsia="ru-RU"/>
              </w:rPr>
              <w:t xml:space="preserve">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627 566 420,89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273 115 420,89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177 222 700,00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61 489 327,71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проектных 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мероприятий 2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«Устойчивое и надежное функционирование систем коммунальной инфраструктуры»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0.2. Доля выполненных мероприятий по обеспечению бесперебойного функционирования и эффективного использования объектов жилищно-коммунального хозяйства и территорий Печенгского муниципального округа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0.3. Выполнение мероприятий по подготовке объектов жилищно-коммунального хозяйства, расположенных на территории Печенгского муниципального округа, к работе в отопительный период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2.1. Протяженность отремонтированных инженерных сетей.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2.2. Наличие актуализированных схемы теплоснабжения и программы комплексного развития системы коммунальной инфраструктуры.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16 130 000,00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Капитальный ремонт магистральных и внутриквартальных сетей теплоснабжения, водоснабжения и водоотведения»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Капитальный ремонт</w:t>
            </w:r>
            <w:r>
              <w:rPr>
                <w:sz w:val="16"/>
                <w:szCs w:val="16"/>
                <w:lang w:eastAsia="ru-RU"/>
              </w:rPr>
              <w:t xml:space="preserve"> сети теплоснабжения в целях обеспечения бесперебойного функционирования объектов жилищно-коммунального хозяйства, в том числе разработка сметной документации, проведение экспертизы сметных расчетов стоимости ремонтных работ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схемы теплоснабжения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требований российского законодательства в сфере теплоснабжения в части ежегодной актуализации схемы теплоснабжения Печенгского муниципального округа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2.2.3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«Актуализация программы комплексного развития системы коммунальной инфраструктуры»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630 000,00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Исполнение пункта 4 Требований к программам комплексного развития систем коммунальной инфраструктуры поселений, муниципальных округов, утвержденных постановлением РФ </w:t>
              <w:br/>
              <w:t xml:space="preserve">от 14.06.2013 № 502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ОС и ЖКХ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630 000,00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lang w:eastAsia="ru-RU"/>
              </w:rPr>
            </w:pPr>
            <w:r>
              <w:rPr>
                <w:lang w:eastAsia="ru-RU"/>
              </w:rPr>
            </w:r>
            <w:r>
              <w:rPr>
                <w:lang w:eastAsia="ru-RU"/>
              </w:rPr>
            </w:r>
            <w:r>
              <w:rPr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2.3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«Формирование современной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236 726 048,60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0.4. Уровень качества городской среды.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2.3. Количество благоустроенных общественных территорий.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2.4. Количество благоустроенных дворовых территорий многоквартирных домов Печенгского муниципального округа.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520</w:t>
            </w:r>
            <w:r>
              <w:rPr>
                <w:sz w:val="16"/>
                <w:szCs w:val="16"/>
                <w:lang w:eastAsia="ru-RU"/>
              </w:rPr>
              <w:t xml:space="preserve">,</w:t>
            </w:r>
            <w:r>
              <w:rPr>
                <w:sz w:val="16"/>
                <w:szCs w:val="16"/>
                <w:lang w:eastAsia="ru-RU"/>
              </w:rPr>
              <w:t xml:space="preserve">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117</w:t>
            </w:r>
            <w:r>
              <w:rPr>
                <w:sz w:val="16"/>
                <w:szCs w:val="16"/>
                <w:lang w:eastAsia="ru-RU"/>
              </w:rPr>
              <w:t xml:space="preserve"> </w:t>
            </w:r>
            <w:r>
              <w:rPr>
                <w:sz w:val="16"/>
                <w:szCs w:val="16"/>
                <w:lang w:eastAsia="ru-RU"/>
              </w:rPr>
              <w:t xml:space="preserve">138 520,89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54 044 827,71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Благоустройство общественных территорий»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городской среды путем благоустройства общественных пространств, повышение доступности общественных территорий маломобильными гражданами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многоквартирных домов»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Повышение уровня комфортности проживания в многоквартирных домах путем благоустройства придомовых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30 000 000,00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25 000 000,00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2.3.3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«Благоустройство дворовых территорий в рамках реализации мероприятий планов социального развития экономического роста субъектов РФ Арктической зоны РФ»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216</w:t>
            </w:r>
            <w:r>
              <w:rPr>
                <w:b/>
                <w:sz w:val="16"/>
                <w:szCs w:val="16"/>
                <w:lang w:eastAsia="ru-RU"/>
              </w:rPr>
              <w:t xml:space="preserve"> </w:t>
            </w:r>
            <w:r>
              <w:rPr>
                <w:b/>
                <w:sz w:val="16"/>
                <w:szCs w:val="16"/>
                <w:lang w:eastAsia="ru-RU"/>
              </w:rPr>
              <w:t xml:space="preserve">720</w:t>
            </w:r>
            <w:r>
              <w:rPr>
                <w:b/>
                <w:sz w:val="16"/>
                <w:szCs w:val="16"/>
                <w:lang w:eastAsia="ru-RU"/>
              </w:rPr>
              <w:t xml:space="preserve">,</w:t>
            </w:r>
            <w:r>
              <w:rPr>
                <w:b/>
                <w:sz w:val="16"/>
                <w:szCs w:val="16"/>
                <w:lang w:eastAsia="ru-RU"/>
              </w:rPr>
              <w:t xml:space="preserve">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168 216 720,89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Благоустройство дворовых территорий: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пгт. Печенга, Пече</w:t>
            </w:r>
            <w:r>
              <w:rPr>
                <w:sz w:val="16"/>
                <w:szCs w:val="16"/>
                <w:lang w:eastAsia="ru-RU"/>
              </w:rPr>
              <w:t xml:space="preserve">нгское шоссе, 8-10, 7-12, 6-11,3,</w:t>
            </w:r>
            <w:r>
              <w:rPr>
                <w:sz w:val="16"/>
                <w:szCs w:val="16"/>
                <w:lang w:eastAsia="ru-RU"/>
              </w:rPr>
              <w:t xml:space="preserve">4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Стадионная, 3, 4, 7, 5-8, 9,</w:t>
            </w:r>
            <w:r>
              <w:rPr>
                <w:sz w:val="16"/>
                <w:szCs w:val="16"/>
                <w:lang w:eastAsia="ru-RU"/>
              </w:rPr>
              <w:t xml:space="preserve"> </w:t>
            </w:r>
            <w:r>
              <w:rPr>
                <w:sz w:val="16"/>
                <w:szCs w:val="16"/>
                <w:lang w:eastAsia="ru-RU"/>
              </w:rPr>
              <w:t xml:space="preserve">10;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ж/д ст. Печенга, д. 1, 2, 3, 4;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Луостари, ул. Нижняя, 4-10-12, 3, 2, 5, 9, 8,</w:t>
            </w:r>
            <w:r>
              <w:rPr>
                <w:sz w:val="16"/>
                <w:szCs w:val="16"/>
                <w:lang w:eastAsia="ru-RU"/>
              </w:rPr>
              <w:t xml:space="preserve"> 11,13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ул. В</w:t>
            </w:r>
            <w:r>
              <w:rPr>
                <w:sz w:val="16"/>
                <w:szCs w:val="16"/>
                <w:lang w:eastAsia="ru-RU"/>
              </w:rPr>
              <w:t xml:space="preserve">ерхняя, 4-5, 1-2</w:t>
            </w:r>
            <w:r>
              <w:rPr>
                <w:sz w:val="16"/>
                <w:szCs w:val="16"/>
                <w:lang w:eastAsia="ru-RU"/>
              </w:rPr>
              <w:t xml:space="preserve">;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нп. Спутник, ул. Новая, 19-21, 18-20, 16-17, 8-15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      </w:t>
            </w: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57 138 520,89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45 535 500,00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65 542 700,00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  <w:t xml:space="preserve">2.3.4.</w:t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</w:t>
            </w:r>
            <w:r>
              <w:rPr>
                <w:sz w:val="18"/>
                <w:szCs w:val="18"/>
                <w:lang w:eastAsia="ru-RU"/>
              </w:rPr>
              <w:t xml:space="preserve">иятие «Ямочный ремонт дворовых проездов на территории Печенгского муниципального округа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Выполнение работ по ямочному ремонту в пгт. Никель, ул. Бредова, д.13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8 509 327,71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2.4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4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«Комплексное благоустройство и содержание городской среды»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2.5. Надлежащее содержание, улучшение санитарного, технического и эстетического состояния объектов благоустройства </w:t>
            </w:r>
            <w:r>
              <w:rPr>
                <w:sz w:val="16"/>
                <w:szCs w:val="16"/>
                <w:lang w:eastAsia="ru-RU"/>
              </w:rPr>
              <w:t xml:space="preserve">городской среды от общего количества запланированных мероприятий.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2.6. Количество благоустроенных детских игровых и спортивных площадок.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2.7. Выполнение мероприятий по организации уличного освещения.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144 775 350,00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61 345 950,00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41 711 900,00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Повышение привлекательности объектов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Озеленение территорий, обустройство пешеходных маршрутов, тротуаров, лестничных спусков, приобретение (ремонт) праздничной иллюминации и иных объектов благоустройства городской среды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52 607 200,00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26 950 000,00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12 831 400,00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12 825 800,00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«Создание, благоустройство и обслуживание инфраструктуры для комфортного развития детей, молодежи»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Создание условий для организации активного отдыха и укрепления физического здоровья детей и молодежи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18 029 850,00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6 349 850,00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5 840 000,00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2.4.3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«Техническое обслуживание и устройство наружного освещения, оплата электроэнергии наружного освещения»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Организация освещения улиц, обслуживание и улучшение технического состояния электрических сетей уличного освещения, модернизация и замена устаревшего оборудования сетей уличного </w:t>
            </w:r>
            <w:r>
              <w:rPr>
                <w:sz w:val="16"/>
                <w:szCs w:val="16"/>
                <w:lang w:eastAsia="ru-RU"/>
              </w:rPr>
              <w:t xml:space="preserve">освещения,</w:t>
            </w:r>
            <w:r>
              <w:rPr>
                <w:sz w:val="16"/>
                <w:szCs w:val="16"/>
                <w:lang w:eastAsia="ru-RU"/>
              </w:rPr>
              <w:t xml:space="preserve"> обустройство наружного освещения в районе детских площадок, неосвещенных территорий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  <w:t xml:space="preserve">,  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74 138 300,00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28 046 100,00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23 046 100,00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2.5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</w:t>
            </w:r>
            <w:r>
              <w:rPr>
                <w:sz w:val="18"/>
                <w:szCs w:val="18"/>
                <w:u w:val="single"/>
                <w:lang w:eastAsia="ru-RU"/>
              </w:rPr>
              <w:t xml:space="preserve">мплекс процессных мероприятий 5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sz w:val="18"/>
                <w:szCs w:val="18"/>
                <w:lang w:eastAsia="ru-RU"/>
              </w:rPr>
              <w:t xml:space="preserve">«Реализация проекта «Работа Рядом!»»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2.8. Численность граждан, привлеченных к временным общественно полезным работам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</w:t>
            </w:r>
            <w:r>
              <w:rPr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 трудовых бригад на территории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8 000 000</w:t>
            </w:r>
            <w:r>
              <w:rPr>
                <w:b/>
                <w:sz w:val="16"/>
                <w:szCs w:val="16"/>
                <w:lang w:eastAsia="ru-RU"/>
              </w:rPr>
              <w:t xml:space="preserve">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18 000 000,00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5 000 000,00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2.5.2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Организация</w:t>
            </w:r>
            <w:r>
              <w:rPr>
                <w:sz w:val="18"/>
                <w:szCs w:val="18"/>
                <w:lang w:eastAsia="ru-RU"/>
              </w:rPr>
              <w:t xml:space="preserve"> временных общественно полезных работ</w:t>
            </w:r>
            <w:r>
              <w:rPr>
                <w:sz w:val="18"/>
                <w:szCs w:val="18"/>
                <w:lang w:eastAsia="ru-RU"/>
              </w:rPr>
              <w:t xml:space="preserve">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7 444 500,00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Снижение напряженности на рынке труда путем привлечения граждан к выполнению временных, сезонных работ, не требующих особых навыков или квалификации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7 444 50</w:t>
            </w: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2.6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6</w:t>
            </w:r>
            <w:r>
              <w:rPr>
                <w:sz w:val="18"/>
                <w:szCs w:val="18"/>
                <w:lang w:eastAsia="ru-RU"/>
              </w:rPr>
              <w:t xml:space="preserve"> «Обеспечение деятельности и выполнение функций в сфере благоустройства подведомственными учреждениями администрации Печенгского муниципального округа»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0.5. Благоустройство территорий Печенгского муниципального округа и обеспечение их содержания от общего количества запланированных.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2.9. Обеспечение деятельности муниципального казенного учреждения в сфере благоустройства.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211 522 550,00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70 500 950,00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70 510 800,00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«Предоставление муниципальных услуг (работ) в сфере благоустройства»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деятельности муниципальных учреждений по осуществлению содержания объектов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195 672 650,00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65 217 650,00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65 227 500,00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2.6.2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«Обеспечение функционирования 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функционирования муниципального казенного учреждения по осуществлению деятельности в сфере благоустройства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МКУ «УБиР»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15 849 900,00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5 283 300,00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</w:t>
            </w:r>
            <w:r>
              <w:rPr>
                <w:b/>
                <w:sz w:val="20"/>
                <w:szCs w:val="20"/>
                <w:lang w:eastAsia="ru-RU"/>
              </w:rPr>
              <w:t xml:space="preserve"> 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u w:val="single"/>
                <w:lang w:eastAsia="ru-RU"/>
              </w:rPr>
              <w:t xml:space="preserve">Направление (подпрограмма) 3</w:t>
            </w:r>
            <w:r>
              <w:rPr>
                <w:b/>
                <w:sz w:val="18"/>
                <w:szCs w:val="18"/>
                <w:lang w:eastAsia="ru-RU"/>
              </w:rPr>
              <w:t xml:space="preserve"> 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«</w:t>
            </w:r>
            <w:r>
              <w:rPr>
                <w:b/>
                <w:sz w:val="18"/>
                <w:szCs w:val="18"/>
              </w:rPr>
              <w:t xml:space="preserve">В</w:t>
            </w:r>
            <w:r>
              <w:rPr>
                <w:b/>
                <w:sz w:val="18"/>
                <w:szCs w:val="18"/>
                <w:lang w:eastAsia="ru-RU"/>
              </w:rPr>
              <w:t xml:space="preserve">ыполнение комплекса мер по сохранению, благоустройству и надлежащему содержанию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  <w:t xml:space="preserve">2026-2028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-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Align w:val="center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Align w:val="center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20"/>
                <w:szCs w:val="20"/>
                <w:lang w:eastAsia="ru-RU"/>
              </w:rPr>
            </w:pP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  <w:r>
              <w:rPr>
                <w:sz w:val="20"/>
                <w:szCs w:val="20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 xml:space="preserve">3.7</w:t>
            </w:r>
            <w:r>
              <w:rPr>
                <w:b/>
                <w:sz w:val="20"/>
                <w:szCs w:val="20"/>
                <w:lang w:eastAsia="ru-RU"/>
              </w:rPr>
            </w:r>
            <w:r>
              <w:rPr>
                <w:b/>
                <w:sz w:val="20"/>
                <w:szCs w:val="20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u w:val="single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  <w:r>
              <w:rPr>
                <w:sz w:val="18"/>
                <w:szCs w:val="18"/>
                <w:u w:val="single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u w:val="single"/>
                <w:lang w:eastAsia="ru-RU"/>
              </w:rPr>
              <w:t xml:space="preserve">Комплекс процессных мероприятий 7</w:t>
            </w:r>
            <w:r>
              <w:rPr>
                <w:sz w:val="18"/>
                <w:szCs w:val="18"/>
                <w:lang w:eastAsia="ru-RU"/>
              </w:rPr>
              <w:t xml:space="preserve"> «Организация ритуальных услуг и содержание мест захоронения»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8 849 200,00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2 946 900,00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2 949 700,00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2 952 600,00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0.6. Поддержание надлежащего состояния мест захоронения в соответствии с установленными нормами от общего числа мест захоронения.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3.1. Количество кладбищ, содержание которых обеспечивается в надлежащем порядке в соответствии с санитарно-эпидемиологическими нормами.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3.2. Выполнение мероприятий по организации захоронений трупов, невостребованных родственниками. 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b/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sz w:val="18"/>
                <w:szCs w:val="18"/>
                <w:lang w:eastAsia="ru-RU"/>
              </w:rPr>
            </w:r>
            <w:r>
              <w:rPr>
                <w:b/>
                <w:sz w:val="18"/>
                <w:szCs w:val="18"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>
          <w:trHeight w:val="211"/>
        </w:trPr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3.7.1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</w:t>
            </w:r>
            <w:r>
              <w:rPr>
                <w:sz w:val="18"/>
                <w:szCs w:val="18"/>
                <w:lang w:eastAsia="ru-RU"/>
              </w:rPr>
              <w:t xml:space="preserve">Содержание мест захоронения (кладбищ), ритуальные услуги»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Текущее содержание мест захоронения на территории муниципального округа, организация доставки тел в морг и захоронение трупов, невостребованных родственниками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«РЭС»,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МБУ «НДС»,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8 631 900,00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2 877 300,00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restart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jc w:val="center"/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3.7.2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2560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  <w:p>
            <w:pPr>
              <w:spacing w:after="0" w:line="240" w:lineRule="auto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Мероприятие «Возмещение расходов по гарантированному перечню услуг по погребению»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1134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  <w:p>
            <w:pPr>
              <w:jc w:val="center"/>
              <w:spacing w:after="0" w:line="288" w:lineRule="atLeast"/>
              <w:rPr>
                <w:sz w:val="18"/>
                <w:szCs w:val="18"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2026-2028</w:t>
            </w:r>
            <w:r>
              <w:rPr>
                <w:sz w:val="18"/>
                <w:szCs w:val="18"/>
                <w:lang w:eastAsia="ru-RU"/>
              </w:rPr>
            </w:r>
            <w:r>
              <w:rPr>
                <w:sz w:val="18"/>
                <w:szCs w:val="18"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Всего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217 300,00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69 600,00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72 400,00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b/>
                <w:sz w:val="16"/>
                <w:szCs w:val="16"/>
                <w:lang w:eastAsia="ru-RU"/>
              </w:rPr>
            </w:pPr>
            <w:r>
              <w:rPr>
                <w:b/>
                <w:sz w:val="16"/>
                <w:szCs w:val="16"/>
                <w:lang w:eastAsia="ru-RU"/>
              </w:rPr>
              <w:t xml:space="preserve">75 300,00</w:t>
            </w:r>
            <w:r>
              <w:rPr>
                <w:b/>
                <w:sz w:val="16"/>
                <w:szCs w:val="16"/>
                <w:lang w:eastAsia="ru-RU"/>
              </w:rPr>
            </w:r>
            <w:r>
              <w:rPr>
                <w:b/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restart"/>
            <w:textDirection w:val="lrTb"/>
            <w:noWrap w:val="false"/>
          </w:tcPr>
          <w:p>
            <w:pPr>
              <w:spacing w:after="0" w:line="240" w:lineRule="auto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Обеспечение выплат по гарантированному перечню услуг по погребению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559" w:type="dxa"/>
            <w:vMerge w:val="restart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sz w:val="18"/>
                <w:szCs w:val="18"/>
                <w:lang w:eastAsia="ru-RU"/>
              </w:rPr>
              <w:t xml:space="preserve">ОРН</w:t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МБ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ОБ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217 300,00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69 600,00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72 400,00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75 300,00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ФБ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  <w:tr>
        <w:tblPrEx/>
        <w:trPr/>
        <w:tc>
          <w:tcPr>
            <w:tcW w:w="701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2560" w:type="dxa"/>
            <w:vMerge w:val="continue"/>
            <w:textDirection w:val="lrTb"/>
            <w:noWrap w:val="false"/>
          </w:tcPr>
          <w:p>
            <w:pPr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134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850" w:type="dxa"/>
            <w:textDirection w:val="lrTb"/>
            <w:noWrap w:val="false"/>
          </w:tcPr>
          <w:p>
            <w:pPr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ВБС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418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1276" w:type="dxa"/>
            <w:textDirection w:val="lrTb"/>
            <w:noWrap w:val="false"/>
          </w:tcPr>
          <w:p>
            <w:pPr>
              <w:jc w:val="right"/>
              <w:spacing w:after="0" w:line="288" w:lineRule="atLeast"/>
              <w:rPr>
                <w:sz w:val="16"/>
                <w:szCs w:val="16"/>
                <w:lang w:eastAsia="ru-RU"/>
              </w:rPr>
            </w:pPr>
            <w:r>
              <w:rPr>
                <w:sz w:val="16"/>
                <w:szCs w:val="16"/>
                <w:lang w:eastAsia="ru-RU"/>
              </w:rPr>
              <w:t xml:space="preserve">0,00</w:t>
            </w:r>
            <w:r>
              <w:rPr>
                <w:sz w:val="16"/>
                <w:szCs w:val="16"/>
                <w:lang w:eastAsia="ru-RU"/>
              </w:rPr>
            </w:r>
            <w:r>
              <w:rPr>
                <w:sz w:val="16"/>
                <w:szCs w:val="16"/>
                <w:lang w:eastAsia="ru-RU"/>
              </w:rPr>
            </w:r>
          </w:p>
        </w:tc>
        <w:tc>
          <w:tcPr>
            <w:tcW w:w="3826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  <w:tc>
          <w:tcPr>
            <w:tcW w:w="1559" w:type="dxa"/>
            <w:vMerge w:val="continue"/>
            <w:textDirection w:val="lrTb"/>
            <w:noWrap w:val="false"/>
          </w:tcPr>
          <w:p>
            <w:pPr>
              <w:jc w:val="center"/>
              <w:spacing w:after="0" w:line="288" w:lineRule="atLeast"/>
              <w:rPr>
                <w:b/>
                <w:lang w:eastAsia="ru-RU"/>
              </w:rPr>
            </w:pP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  <w:r>
              <w:rPr>
                <w:b/>
                <w:lang w:eastAsia="ru-RU"/>
              </w:rPr>
            </w:r>
          </w:p>
        </w:tc>
      </w:tr>
    </w:tbl>
    <w:p>
      <w:pPr>
        <w:jc w:val="center"/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jc w:val="both"/>
        <w:spacing w:after="0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vertAlign w:val="superscript"/>
          <w:lang w:eastAsia="ru-RU"/>
        </w:rPr>
        <w:t xml:space="preserve">1 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Соисполнители, участники: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ОС и ЖКХ - Администрация Печенгского муниципального округа (Отдел строительства и жилищно-коммунального хозяйства администрации Печенгского муниципального округа);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«РЭС» - муниципальное бюджетное учреждение «Ремонтно-эксплуатационная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МБУ «НДС» - муниципальное бюджетное учреждение «Никельская дорожная служба»;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МКУ «УБиР» - муниципальное казенное учреждение «Управление благоустройства и развития» Печенгского муниципал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ьного округа Мурманской области;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КУИ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Комитет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по управлению имуществом администрации Печенгского муниципального округа;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- ОРН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– отдел 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работы с населением муниципального казенного учреждения «Управление по обеспечению деятельности администрации Печенгского муниципального округа.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u w:val="single"/>
          <w:lang w:eastAsia="ru-RU"/>
        </w:rPr>
      </w:pP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  <w:t xml:space="preserve">Используемые сокращения:</w:t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  <w:r>
        <w:rPr>
          <w:rFonts w:ascii="Times New Roman" w:hAnsi="Times New Roman" w:eastAsia="Times New Roman"/>
          <w:sz w:val="18"/>
          <w:szCs w:val="18"/>
          <w:u w:val="single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 w:eastAsia="Times New Roman"/>
          <w:sz w:val="18"/>
          <w:szCs w:val="18"/>
          <w:lang w:eastAsia="ru-RU"/>
        </w:rPr>
      </w:pP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МБ – местный бюджет; ОБ – областной бюджет; ФБ – федеральный бюджет; ВБС – внебюджетные средства.</w:t>
      </w:r>
      <w:r>
        <w:rPr>
          <w:rFonts w:ascii="Times New Roman" w:hAnsi="Times New Roman" w:eastAsia="Times New Roman"/>
          <w:sz w:val="18"/>
          <w:szCs w:val="18"/>
          <w:lang w:eastAsia="ru-RU"/>
        </w:rPr>
        <w:t xml:space="preserve">».</w:t>
      </w:r>
      <w:r>
        <w:rPr>
          <w:rFonts w:ascii="Times New Roman" w:hAnsi="Times New Roman" w:eastAsia="Times New Roman"/>
          <w:sz w:val="18"/>
          <w:szCs w:val="18"/>
          <w:lang w:eastAsia="ru-RU"/>
        </w:rPr>
      </w:r>
      <w:r>
        <w:rPr>
          <w:rFonts w:ascii="Times New Roman" w:hAnsi="Times New Roman" w:eastAsia="Times New Roman"/>
          <w:sz w:val="18"/>
          <w:szCs w:val="18"/>
          <w:lang w:eastAsia="ru-RU"/>
        </w:rPr>
      </w:r>
    </w:p>
    <w:p>
      <w:pPr>
        <w:jc w:val="center"/>
        <w:spacing w:after="0" w:line="240" w:lineRule="auto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spacing w:after="0" w:line="288" w:lineRule="atLeast"/>
        <w:rPr>
          <w:rFonts w:ascii="Times New Roman" w:hAnsi="Times New Roman" w:eastAsia="Times New Roman"/>
          <w:b/>
          <w:sz w:val="24"/>
          <w:szCs w:val="24"/>
          <w:lang w:eastAsia="ru-RU"/>
        </w:rPr>
      </w:pP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sz w:val="24"/>
          <w:szCs w:val="24"/>
          <w:lang w:eastAsia="ru-RU"/>
        </w:rPr>
      </w:r>
    </w:p>
    <w:p>
      <w:pPr>
        <w:ind w:left="360"/>
        <w:jc w:val="center"/>
        <w:spacing w:after="0" w:line="240" w:lineRule="auto"/>
        <w:widowControl w:val="off"/>
        <w:tabs>
          <w:tab w:val="left" w:pos="0" w:leader="none"/>
        </w:tabs>
        <w:rPr>
          <w:rFonts w:ascii="Times New Roman" w:hAnsi="Times New Roman"/>
          <w:b/>
          <w:sz w:val="24"/>
          <w:szCs w:val="24"/>
          <w:highlight w:val="yellow"/>
        </w:rPr>
        <w:sectPr>
          <w:footnotePr/>
          <w:endnotePr/>
          <w:type w:val="nextPage"/>
          <w:pgSz w:w="16838" w:h="11905" w:orient="landscape"/>
          <w:pgMar w:top="851" w:right="680" w:bottom="567" w:left="1560" w:header="720" w:footer="720" w:gutter="0"/>
          <w:cols w:num="1" w:sep="0" w:space="720" w:equalWidth="1"/>
          <w:docGrid w:linePitch="360"/>
        </w:sectPr>
      </w:pP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  <w:r>
        <w:rPr>
          <w:rFonts w:ascii="Times New Roman" w:hAnsi="Times New Roman"/>
          <w:b/>
          <w:sz w:val="24"/>
          <w:szCs w:val="24"/>
          <w:highlight w:val="yellow"/>
        </w:rPr>
      </w:r>
    </w:p>
    <w:p>
      <w:r/>
    </w:p>
    <w:sectPr>
      <w:footnotePr/>
      <w:endnotePr/>
      <w:type w:val="nextPage"/>
      <w:pgSz w:w="11905" w:h="16838" w:orient="portrait"/>
      <w:pgMar w:top="851" w:right="851" w:bottom="1135" w:left="1418" w:header="720" w:footer="720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Tahoma">
    <w:panose1 w:val="020B0604030504040204"/>
  </w:font>
  <w:font w:name="Courier New">
    <w:panose1 w:val="02070309020205020404"/>
  </w:font>
  <w:font w:name="Cambria">
    <w:panose1 w:val="0204050305040603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1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3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52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28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6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3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0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7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4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2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92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004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364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364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1724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1724" w:hanging="1440"/>
      </w:pPr>
      <w:rPr>
        <w:rFonts w:hint="default"/>
      </w:rPr>
    </w:lvl>
  </w:abstractNum>
  <w:abstractNum w:abstractNumId="8">
    <w:multiLevelType w:val="hybridMultilevel"/>
    <w:lvl w:ilvl="0">
      <w:start w:val="2"/>
      <w:numFmt w:val="upperRoman"/>
      <w:isLgl w:val="false"/>
      <w:suff w:val="tab"/>
      <w:lvlText w:val="%1."/>
      <w:lvlJc w:val="left"/>
      <w:pPr>
        <w:ind w:left="278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314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86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458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530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602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74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746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8182" w:hanging="180"/>
      </w:pPr>
    </w:lvl>
  </w:abstractNum>
  <w:abstractNum w:abstractNumId="9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2422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4123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4843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5563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6283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7003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7723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8443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9163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222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42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62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82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102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822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42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62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 w:ascii="Times New Roman" w:hAnsi="Times New Roman" w:cs="Times New Roman"/>
        <w:sz w:val="24"/>
        <w:szCs w:val="24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5">
    <w:multiLevelType w:val="hybridMultilevel"/>
    <w:lvl w:ilvl="0">
      <w:start w:val="1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4"/>
      <w:numFmt w:val="upperRoman"/>
      <w:isLgl w:val="false"/>
      <w:suff w:val="tab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9"/>
  </w:num>
  <w:num w:numId="3">
    <w:abstractNumId w:val="16"/>
  </w:num>
  <w:num w:numId="4">
    <w:abstractNumId w:val="12"/>
  </w:num>
  <w:num w:numId="5">
    <w:abstractNumId w:val="14"/>
  </w:num>
  <w:num w:numId="6">
    <w:abstractNumId w:val="11"/>
  </w:num>
  <w:num w:numId="7">
    <w:abstractNumId w:val="13"/>
  </w:num>
  <w:num w:numId="8">
    <w:abstractNumId w:val="15"/>
  </w:num>
  <w:num w:numId="9">
    <w:abstractNumId w:val="6"/>
  </w:num>
  <w:num w:numId="10">
    <w:abstractNumId w:val="1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</w:num>
  <w:num w:numId="13">
    <w:abstractNumId w:val="3"/>
  </w:num>
  <w:num w:numId="14">
    <w:abstractNumId w:val="5"/>
  </w:num>
  <w:num w:numId="15">
    <w:abstractNumId w:val="17"/>
  </w:num>
  <w:num w:numId="16">
    <w:abstractNumId w:val="0"/>
  </w:num>
  <w:num w:numId="17">
    <w:abstractNumId w:val="2"/>
  </w:num>
  <w:num w:numId="18">
    <w:abstractNumId w:val="7"/>
  </w:num>
  <w:num w:numId="19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9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91">
    <w:name w:val="Heading 4 Char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692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693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694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95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696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697">
    <w:name w:val="Title Char"/>
    <w:basedOn w:val="732"/>
    <w:link w:val="744"/>
    <w:uiPriority w:val="10"/>
    <w:rPr>
      <w:sz w:val="48"/>
      <w:szCs w:val="48"/>
    </w:rPr>
  </w:style>
  <w:style w:type="character" w:styleId="698">
    <w:name w:val="Subtitle Char"/>
    <w:basedOn w:val="732"/>
    <w:link w:val="746"/>
    <w:uiPriority w:val="11"/>
    <w:rPr>
      <w:sz w:val="24"/>
      <w:szCs w:val="24"/>
    </w:rPr>
  </w:style>
  <w:style w:type="character" w:styleId="699">
    <w:name w:val="Quote Char"/>
    <w:link w:val="748"/>
    <w:uiPriority w:val="29"/>
    <w:rPr>
      <w:i/>
    </w:rPr>
  </w:style>
  <w:style w:type="character" w:styleId="700">
    <w:name w:val="Intense Quote Char"/>
    <w:link w:val="750"/>
    <w:uiPriority w:val="30"/>
    <w:rPr>
      <w:i/>
    </w:rPr>
  </w:style>
  <w:style w:type="table" w:styleId="701">
    <w:name w:val="Plain Table 1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2">
    <w:name w:val="Plain Table 2"/>
    <w:basedOn w:val="733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3">
    <w:name w:val="Plain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4">
    <w:name w:val="Plain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Plain Table 5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6">
    <w:name w:val="Grid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4"/>
    <w:basedOn w:val="733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0">
    <w:name w:val="Grid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1">
    <w:name w:val="Grid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2">
    <w:name w:val="Grid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List Table 1 Light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List Table 2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15">
    <w:name w:val="List Table 3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>
    <w:name w:val="List Table 4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>
    <w:name w:val="List Table 5 Dark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18">
    <w:name w:val="List Table 6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19">
    <w:name w:val="List Table 7 Colorful"/>
    <w:basedOn w:val="733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character" w:styleId="720">
    <w:name w:val="Footnote Text Char"/>
    <w:link w:val="880"/>
    <w:uiPriority w:val="99"/>
    <w:rPr>
      <w:sz w:val="18"/>
    </w:rPr>
  </w:style>
  <w:style w:type="character" w:styleId="721">
    <w:name w:val="Endnote Text Char"/>
    <w:link w:val="883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link w:val="917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eastAsia="Times New Roman"/>
      <w:b/>
      <w:bCs/>
      <w:sz w:val="48"/>
      <w:szCs w:val="48"/>
      <w:lang w:eastAsia="ru-RU"/>
    </w:rPr>
  </w:style>
  <w:style w:type="paragraph" w:styleId="724">
    <w:name w:val="Heading 2"/>
    <w:basedOn w:val="722"/>
    <w:next w:val="722"/>
    <w:link w:val="918"/>
    <w:qFormat/>
    <w:pPr>
      <w:keepNext/>
      <w:spacing w:before="240" w:after="60" w:line="240" w:lineRule="auto"/>
      <w:outlineLvl w:val="1"/>
    </w:pPr>
    <w:rPr>
      <w:rFonts w:ascii="Cambria" w:hAnsi="Cambria" w:eastAsia="Times New Roman"/>
      <w:b/>
      <w:bCs/>
      <w:i/>
      <w:iCs/>
      <w:sz w:val="28"/>
      <w:szCs w:val="28"/>
      <w:lang w:eastAsia="ru-RU"/>
    </w:rPr>
  </w:style>
  <w:style w:type="paragraph" w:styleId="725">
    <w:name w:val="Heading 3"/>
    <w:basedOn w:val="722"/>
    <w:next w:val="722"/>
    <w:link w:val="919"/>
    <w:qFormat/>
    <w:pPr>
      <w:keepNext/>
      <w:spacing w:before="240" w:after="60" w:line="240" w:lineRule="auto"/>
      <w:outlineLvl w:val="2"/>
    </w:pPr>
    <w:rPr>
      <w:rFonts w:ascii="Cambria" w:hAnsi="Cambria" w:eastAsia="Times New Roman"/>
      <w:b/>
      <w:bCs/>
      <w:sz w:val="26"/>
      <w:szCs w:val="26"/>
      <w:lang w:eastAsia="ru-RU"/>
    </w:rPr>
  </w:style>
  <w:style w:type="paragraph" w:styleId="726">
    <w:name w:val="Heading 4"/>
    <w:basedOn w:val="722"/>
    <w:next w:val="722"/>
    <w:link w:val="73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Heading 1 Char"/>
    <w:basedOn w:val="732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Heading 2 Char"/>
    <w:basedOn w:val="732"/>
    <w:uiPriority w:val="9"/>
    <w:rPr>
      <w:rFonts w:ascii="Arial" w:hAnsi="Arial" w:eastAsia="Arial" w:cs="Arial"/>
      <w:sz w:val="34"/>
    </w:rPr>
  </w:style>
  <w:style w:type="character" w:styleId="737" w:customStyle="1">
    <w:name w:val="Heading 3 Char"/>
    <w:basedOn w:val="732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Заголовок 4 Знак"/>
    <w:basedOn w:val="732"/>
    <w:link w:val="726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Title"/>
    <w:basedOn w:val="722"/>
    <w:next w:val="722"/>
    <w:link w:val="745"/>
    <w:uiPriority w:val="10"/>
    <w:qFormat/>
    <w:pPr>
      <w:contextualSpacing/>
      <w:spacing w:before="300"/>
    </w:pPr>
    <w:rPr>
      <w:sz w:val="48"/>
      <w:szCs w:val="48"/>
    </w:rPr>
  </w:style>
  <w:style w:type="character" w:styleId="745" w:customStyle="1">
    <w:name w:val="Заголовок Знак"/>
    <w:basedOn w:val="732"/>
    <w:link w:val="744"/>
    <w:uiPriority w:val="10"/>
    <w:rPr>
      <w:sz w:val="48"/>
      <w:szCs w:val="48"/>
    </w:rPr>
  </w:style>
  <w:style w:type="paragraph" w:styleId="746">
    <w:name w:val="Subtitle"/>
    <w:basedOn w:val="722"/>
    <w:next w:val="722"/>
    <w:link w:val="747"/>
    <w:uiPriority w:val="11"/>
    <w:qFormat/>
    <w:pPr>
      <w:spacing w:before="200"/>
    </w:pPr>
    <w:rPr>
      <w:sz w:val="24"/>
      <w:szCs w:val="24"/>
    </w:rPr>
  </w:style>
  <w:style w:type="character" w:styleId="747" w:customStyle="1">
    <w:name w:val="Подзаголовок Знак"/>
    <w:basedOn w:val="732"/>
    <w:link w:val="746"/>
    <w:uiPriority w:val="11"/>
    <w:rPr>
      <w:sz w:val="24"/>
      <w:szCs w:val="24"/>
    </w:rPr>
  </w:style>
  <w:style w:type="paragraph" w:styleId="748">
    <w:name w:val="Quote"/>
    <w:basedOn w:val="722"/>
    <w:next w:val="722"/>
    <w:link w:val="749"/>
    <w:uiPriority w:val="29"/>
    <w:qFormat/>
    <w:pPr>
      <w:ind w:left="720" w:right="720"/>
    </w:pPr>
    <w:rPr>
      <w:i/>
    </w:rPr>
  </w:style>
  <w:style w:type="character" w:styleId="749" w:customStyle="1">
    <w:name w:val="Цитата 2 Знак"/>
    <w:link w:val="748"/>
    <w:uiPriority w:val="29"/>
    <w:rPr>
      <w:i/>
    </w:rPr>
  </w:style>
  <w:style w:type="paragraph" w:styleId="750">
    <w:name w:val="Intense Quote"/>
    <w:basedOn w:val="722"/>
    <w:next w:val="722"/>
    <w:link w:val="75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1" w:customStyle="1">
    <w:name w:val="Выделенная цитата Знак"/>
    <w:link w:val="750"/>
    <w:uiPriority w:val="30"/>
    <w:rPr>
      <w:i/>
    </w:rPr>
  </w:style>
  <w:style w:type="character" w:styleId="752" w:customStyle="1">
    <w:name w:val="Header Char"/>
    <w:basedOn w:val="732"/>
    <w:uiPriority w:val="99"/>
  </w:style>
  <w:style w:type="character" w:styleId="753" w:customStyle="1">
    <w:name w:val="Footer Char"/>
    <w:basedOn w:val="732"/>
    <w:uiPriority w:val="99"/>
  </w:style>
  <w:style w:type="character" w:styleId="754" w:customStyle="1">
    <w:name w:val="Caption Char"/>
    <w:uiPriority w:val="99"/>
  </w:style>
  <w:style w:type="table" w:styleId="755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6" w:customStyle="1">
    <w:name w:val="Таблица простая 1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7" w:customStyle="1">
    <w:name w:val="Таблица простая 21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8" w:customStyle="1">
    <w:name w:val="Таблица простая 3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9" w:customStyle="1">
    <w:name w:val="Таблица простая 4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Таблица простая 51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1" w:customStyle="1">
    <w:name w:val="Таблица-сетка 1 светлая1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Таблица-сетка 2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Таблица-сетка 31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Таблица-сетка 41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3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4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5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6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7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8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9" w:customStyle="1">
    <w:name w:val="Таблица-сетка 5 темная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6" w:customStyle="1">
    <w:name w:val="Таблица-сетк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7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8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9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0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1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2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3" w:customStyle="1">
    <w:name w:val="Таблица-сетка 7 цветная1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Список-таблица 1 светлая1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Список-таблица 21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4" w:customStyle="1">
    <w:name w:val="Список-таблица 3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Список-таблица 41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Список-таблица 5 темная1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Список-таблица 6 цветная1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6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7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8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9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0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1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2" w:customStyle="1">
    <w:name w:val="Список-таблица 7 цветная1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3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4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0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1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2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3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4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5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6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7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8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9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0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1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2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3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4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5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6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7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8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9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0">
    <w:name w:val="footnote text"/>
    <w:basedOn w:val="722"/>
    <w:link w:val="881"/>
    <w:uiPriority w:val="99"/>
    <w:semiHidden/>
    <w:unhideWhenUsed/>
    <w:pPr>
      <w:spacing w:after="40" w:line="240" w:lineRule="auto"/>
    </w:pPr>
    <w:rPr>
      <w:sz w:val="18"/>
    </w:rPr>
  </w:style>
  <w:style w:type="character" w:styleId="881" w:customStyle="1">
    <w:name w:val="Текст сноски Знак"/>
    <w:link w:val="880"/>
    <w:uiPriority w:val="99"/>
    <w:rPr>
      <w:sz w:val="18"/>
    </w:rPr>
  </w:style>
  <w:style w:type="character" w:styleId="882">
    <w:name w:val="footnote reference"/>
    <w:basedOn w:val="732"/>
    <w:uiPriority w:val="99"/>
    <w:unhideWhenUsed/>
    <w:rPr>
      <w:vertAlign w:val="superscript"/>
    </w:rPr>
  </w:style>
  <w:style w:type="paragraph" w:styleId="883">
    <w:name w:val="endnote text"/>
    <w:basedOn w:val="722"/>
    <w:link w:val="884"/>
    <w:uiPriority w:val="99"/>
    <w:semiHidden/>
    <w:unhideWhenUsed/>
    <w:pPr>
      <w:spacing w:after="0" w:line="240" w:lineRule="auto"/>
    </w:pPr>
    <w:rPr>
      <w:sz w:val="20"/>
    </w:rPr>
  </w:style>
  <w:style w:type="character" w:styleId="884" w:customStyle="1">
    <w:name w:val="Текст концевой сноски Знак"/>
    <w:link w:val="883"/>
    <w:uiPriority w:val="99"/>
    <w:rPr>
      <w:sz w:val="20"/>
    </w:rPr>
  </w:style>
  <w:style w:type="character" w:styleId="885">
    <w:name w:val="endnote reference"/>
    <w:basedOn w:val="732"/>
    <w:uiPriority w:val="99"/>
    <w:semiHidden/>
    <w:unhideWhenUsed/>
    <w:rPr>
      <w:vertAlign w:val="superscript"/>
    </w:rPr>
  </w:style>
  <w:style w:type="paragraph" w:styleId="886">
    <w:name w:val="toc 1"/>
    <w:basedOn w:val="722"/>
    <w:next w:val="722"/>
    <w:uiPriority w:val="39"/>
    <w:unhideWhenUsed/>
    <w:pPr>
      <w:spacing w:after="57"/>
    </w:pPr>
  </w:style>
  <w:style w:type="paragraph" w:styleId="887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88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89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0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1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2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3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4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5">
    <w:name w:val="TOC Heading"/>
    <w:uiPriority w:val="39"/>
    <w:unhideWhenUsed/>
  </w:style>
  <w:style w:type="paragraph" w:styleId="896">
    <w:name w:val="table of figures"/>
    <w:basedOn w:val="722"/>
    <w:next w:val="722"/>
    <w:uiPriority w:val="99"/>
    <w:unhideWhenUsed/>
    <w:pPr>
      <w:spacing w:after="0"/>
    </w:pPr>
  </w:style>
  <w:style w:type="paragraph" w:styleId="897" w:customStyle="1">
    <w:name w:val="ConsPlusNormal"/>
    <w:pPr>
      <w:widowControl w:val="off"/>
    </w:pPr>
    <w:rPr>
      <w:rFonts w:eastAsia="Times New Roman" w:cs="Calibri"/>
      <w:sz w:val="22"/>
      <w:szCs w:val="22"/>
    </w:rPr>
  </w:style>
  <w:style w:type="paragraph" w:styleId="898" w:customStyle="1">
    <w:name w:val="ConsPlusNonformat"/>
    <w:uiPriority w:val="99"/>
    <w:pPr>
      <w:widowControl w:val="off"/>
    </w:pPr>
    <w:rPr>
      <w:rFonts w:ascii="Courier New" w:hAnsi="Courier New" w:eastAsia="Times New Roman" w:cs="Courier New"/>
    </w:rPr>
  </w:style>
  <w:style w:type="paragraph" w:styleId="899" w:customStyle="1">
    <w:name w:val="ConsPlusTitle"/>
    <w:pPr>
      <w:widowControl w:val="off"/>
    </w:pPr>
    <w:rPr>
      <w:rFonts w:eastAsia="Times New Roman" w:cs="Calibri"/>
      <w:b/>
      <w:bCs/>
      <w:sz w:val="22"/>
      <w:szCs w:val="22"/>
    </w:rPr>
  </w:style>
  <w:style w:type="paragraph" w:styleId="900" w:customStyle="1">
    <w:name w:val="ConsPlusCell"/>
    <w:uiPriority w:val="99"/>
    <w:pPr>
      <w:widowControl w:val="off"/>
    </w:pPr>
    <w:rPr>
      <w:rFonts w:eastAsia="Times New Roman" w:cs="Calibri"/>
      <w:sz w:val="22"/>
      <w:szCs w:val="22"/>
    </w:rPr>
  </w:style>
  <w:style w:type="character" w:styleId="901" w:customStyle="1">
    <w:name w:val="МОН Знак"/>
    <w:link w:val="902"/>
    <w:rPr>
      <w:sz w:val="24"/>
      <w:szCs w:val="24"/>
    </w:rPr>
  </w:style>
  <w:style w:type="paragraph" w:styleId="902" w:customStyle="1">
    <w:name w:val="МОН"/>
    <w:basedOn w:val="722"/>
    <w:link w:val="901"/>
    <w:pPr>
      <w:ind w:firstLine="709"/>
      <w:jc w:val="both"/>
      <w:spacing w:after="0" w:line="360" w:lineRule="auto"/>
    </w:pPr>
    <w:rPr>
      <w:sz w:val="24"/>
      <w:szCs w:val="24"/>
    </w:rPr>
  </w:style>
  <w:style w:type="character" w:styleId="903">
    <w:name w:val="Strong"/>
    <w:qFormat/>
    <w:rPr>
      <w:b/>
      <w:bCs/>
    </w:rPr>
  </w:style>
  <w:style w:type="paragraph" w:styleId="904">
    <w:name w:val="List Paragraph"/>
    <w:basedOn w:val="722"/>
    <w:qFormat/>
    <w:pPr>
      <w:contextualSpacing/>
      <w:ind w:left="720"/>
    </w:pPr>
  </w:style>
  <w:style w:type="character" w:styleId="905" w:customStyle="1">
    <w:name w:val="Основной текст_"/>
    <w:link w:val="906"/>
    <w:rPr>
      <w:rFonts w:ascii="Times New Roman" w:hAnsi="Times New Roman" w:eastAsia="Times New Roman" w:cs="Times New Roman"/>
      <w:spacing w:val="-1"/>
      <w:sz w:val="26"/>
      <w:szCs w:val="26"/>
      <w:shd w:val="clear" w:color="auto" w:fill="ffffff"/>
    </w:rPr>
  </w:style>
  <w:style w:type="paragraph" w:styleId="906" w:customStyle="1">
    <w:name w:val="Основной текст2"/>
    <w:basedOn w:val="722"/>
    <w:link w:val="905"/>
    <w:pPr>
      <w:jc w:val="both"/>
      <w:spacing w:before="420" w:after="0" w:line="322" w:lineRule="exact"/>
      <w:shd w:val="clear" w:color="auto" w:fill="ffffff"/>
      <w:widowControl w:val="off"/>
    </w:pPr>
    <w:rPr>
      <w:rFonts w:ascii="Times New Roman" w:hAnsi="Times New Roman" w:eastAsia="Times New Roman"/>
      <w:spacing w:val="-1"/>
      <w:sz w:val="26"/>
      <w:szCs w:val="26"/>
    </w:rPr>
  </w:style>
  <w:style w:type="paragraph" w:styleId="907">
    <w:name w:val="Body Text 2"/>
    <w:basedOn w:val="722"/>
    <w:link w:val="908"/>
    <w:pPr>
      <w:jc w:val="both"/>
      <w:spacing w:after="0" w:line="240" w:lineRule="auto"/>
    </w:pPr>
    <w:rPr>
      <w:rFonts w:ascii="Times New Roman" w:hAnsi="Times New Roman" w:eastAsia="Times New Roman"/>
      <w:b/>
      <w:bCs/>
      <w:sz w:val="24"/>
      <w:szCs w:val="20"/>
      <w:lang w:eastAsia="fi-FI"/>
    </w:rPr>
  </w:style>
  <w:style w:type="character" w:styleId="908" w:customStyle="1">
    <w:name w:val="Основной текст 2 Знак"/>
    <w:link w:val="907"/>
    <w:rPr>
      <w:rFonts w:ascii="Times New Roman" w:hAnsi="Times New Roman" w:eastAsia="Times New Roman" w:cs="Times New Roman"/>
      <w:b/>
      <w:bCs/>
      <w:sz w:val="24"/>
      <w:szCs w:val="20"/>
      <w:lang w:eastAsia="fi-FI"/>
    </w:rPr>
  </w:style>
  <w:style w:type="paragraph" w:styleId="909">
    <w:name w:val="Footer"/>
    <w:basedOn w:val="722"/>
    <w:link w:val="910"/>
    <w:uiPriority w:val="99"/>
    <w:unhideWhenUsed/>
    <w:pPr>
      <w:jc w:val="both"/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4"/>
      <w:szCs w:val="24"/>
    </w:rPr>
  </w:style>
  <w:style w:type="character" w:styleId="910" w:customStyle="1">
    <w:name w:val="Нижний колонтитул Знак"/>
    <w:link w:val="909"/>
    <w:uiPriority w:val="99"/>
    <w:rPr>
      <w:rFonts w:ascii="Times New Roman" w:hAnsi="Times New Roman" w:eastAsia="Calibri" w:cs="Times New Roman"/>
      <w:sz w:val="24"/>
      <w:szCs w:val="24"/>
    </w:rPr>
  </w:style>
  <w:style w:type="character" w:styleId="911" w:customStyle="1">
    <w:name w:val="Основной текст + 8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-2"/>
      <w:position w:val="0"/>
      <w:sz w:val="16"/>
      <w:szCs w:val="16"/>
      <w:u w:val="none"/>
      <w:lang w:val="ru-RU"/>
    </w:rPr>
  </w:style>
  <w:style w:type="paragraph" w:styleId="912" w:customStyle="1">
    <w:name w:val="3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13" w:customStyle="1">
    <w:name w:val="Основной текст + 10;5 pt;Интервал 0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2"/>
      <w:position w:val="0"/>
      <w:sz w:val="21"/>
      <w:szCs w:val="21"/>
      <w:u w:val="none"/>
      <w:lang w:val="ru-RU"/>
    </w:rPr>
  </w:style>
  <w:style w:type="paragraph" w:styleId="914">
    <w:name w:val="Normal (Web)"/>
    <w:basedOn w:val="722"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15">
    <w:name w:val="Body Text Indent"/>
    <w:basedOn w:val="722"/>
    <w:link w:val="916"/>
    <w:pPr>
      <w:ind w:left="283"/>
      <w:spacing w:after="120" w:line="240" w:lineRule="auto"/>
    </w:pPr>
    <w:rPr>
      <w:rFonts w:ascii="Times New Roman" w:hAnsi="Times New Roman" w:eastAsia="Times New Roman"/>
      <w:sz w:val="24"/>
      <w:szCs w:val="24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Times New Roman" w:cs="Times New Roman"/>
      <w:sz w:val="24"/>
      <w:szCs w:val="24"/>
    </w:rPr>
  </w:style>
  <w:style w:type="character" w:styleId="917" w:customStyle="1">
    <w:name w:val="Заголовок 1 Знак"/>
    <w:link w:val="723"/>
    <w:uiPriority w:val="9"/>
    <w:rPr>
      <w:rFonts w:ascii="Times New Roman" w:hAnsi="Times New Roman" w:eastAsia="Times New Roman" w:cs="Times New Roman"/>
      <w:b/>
      <w:bCs/>
      <w:sz w:val="48"/>
      <w:szCs w:val="48"/>
      <w:lang w:eastAsia="ru-RU"/>
    </w:rPr>
  </w:style>
  <w:style w:type="character" w:styleId="918" w:customStyle="1">
    <w:name w:val="Заголовок 2 Знак"/>
    <w:link w:val="724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919" w:customStyle="1">
    <w:name w:val="Заголовок 3 Знак"/>
    <w:link w:val="725"/>
    <w:rPr>
      <w:rFonts w:ascii="Cambria" w:hAnsi="Cambria" w:eastAsia="Times New Roman" w:cs="Times New Roman"/>
      <w:b/>
      <w:bCs/>
      <w:sz w:val="26"/>
      <w:szCs w:val="26"/>
      <w:lang w:eastAsia="ru-RU"/>
    </w:rPr>
  </w:style>
  <w:style w:type="table" w:styleId="920">
    <w:name w:val="Table Grid"/>
    <w:basedOn w:val="733"/>
    <w:uiPriority w:val="99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21">
    <w:name w:val="Balloon Text"/>
    <w:basedOn w:val="722"/>
    <w:link w:val="922"/>
    <w:pPr>
      <w:spacing w:after="0" w:line="240" w:lineRule="auto"/>
    </w:pPr>
    <w:rPr>
      <w:rFonts w:ascii="Tahoma" w:hAnsi="Tahoma" w:eastAsia="Times New Roman" w:cs="Tahoma"/>
      <w:sz w:val="16"/>
      <w:szCs w:val="16"/>
      <w:lang w:eastAsia="ru-RU"/>
    </w:rPr>
  </w:style>
  <w:style w:type="character" w:styleId="922" w:customStyle="1">
    <w:name w:val="Текст выноски Знак"/>
    <w:link w:val="921"/>
    <w:rPr>
      <w:rFonts w:ascii="Tahoma" w:hAnsi="Tahoma" w:eastAsia="Times New Roman" w:cs="Tahoma"/>
      <w:sz w:val="16"/>
      <w:szCs w:val="16"/>
      <w:lang w:eastAsia="ru-RU"/>
    </w:rPr>
  </w:style>
  <w:style w:type="paragraph" w:styleId="923">
    <w:name w:val="Header"/>
    <w:basedOn w:val="722"/>
    <w:link w:val="924"/>
    <w:uiPriority w:val="9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24" w:customStyle="1">
    <w:name w:val="Верхний колонтитул Знак"/>
    <w:link w:val="923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25">
    <w:name w:val="Emphasis"/>
    <w:qFormat/>
    <w:rPr>
      <w:i/>
      <w:iCs/>
    </w:rPr>
  </w:style>
  <w:style w:type="paragraph" w:styleId="926" w:customStyle="1">
    <w:name w:val="Содержимое таблицы"/>
    <w:basedOn w:val="722"/>
    <w:pPr>
      <w:spacing w:after="0" w:line="240" w:lineRule="auto"/>
      <w:widowControl w:val="off"/>
      <w:suppressLineNumbers/>
    </w:pPr>
    <w:rPr>
      <w:rFonts w:ascii="Times New Roman" w:hAnsi="Times New Roman"/>
      <w:sz w:val="24"/>
      <w:szCs w:val="24"/>
      <w:lang w:eastAsia="ar-SA"/>
    </w:rPr>
  </w:style>
  <w:style w:type="paragraph" w:styleId="927" w:customStyle="1">
    <w:name w:val="consplusnormal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8" w:customStyle="1">
    <w:name w:val="a2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9" w:customStyle="1">
    <w:name w:val="15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0" w:customStyle="1">
    <w:name w:val="Знак Знак5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1" w:customStyle="1">
    <w:name w:val="h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2" w:customStyle="1">
    <w:name w:val="msonospacing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3" w:customStyle="1">
    <w:name w:val="ac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34">
    <w:name w:val="Body Text 3"/>
    <w:basedOn w:val="722"/>
    <w:link w:val="935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5" w:customStyle="1">
    <w:name w:val="Основной текст 3 Знак"/>
    <w:link w:val="934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36">
    <w:name w:val="HTML Bottom of Form"/>
    <w:basedOn w:val="722"/>
    <w:next w:val="722"/>
    <w:link w:val="937"/>
    <w:hidden/>
    <w:pPr>
      <w:jc w:val="center"/>
      <w:spacing w:after="0" w:line="240" w:lineRule="auto"/>
      <w:pBdr>
        <w:top w:val="single" w:color="000000" w:sz="6" w:space="1"/>
      </w:pBdr>
    </w:pPr>
    <w:rPr>
      <w:rFonts w:ascii="Arial" w:hAnsi="Arial" w:eastAsia="Times New Roman"/>
      <w:vanish/>
      <w:sz w:val="16"/>
      <w:szCs w:val="16"/>
      <w:lang w:eastAsia="ru-RU"/>
    </w:rPr>
  </w:style>
  <w:style w:type="character" w:styleId="937" w:customStyle="1">
    <w:name w:val="z-Конец формы Знак"/>
    <w:link w:val="936"/>
    <w:rPr>
      <w:rFonts w:ascii="Arial" w:hAnsi="Arial" w:eastAsia="Times New Roman" w:cs="Times New Roman"/>
      <w:vanish/>
      <w:sz w:val="16"/>
      <w:szCs w:val="16"/>
      <w:lang w:eastAsia="ru-RU"/>
    </w:rPr>
  </w:style>
  <w:style w:type="paragraph" w:styleId="938" w:customStyle="1">
    <w:name w:val="Style16"/>
    <w:basedOn w:val="722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39" w:customStyle="1">
    <w:name w:val="Font Style21"/>
    <w:rPr>
      <w:rFonts w:ascii="Times New Roman" w:hAnsi="Times New Roman" w:cs="Times New Roman"/>
      <w:b/>
      <w:bCs/>
      <w:sz w:val="24"/>
      <w:szCs w:val="24"/>
    </w:rPr>
  </w:style>
  <w:style w:type="paragraph" w:styleId="940">
    <w:name w:val="Caption"/>
    <w:basedOn w:val="722"/>
    <w:next w:val="722"/>
    <w:qFormat/>
    <w:pPr>
      <w:jc w:val="center"/>
      <w:spacing w:after="0" w:line="240" w:lineRule="auto"/>
    </w:pPr>
    <w:rPr>
      <w:rFonts w:ascii="Times New Roman" w:hAnsi="Times New Roman" w:eastAsia="Times New Roman"/>
      <w:b/>
      <w:sz w:val="32"/>
      <w:szCs w:val="20"/>
      <w:lang w:eastAsia="ru-RU"/>
    </w:rPr>
  </w:style>
  <w:style w:type="paragraph" w:styleId="941">
    <w:name w:val="Body Text"/>
    <w:basedOn w:val="722"/>
    <w:link w:val="942"/>
    <w:uiPriority w:val="99"/>
    <w:pPr>
      <w:spacing w:after="120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2" w:customStyle="1">
    <w:name w:val="Основной текст Знак"/>
    <w:link w:val="941"/>
    <w:uiPriority w:val="99"/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943">
    <w:name w:val="Body Text Indent 2"/>
    <w:basedOn w:val="722"/>
    <w:link w:val="944"/>
    <w:pPr>
      <w:ind w:left="283"/>
      <w:spacing w:after="120" w:line="48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44" w:customStyle="1">
    <w:name w:val="Основной текст с отступом 2 Знак"/>
    <w:link w:val="943"/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945" w:customStyle="1">
    <w:name w:val="Заголовок №2_"/>
    <w:link w:val="946"/>
    <w:rPr>
      <w:rFonts w:ascii="Times New Roman" w:hAnsi="Times New Roman" w:eastAsia="Times New Roman" w:cs="Times New Roman"/>
      <w:b/>
      <w:bCs/>
      <w:sz w:val="26"/>
      <w:szCs w:val="26"/>
      <w:shd w:val="clear" w:color="auto" w:fill="ffffff"/>
    </w:rPr>
  </w:style>
  <w:style w:type="paragraph" w:styleId="946" w:customStyle="1">
    <w:name w:val="Заголовок №2"/>
    <w:basedOn w:val="722"/>
    <w:link w:val="945"/>
    <w:pPr>
      <w:ind w:hanging="4760"/>
      <w:spacing w:after="420" w:line="0" w:lineRule="atLeast"/>
      <w:shd w:val="clear" w:color="auto" w:fill="ffffff"/>
      <w:widowControl w:val="off"/>
      <w:outlineLvl w:val="1"/>
    </w:pPr>
    <w:rPr>
      <w:rFonts w:ascii="Times New Roman" w:hAnsi="Times New Roman" w:eastAsia="Times New Roman"/>
      <w:b/>
      <w:bCs/>
      <w:sz w:val="26"/>
      <w:szCs w:val="26"/>
    </w:rPr>
  </w:style>
  <w:style w:type="paragraph" w:styleId="947">
    <w:name w:val="No Spacing"/>
    <w:uiPriority w:val="99"/>
    <w:qFormat/>
    <w:rPr>
      <w:sz w:val="22"/>
      <w:szCs w:val="22"/>
      <w:lang w:eastAsia="en-US"/>
    </w:rPr>
  </w:style>
  <w:style w:type="paragraph" w:styleId="948" w:customStyle="1">
    <w:name w:val="Default"/>
    <w:rPr>
      <w:rFonts w:ascii="Arial" w:hAnsi="Arial" w:cs="Arial"/>
      <w:color w:val="000000"/>
      <w:sz w:val="24"/>
      <w:szCs w:val="24"/>
    </w:rPr>
  </w:style>
  <w:style w:type="paragraph" w:styleId="949" w:customStyle="1">
    <w:name w:val="msonormalcxspmiddl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numbering" w:styleId="950" w:customStyle="1">
    <w:name w:val="Нет списка1"/>
    <w:next w:val="734"/>
    <w:semiHidden/>
    <w:unhideWhenUsed/>
  </w:style>
  <w:style w:type="table" w:styleId="951" w:customStyle="1">
    <w:name w:val="Сетка таблицы1"/>
    <w:basedOn w:val="733"/>
    <w:next w:val="920"/>
    <w:rPr>
      <w:rFonts w:ascii="Times New Roman" w:hAnsi="Times New Roman" w:eastAsia="Times New Roman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952" w:customStyle="1">
    <w:name w:val="Абзац списка1"/>
    <w:basedOn w:val="722"/>
    <w:pPr>
      <w:ind w:left="720"/>
      <w:spacing w:after="0" w:line="240" w:lineRule="auto"/>
    </w:pPr>
    <w:rPr>
      <w:rFonts w:ascii="Times New Roman" w:hAnsi="Times New Roman" w:eastAsia="Times New Roman"/>
      <w:sz w:val="20"/>
      <w:szCs w:val="20"/>
      <w:lang w:eastAsia="ru-RU"/>
    </w:rPr>
  </w:style>
  <w:style w:type="paragraph" w:styleId="953" w:customStyle="1">
    <w:name w:val="Знак Знак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4" w:customStyle="1">
    <w:name w:val="ConsNonformat"/>
    <w:pPr>
      <w:ind w:right="19772"/>
      <w:widowControl w:val="off"/>
    </w:pPr>
    <w:rPr>
      <w:rFonts w:ascii="Courier New" w:hAnsi="Courier New" w:eastAsia="Times New Roman" w:cs="Courier New"/>
    </w:rPr>
  </w:style>
  <w:style w:type="paragraph" w:styleId="955" w:customStyle="1">
    <w:name w:val="ConsNormal"/>
    <w:pPr>
      <w:ind w:right="19772" w:firstLine="720"/>
      <w:widowControl w:val="off"/>
    </w:pPr>
    <w:rPr>
      <w:rFonts w:ascii="Arial" w:hAnsi="Arial" w:eastAsia="Times New Roman" w:cs="Arial"/>
    </w:rPr>
  </w:style>
  <w:style w:type="paragraph" w:styleId="956" w:customStyle="1">
    <w:name w:val="Обычный (веб)18"/>
    <w:basedOn w:val="722"/>
    <w:pPr>
      <w:jc w:val="both"/>
      <w:spacing w:after="0" w:line="240" w:lineRule="auto"/>
    </w:pPr>
    <w:rPr>
      <w:rFonts w:ascii="Times New Roman" w:hAnsi="Times New Roman" w:eastAsia="Times New Roman"/>
      <w:bCs/>
      <w:color w:val="000000"/>
      <w:sz w:val="28"/>
      <w:szCs w:val="28"/>
      <w:lang w:eastAsia="ar-SA"/>
    </w:rPr>
  </w:style>
  <w:style w:type="paragraph" w:styleId="957" w:customStyle="1">
    <w:name w:val="Знак Знак25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8" w:customStyle="1">
    <w:name w:val="Знак Знак24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59" w:customStyle="1">
    <w:name w:val="Знак Знак2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0" w:customStyle="1">
    <w:name w:val="Знак Знак23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1" w:customStyle="1">
    <w:name w:val="Знак Знак22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2" w:customStyle="1">
    <w:name w:val="Знак Знак2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63">
    <w:name w:val="Body Text Indent 3"/>
    <w:basedOn w:val="722"/>
    <w:link w:val="964"/>
    <w:uiPriority w:val="99"/>
    <w:semiHidden/>
    <w:unhideWhenUsed/>
    <w:pPr>
      <w:ind w:left="283"/>
      <w:spacing w:after="120"/>
    </w:pPr>
    <w:rPr>
      <w:sz w:val="16"/>
      <w:szCs w:val="16"/>
    </w:rPr>
  </w:style>
  <w:style w:type="character" w:styleId="964" w:customStyle="1">
    <w:name w:val="Основной текст с отступом 3 Знак"/>
    <w:link w:val="963"/>
    <w:uiPriority w:val="99"/>
    <w:semiHidden/>
    <w:rPr>
      <w:sz w:val="16"/>
      <w:szCs w:val="16"/>
    </w:rPr>
  </w:style>
  <w:style w:type="paragraph" w:styleId="965" w:customStyle="1">
    <w:name w:val="1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character" w:styleId="966">
    <w:name w:val="Hyperlink"/>
    <w:rPr>
      <w:strike w:val="0"/>
      <w:color w:val="808080"/>
      <w:u w:val="none"/>
    </w:rPr>
  </w:style>
  <w:style w:type="character" w:styleId="967" w:customStyle="1">
    <w:name w:val="blk"/>
  </w:style>
  <w:style w:type="character" w:styleId="968" w:customStyle="1">
    <w:name w:val="Основной текст1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1"/>
      <w:szCs w:val="21"/>
      <w:u w:val="none"/>
      <w:lang w:val="ru-RU" w:eastAsia="ru-RU" w:bidi="ru-RU"/>
    </w:rPr>
  </w:style>
  <w:style w:type="paragraph" w:styleId="969" w:customStyle="1">
    <w:name w:val="Знак Знак2 Знак Знак Знак Знак Знак Знак Знак Знак Знак Знак Знак Знак Знак Знак Знак Знак"/>
    <w:basedOn w:val="722"/>
    <w:pPr>
      <w:spacing w:after="160" w:line="240" w:lineRule="exact"/>
    </w:pPr>
    <w:rPr>
      <w:rFonts w:ascii="Verdana" w:hAnsi="Verdana" w:eastAsia="Times New Roman" w:cs="Verdana"/>
      <w:sz w:val="20"/>
      <w:szCs w:val="20"/>
      <w:lang w:val="en-US"/>
    </w:rPr>
  </w:style>
  <w:style w:type="paragraph" w:styleId="970" w:customStyle="1">
    <w:name w:val="Прижатый влево"/>
    <w:basedOn w:val="722"/>
    <w:next w:val="722"/>
    <w:uiPriority w:val="99"/>
    <w:pPr>
      <w:spacing w:after="0" w:line="240" w:lineRule="auto"/>
    </w:pPr>
    <w:rPr>
      <w:rFonts w:ascii="Arial" w:hAnsi="Arial" w:eastAsia="Times New Roman" w:cs="Arial"/>
      <w:sz w:val="24"/>
      <w:szCs w:val="24"/>
      <w:lang w:eastAsia="ru-RU"/>
    </w:rPr>
  </w:style>
  <w:style w:type="paragraph" w:styleId="971" w:customStyle="1">
    <w:name w:val="Стиль 13 пт По ширине"/>
    <w:basedOn w:val="722"/>
    <w:pPr>
      <w:jc w:val="both"/>
      <w:spacing w:after="0" w:line="240" w:lineRule="auto"/>
    </w:pPr>
    <w:rPr>
      <w:rFonts w:ascii="Times New Roman" w:hAnsi="Times New Roman" w:eastAsia="Times New Roman"/>
      <w:sz w:val="26"/>
      <w:szCs w:val="20"/>
      <w:lang w:eastAsia="ru-RU"/>
    </w:rPr>
  </w:style>
  <w:style w:type="character" w:styleId="972" w:customStyle="1">
    <w:name w:val="Font Style65"/>
    <w:uiPriority w:val="99"/>
    <w:rPr>
      <w:rFonts w:ascii="Times New Roman" w:hAnsi="Times New Roman"/>
      <w:sz w:val="22"/>
    </w:rPr>
  </w:style>
  <w:style w:type="paragraph" w:styleId="973" w:customStyle="1">
    <w:name w:val="Style20"/>
    <w:basedOn w:val="722"/>
    <w:uiPriority w:val="99"/>
    <w:pPr>
      <w:spacing w:after="0" w:line="240" w:lineRule="auto"/>
      <w:widowControl w:val="off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74" w:customStyle="1">
    <w:name w:val="company-header__full-name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character" w:styleId="975" w:customStyle="1">
    <w:name w:val="copy_target"/>
    <w:basedOn w:val="732"/>
  </w:style>
  <w:style w:type="character" w:styleId="976">
    <w:name w:val="annotation reference"/>
    <w:basedOn w:val="732"/>
    <w:uiPriority w:val="99"/>
    <w:semiHidden/>
    <w:unhideWhenUsed/>
    <w:rPr>
      <w:sz w:val="16"/>
      <w:szCs w:val="16"/>
    </w:rPr>
  </w:style>
  <w:style w:type="paragraph" w:styleId="977">
    <w:name w:val="annotation text"/>
    <w:basedOn w:val="722"/>
    <w:link w:val="978"/>
    <w:uiPriority w:val="99"/>
    <w:unhideWhenUsed/>
    <w:pPr>
      <w:spacing w:line="240" w:lineRule="auto"/>
    </w:pPr>
    <w:rPr>
      <w:sz w:val="20"/>
      <w:szCs w:val="20"/>
    </w:rPr>
  </w:style>
  <w:style w:type="character" w:styleId="978" w:customStyle="1">
    <w:name w:val="Текст примечания Знак"/>
    <w:basedOn w:val="732"/>
    <w:link w:val="977"/>
    <w:uiPriority w:val="99"/>
    <w:rPr>
      <w:lang w:eastAsia="en-US"/>
    </w:rPr>
  </w:style>
  <w:style w:type="paragraph" w:styleId="979">
    <w:name w:val="annotation subject"/>
    <w:basedOn w:val="977"/>
    <w:next w:val="977"/>
    <w:link w:val="980"/>
    <w:uiPriority w:val="99"/>
    <w:semiHidden/>
    <w:unhideWhenUsed/>
    <w:rPr>
      <w:b/>
      <w:bCs/>
    </w:rPr>
  </w:style>
  <w:style w:type="character" w:styleId="980" w:customStyle="1">
    <w:name w:val="Тема примечания Знак"/>
    <w:basedOn w:val="978"/>
    <w:link w:val="979"/>
    <w:uiPriority w:val="99"/>
    <w:semiHidden/>
    <w:rPr>
      <w:b/>
      <w:bCs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AF5DF3-B73C-4CFD-A7EF-AEAF3DBDCF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Обадина Анна Владимировна</dc:creator>
  <cp:revision>19</cp:revision>
  <dcterms:created xsi:type="dcterms:W3CDTF">2026-03-10T08:47:00Z</dcterms:created>
  <dcterms:modified xsi:type="dcterms:W3CDTF">2026-04-14T09:48:58Z</dcterms:modified>
</cp:coreProperties>
</file>