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  <w:r>
        <w:rPr>
          <w:b/>
          <w:sz w:val="24"/>
          <w:szCs w:val="24"/>
          <w:lang w:val="en-US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2718148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4.0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07.04.2026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      № 516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п.г.т. Никель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</w:t>
      </w:r>
      <w:r>
        <w:rPr>
          <w:b/>
        </w:rPr>
        <w:t xml:space="preserve">Печенгского муниципального округа </w:t>
      </w:r>
      <w:r>
        <w:rPr>
          <w:b/>
        </w:rPr>
        <w:t xml:space="preserve">«Обеспечение общественного порядка и</w:t>
      </w:r>
      <w:r>
        <w:rPr>
          <w:b/>
        </w:rPr>
        <w:t xml:space="preserve"> </w:t>
      </w:r>
      <w:r>
        <w:rPr>
          <w:b/>
        </w:rPr>
        <w:t xml:space="preserve">безопасности населения» на 202</w:t>
      </w:r>
      <w:r>
        <w:rPr>
          <w:b/>
        </w:rPr>
        <w:t xml:space="preserve">6</w:t>
      </w:r>
      <w:r>
        <w:rPr>
          <w:b/>
        </w:rPr>
        <w:t xml:space="preserve"> - 202</w:t>
      </w:r>
      <w:r>
        <w:rPr>
          <w:b/>
        </w:rPr>
        <w:t xml:space="preserve">8</w:t>
      </w:r>
      <w:r>
        <w:rPr>
          <w:b/>
        </w:rPr>
        <w:t xml:space="preserve"> годы, утвержденную постановлением администрации Печенгского муниципального округа от </w:t>
      </w:r>
      <w:r>
        <w:rPr>
          <w:b/>
        </w:rPr>
        <w:t xml:space="preserve">12</w:t>
      </w:r>
      <w:r>
        <w:rPr>
          <w:b/>
        </w:rPr>
        <w:t xml:space="preserve">.11.202</w:t>
      </w:r>
      <w:r>
        <w:rPr>
          <w:b/>
        </w:rPr>
        <w:t xml:space="preserve">5</w:t>
      </w:r>
      <w:r>
        <w:rPr>
          <w:b/>
        </w:rPr>
        <w:t xml:space="preserve"> № 1</w:t>
      </w:r>
      <w:r>
        <w:rPr>
          <w:b/>
        </w:rPr>
        <w:t xml:space="preserve">839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Руко</w:t>
      </w:r>
      <w:r>
        <w:rPr>
          <w:rFonts w:eastAsia="Times New Roman"/>
          <w:sz w:val="24"/>
          <w:szCs w:val="24"/>
        </w:rPr>
        <w:t xml:space="preserve">водствуясь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</w:t>
      </w:r>
      <w:r>
        <w:rPr>
          <w:rFonts w:eastAsia="Times New Roman"/>
          <w:sz w:val="24"/>
          <w:szCs w:val="24"/>
        </w:rPr>
        <w:t xml:space="preserve">18.09.2025 № 1488</w:t>
      </w:r>
      <w:r>
        <w:rPr>
          <w:rFonts w:eastAsia="Times New Roman"/>
          <w:sz w:val="24"/>
          <w:szCs w:val="24"/>
        </w:rPr>
        <w:t xml:space="preserve">, в целях повышения эффективности использования бюджетных средств,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 «Обеспечение общественного порядка и безопасности населения</w:t>
      </w:r>
      <w:r>
        <w:rPr>
          <w:bCs/>
          <w:sz w:val="24"/>
          <w:szCs w:val="24"/>
        </w:rPr>
        <w:t xml:space="preserve">» на 202</w:t>
      </w:r>
      <w:r>
        <w:rPr>
          <w:bCs/>
          <w:sz w:val="24"/>
          <w:szCs w:val="24"/>
        </w:rPr>
        <w:t xml:space="preserve">6 </w:t>
      </w:r>
      <w:r>
        <w:rPr>
          <w:bCs/>
          <w:sz w:val="24"/>
          <w:szCs w:val="24"/>
        </w:rPr>
        <w:t xml:space="preserve">- 202</w:t>
      </w:r>
      <w:r>
        <w:rPr>
          <w:bCs/>
          <w:sz w:val="24"/>
          <w:szCs w:val="24"/>
        </w:rPr>
        <w:t xml:space="preserve">8</w:t>
      </w:r>
      <w:r>
        <w:rPr>
          <w:bCs/>
          <w:sz w:val="24"/>
          <w:szCs w:val="24"/>
        </w:rPr>
        <w:t xml:space="preserve"> годы, </w:t>
      </w:r>
      <w:r>
        <w:rPr>
          <w:sz w:val="24"/>
          <w:szCs w:val="24"/>
        </w:rPr>
        <w:t xml:space="preserve">утвержденную постановлением администрации Печенгского муниципального округа </w:t>
        <w:br/>
        <w:t xml:space="preserve">от 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839</w:t>
      </w:r>
      <w:r>
        <w:rPr>
          <w:sz w:val="24"/>
          <w:szCs w:val="24"/>
        </w:rPr>
        <w:t xml:space="preserve"> (в редакции постановления администрации Печенгского муниципального округа от 30.12.2025 № 2275)</w:t>
      </w:r>
      <w:r>
        <w:rPr>
          <w:sz w:val="24"/>
          <w:szCs w:val="24"/>
        </w:rPr>
        <w:t xml:space="preserve"> (далее - Программа),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программы» в паспорте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7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614"/>
        <w:gridCol w:w="7087"/>
      </w:tblGrid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14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«</w:t>
            </w:r>
            <w:r>
              <w:rPr>
                <w:rFonts w:eastAsiaTheme="minorEastAsia"/>
                <w:sz w:val="24"/>
                <w:szCs w:val="22"/>
              </w:rPr>
              <w:t xml:space="preserve">Финансовое обеспечение муниципальной программы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87" w:type="dxa"/>
            <w:vAlign w:val="center"/>
            <w:textDirection w:val="lrTb"/>
            <w:noWrap w:val="false"/>
          </w:tcPr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Всего по программе </w:t>
            </w:r>
            <w:r>
              <w:rPr>
                <w:rFonts w:eastAsiaTheme="minorEastAsia"/>
                <w:b/>
                <w:sz w:val="24"/>
                <w:szCs w:val="22"/>
              </w:rPr>
              <w:t xml:space="preserve">97</w:t>
            </w:r>
            <w:r>
              <w:rPr>
                <w:rFonts w:eastAsiaTheme="minorEastAsia"/>
                <w:b/>
                <w:sz w:val="24"/>
                <w:szCs w:val="22"/>
              </w:rPr>
              <w:t xml:space="preserve"> 707 976,00</w:t>
            </w:r>
            <w:r>
              <w:rPr>
                <w:rFonts w:eastAsiaTheme="minorEastAsia"/>
                <w:b/>
                <w:sz w:val="24"/>
                <w:szCs w:val="22"/>
              </w:rPr>
              <w:t xml:space="preserve"> рублей,</w:t>
            </w:r>
            <w:r>
              <w:rPr>
                <w:rFonts w:eastAsiaTheme="minorEastAsia"/>
                <w:sz w:val="24"/>
                <w:szCs w:val="22"/>
              </w:rPr>
              <w:t xml:space="preserve"> в том числе: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МБ 97</w:t>
            </w:r>
            <w:r>
              <w:rPr>
                <w:rFonts w:eastAsiaTheme="minorEastAsia"/>
                <w:sz w:val="24"/>
                <w:szCs w:val="22"/>
              </w:rPr>
              <w:t xml:space="preserve"> 707 976,00</w:t>
            </w:r>
            <w:r>
              <w:rPr>
                <w:rFonts w:eastAsiaTheme="minorEastAsia"/>
                <w:sz w:val="24"/>
                <w:szCs w:val="22"/>
              </w:rPr>
              <w:t xml:space="preserve"> рублей, из них: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2026 год: 44</w:t>
            </w:r>
            <w:r>
              <w:rPr>
                <w:rFonts w:eastAsiaTheme="minorEastAsia"/>
                <w:sz w:val="24"/>
                <w:szCs w:val="22"/>
              </w:rPr>
              <w:t xml:space="preserve"> 969 436</w:t>
            </w:r>
            <w:r>
              <w:rPr>
                <w:rFonts w:eastAsiaTheme="minorEastAsia"/>
                <w:sz w:val="24"/>
                <w:szCs w:val="22"/>
              </w:rPr>
              <w:t xml:space="preserve">,00 рублей;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2027 год: 26 361 820,00 рублей;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2028 год: 26 376 720,00 рублей;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ОБ 0,00 рублей, из них: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2026 год: 0,00 рублей;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2027 год: 0,00 рублей;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2028 год: 0,00 рублей;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ФБ 0,00 рублей, из них: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2026 год: 0,00 рублей;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2027 год: 0,00 рублей;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2028 год: 0,00 рублей;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ВБС 0,00 рублей, из них: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2026 год: 0,00 рублей;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2027 год: 0,00 рублей;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  <w:p>
            <w:pPr>
              <w:widowControl w:val="off"/>
              <w:rPr>
                <w:rFonts w:eastAsiaTheme="minorEastAsia"/>
                <w:sz w:val="24"/>
                <w:szCs w:val="22"/>
              </w:rPr>
            </w:pPr>
            <w:r>
              <w:rPr>
                <w:rFonts w:eastAsiaTheme="minorEastAsia"/>
                <w:sz w:val="24"/>
                <w:szCs w:val="22"/>
              </w:rPr>
              <w:t xml:space="preserve">2028 год: 0,00 рублей.</w:t>
            </w:r>
            <w:r>
              <w:rPr>
                <w:rFonts w:eastAsiaTheme="minorEastAsia"/>
                <w:sz w:val="24"/>
                <w:szCs w:val="22"/>
              </w:rPr>
              <w:t xml:space="preserve">»;</w:t>
            </w:r>
            <w:r>
              <w:rPr>
                <w:rFonts w:eastAsiaTheme="minorEastAsia"/>
                <w:sz w:val="24"/>
                <w:szCs w:val="22"/>
              </w:rPr>
            </w:r>
            <w:r>
              <w:rPr>
                <w:rFonts w:eastAsiaTheme="minorEastAsia"/>
                <w:sz w:val="24"/>
                <w:szCs w:val="22"/>
              </w:rPr>
            </w:r>
          </w:p>
        </w:tc>
      </w:tr>
    </w:tbl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3.</w:t>
      </w:r>
      <w:r>
        <w:rPr>
          <w:sz w:val="24"/>
          <w:szCs w:val="24"/>
        </w:rPr>
        <w:t xml:space="preserve">10</w:t>
      </w:r>
      <w:r>
        <w:rPr>
          <w:sz w:val="24"/>
          <w:szCs w:val="24"/>
        </w:rPr>
        <w:t xml:space="preserve"> и 4.10</w:t>
      </w:r>
      <w:r>
        <w:rPr>
          <w:sz w:val="24"/>
          <w:szCs w:val="24"/>
        </w:rPr>
        <w:t xml:space="preserve"> таблицы 2 «Перечень показателей муниципальной программы»</w:t>
      </w:r>
      <w:r>
        <w:rPr>
          <w:sz w:val="24"/>
          <w:szCs w:val="24"/>
        </w:rPr>
        <w:t xml:space="preserve"> Программы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918"/>
        <w:tblW w:w="0" w:type="auto"/>
        <w:tblInd w:w="108" w:type="dxa"/>
        <w:tblLook w:val="04A0" w:firstRow="1" w:lastRow="0" w:firstColumn="1" w:lastColumn="0" w:noHBand="0" w:noVBand="1"/>
      </w:tblPr>
      <w:tblGrid>
        <w:gridCol w:w="695"/>
        <w:gridCol w:w="3579"/>
        <w:gridCol w:w="674"/>
        <w:gridCol w:w="515"/>
        <w:gridCol w:w="554"/>
        <w:gridCol w:w="554"/>
        <w:gridCol w:w="554"/>
        <w:gridCol w:w="554"/>
        <w:gridCol w:w="531"/>
        <w:gridCol w:w="1537"/>
      </w:tblGrid>
      <w:tr>
        <w:tblPrEx/>
        <w:trPr/>
        <w:tc>
          <w:tcPr>
            <w:tcW w:w="695" w:type="dxa"/>
            <w:textDirection w:val="lrTb"/>
            <w:noWrap w:val="false"/>
          </w:tcPr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«3.</w:t>
            </w:r>
            <w:r>
              <w:rPr>
                <w:sz w:val="19"/>
                <w:szCs w:val="19"/>
              </w:rPr>
              <w:t xml:space="preserve">10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3579" w:type="dxa"/>
            <w:textDirection w:val="lrTb"/>
            <w:noWrap w:val="false"/>
          </w:tcPr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Количество</w:t>
            </w:r>
            <w:r>
              <w:rPr>
                <w:sz w:val="19"/>
                <w:szCs w:val="19"/>
              </w:rPr>
              <w:t xml:space="preserve"> муниципальных учреждений, в которых выполнены работы по укреплению противопожарного состояния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674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Шт.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15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54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-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54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4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54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5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54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-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31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-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1537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Учреждения сферы культур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ы, образовательные организации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tcW w:w="695" w:type="dxa"/>
            <w:textDirection w:val="lrTb"/>
            <w:noWrap w:val="false"/>
          </w:tcPr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4.10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3579" w:type="dxa"/>
            <w:textDirection w:val="lrTb"/>
            <w:noWrap w:val="false"/>
          </w:tcPr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Доля осуществленных мероприятий, направленных на усиление антитеррористической защищенности объектов, находящихся в ведении Печенгского муниципального округа, от общего числа запланированных мероприятий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674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% 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15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54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54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54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54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31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100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1537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ПБ, образовательные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 организации, Учреждения сферы 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культуры»;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</w:tbl>
    <w:p>
      <w:pPr>
        <w:jc w:val="both"/>
        <w:widowControl w:val="off"/>
        <w:rPr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sz w:val="24"/>
          <w:szCs w:val="24"/>
          <w:lang w:eastAsia="en-US"/>
        </w:rPr>
        <w:tab/>
      </w:r>
      <w:r>
        <w:rPr>
          <w:sz w:val="24"/>
          <w:szCs w:val="24"/>
          <w:lang w:eastAsia="en-US"/>
        </w:rPr>
        <w:t xml:space="preserve">         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0" w:right="0" w:firstLine="709"/>
        <w:jc w:val="both"/>
        <w:widowControl w:val="off"/>
        <w:rPr>
          <w:rFonts w:cs="Calibri"/>
          <w:sz w:val="24"/>
          <w:szCs w:val="24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sz w:val="24"/>
          <w:szCs w:val="24"/>
          <w:lang w:eastAsia="en-US"/>
        </w:rPr>
        <w:t xml:space="preserve">- таблицу </w:t>
      </w:r>
      <w:r>
        <w:rPr>
          <w:sz w:val="24"/>
          <w:szCs w:val="24"/>
          <w:lang w:eastAsia="en-US"/>
        </w:rPr>
        <w:t xml:space="preserve">5</w:t>
      </w:r>
      <w:r>
        <w:rPr>
          <w:sz w:val="24"/>
          <w:szCs w:val="24"/>
          <w:lang w:eastAsia="en-US"/>
        </w:rPr>
        <w:t xml:space="preserve"> «Сведения об объемах финансирования муниципальной программы» </w:t>
      </w:r>
      <w:r>
        <w:rPr>
          <w:rFonts w:cs="Calibri"/>
          <w:sz w:val="24"/>
          <w:szCs w:val="24"/>
          <w:lang w:eastAsia="en-US"/>
        </w:rPr>
        <w:t xml:space="preserve">Программы изложить в редакции согласно приложению к настоящему постановлению;</w:t>
      </w:r>
      <w:r>
        <w:rPr>
          <w:rFonts w:cs="Calibri"/>
          <w:sz w:val="24"/>
          <w:szCs w:val="24"/>
          <w:lang w:eastAsia="en-US"/>
        </w:rPr>
      </w:r>
      <w:r>
        <w:rPr>
          <w:rFonts w:cs="Calibri"/>
          <w:sz w:val="24"/>
          <w:szCs w:val="24"/>
          <w:lang w:eastAsia="en-US"/>
        </w:rPr>
      </w:r>
    </w:p>
    <w:p>
      <w:pPr>
        <w:pStyle w:val="919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- строки</w:t>
      </w:r>
      <w:r>
        <w:rPr>
          <w:rFonts w:eastAsia="Times New Roman"/>
          <w:sz w:val="24"/>
          <w:szCs w:val="24"/>
        </w:rPr>
        <w:t xml:space="preserve"> 1.1, 2.7, 3.5, 3.6</w:t>
      </w:r>
      <w:r>
        <w:rPr>
          <w:rFonts w:eastAsia="Times New Roman"/>
          <w:sz w:val="24"/>
          <w:szCs w:val="24"/>
        </w:rPr>
        <w:t xml:space="preserve">, </w:t>
      </w:r>
      <w:r>
        <w:rPr>
          <w:rFonts w:eastAsia="Times New Roman"/>
          <w:sz w:val="24"/>
          <w:szCs w:val="24"/>
        </w:rPr>
        <w:t xml:space="preserve">3.10</w:t>
      </w:r>
      <w:r>
        <w:rPr>
          <w:rFonts w:eastAsia="Times New Roman"/>
          <w:sz w:val="24"/>
          <w:szCs w:val="24"/>
        </w:rPr>
        <w:t xml:space="preserve"> и 4.10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таблицы 8 «Сведения об источниках и методике расчета значений показателей муниципальной программы» Программы</w:t>
      </w:r>
      <w:r>
        <w:rPr>
          <w:rFonts w:eastAsia="Times New Roman"/>
          <w:sz w:val="24"/>
          <w:szCs w:val="24"/>
        </w:rPr>
        <w:t xml:space="preserve"> 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Style w:val="918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815"/>
        <w:gridCol w:w="909"/>
        <w:gridCol w:w="1063"/>
        <w:gridCol w:w="1316"/>
        <w:gridCol w:w="1418"/>
        <w:gridCol w:w="1324"/>
        <w:gridCol w:w="1369"/>
      </w:tblGrid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919"/>
              <w:ind w:left="0" w:right="-315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«1.1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1815" w:type="dxa"/>
            <w:textDirection w:val="lrTb"/>
            <w:noWrap w:val="false"/>
          </w:tcPr>
          <w:p>
            <w:pPr>
              <w:pStyle w:val="919"/>
              <w:ind w:left="0"/>
              <w:jc w:val="both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Количество проведенных заседаний МВК по обеспечению безопасности дорожного движения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909" w:type="dxa"/>
            <w:textDirection w:val="lrTb"/>
            <w:noWrap w:val="false"/>
          </w:tcPr>
          <w:p>
            <w:pPr>
              <w:pStyle w:val="919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Шт.</w:t>
            </w:r>
            <w:r>
              <w:rPr>
                <w:rFonts w:eastAsia="Times New Roman"/>
                <w:sz w:val="19"/>
                <w:szCs w:val="19"/>
              </w:rPr>
              <w:t xml:space="preserve">,   Е</w:t>
            </w:r>
            <w:r>
              <w:rPr>
                <w:rFonts w:eastAsia="Times New Roman"/>
                <w:sz w:val="19"/>
                <w:szCs w:val="19"/>
              </w:rPr>
              <w:t xml:space="preserve">жегодно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1063" w:type="dxa"/>
            <w:textDirection w:val="lrTb"/>
            <w:noWrap w:val="false"/>
          </w:tcPr>
          <w:p>
            <w:pPr>
              <w:pStyle w:val="919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-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1316" w:type="dxa"/>
            <w:textDirection w:val="lrTb"/>
            <w:noWrap w:val="false"/>
          </w:tcPr>
          <w:p>
            <w:pPr>
              <w:pStyle w:val="919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-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919"/>
              <w:ind w:left="0"/>
              <w:jc w:val="both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Ведомственный мониторинг (в соответствии с планом проведения мероприятий)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1324" w:type="dxa"/>
            <w:textDirection w:val="lrTb"/>
            <w:noWrap w:val="false"/>
          </w:tcPr>
          <w:p>
            <w:pPr>
              <w:pStyle w:val="919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Ежеквартально, до 5 числа, следующего за отчетным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shd w:val="clear" w:color="auto" w:fill="auto"/>
            <w:tcW w:w="136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919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2.7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1815" w:type="dxa"/>
            <w:textDirection w:val="lrTb"/>
            <w:noWrap w:val="false"/>
          </w:tcPr>
          <w:p>
            <w:pPr>
              <w:pStyle w:val="919"/>
              <w:ind w:left="0"/>
              <w:jc w:val="both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Количество приобретенной печатной продукции профилактической направленности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909" w:type="dxa"/>
            <w:textDirection w:val="lrTb"/>
            <w:noWrap w:val="false"/>
          </w:tcPr>
          <w:p>
            <w:pPr>
              <w:pStyle w:val="919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Шт., Ежегодно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1063" w:type="dxa"/>
            <w:textDirection w:val="lrTb"/>
            <w:noWrap w:val="false"/>
          </w:tcPr>
          <w:p>
            <w:pPr>
              <w:pStyle w:val="919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-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1316" w:type="dxa"/>
            <w:textDirection w:val="lrTb"/>
            <w:noWrap w:val="false"/>
          </w:tcPr>
          <w:p>
            <w:pPr>
              <w:pStyle w:val="919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-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919"/>
              <w:ind w:left="0"/>
              <w:jc w:val="both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Ведомственный мониторинг (в соответствии с актами приема-передачи товара)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1324" w:type="dxa"/>
            <w:textDirection w:val="lrTb"/>
            <w:noWrap w:val="false"/>
          </w:tcPr>
          <w:p>
            <w:pPr>
              <w:pStyle w:val="919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30 декабря отчетного года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shd w:val="clear" w:color="auto" w:fill="auto"/>
            <w:tcW w:w="136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919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3.5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1815" w:type="dxa"/>
            <w:textDirection w:val="lrTb"/>
            <w:noWrap w:val="false"/>
          </w:tcPr>
          <w:p>
            <w:pPr>
              <w:pStyle w:val="919"/>
              <w:ind w:left="0"/>
              <w:jc w:val="both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Количество пожаров в жилых постройках, причиной которых является распространения огня при лесном пожаре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909" w:type="dxa"/>
            <w:textDirection w:val="lrTb"/>
            <w:noWrap w:val="false"/>
          </w:tcPr>
          <w:p>
            <w:pPr>
              <w:pStyle w:val="919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Ед.</w:t>
            </w:r>
            <w:r>
              <w:rPr>
                <w:rFonts w:eastAsia="Times New Roman"/>
                <w:sz w:val="19"/>
                <w:szCs w:val="19"/>
              </w:rPr>
              <w:t xml:space="preserve">, Ежегодно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1063" w:type="dxa"/>
            <w:textDirection w:val="lrTb"/>
            <w:noWrap w:val="false"/>
          </w:tcPr>
          <w:p>
            <w:pPr>
              <w:pStyle w:val="919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-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1316" w:type="dxa"/>
            <w:textDirection w:val="lrTb"/>
            <w:noWrap w:val="false"/>
          </w:tcPr>
          <w:p>
            <w:pPr>
              <w:pStyle w:val="919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-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919"/>
              <w:ind w:left="0"/>
              <w:jc w:val="both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Ведомственный мониторинг отдела ГО, ЧС и ПБ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1324" w:type="dxa"/>
            <w:textDirection w:val="lrTb"/>
            <w:noWrap w:val="false"/>
          </w:tcPr>
          <w:p>
            <w:pPr>
              <w:pStyle w:val="919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Пожароопасный период отчетного года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shd w:val="clear" w:color="auto" w:fill="auto"/>
            <w:tcW w:w="136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919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3.6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1815" w:type="dxa"/>
            <w:textDirection w:val="lrTb"/>
            <w:noWrap w:val="false"/>
          </w:tcPr>
          <w:p>
            <w:pPr>
              <w:pStyle w:val="919"/>
              <w:ind w:left="0"/>
              <w:jc w:val="both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Оснащение волонтеров противопожарным оборудованием, резервным запасом питьевой воды, СИЗ при тушении лесных пожаров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909" w:type="dxa"/>
            <w:textDirection w:val="lrTb"/>
            <w:noWrap w:val="false"/>
          </w:tcPr>
          <w:p>
            <w:pPr>
              <w:pStyle w:val="919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%, Ежегодно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1063" w:type="dxa"/>
            <w:textDirection w:val="lrTb"/>
            <w:noWrap w:val="false"/>
          </w:tcPr>
          <w:p>
            <w:pPr>
              <w:pStyle w:val="919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-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1316" w:type="dxa"/>
            <w:textDirection w:val="lrTb"/>
            <w:noWrap w:val="false"/>
          </w:tcPr>
          <w:p>
            <w:pPr>
              <w:pStyle w:val="919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-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919"/>
              <w:ind w:left="0"/>
              <w:jc w:val="both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Ведомственный мониторинг отдела ГО, ЧС и ПБ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1324" w:type="dxa"/>
            <w:textDirection w:val="lrTb"/>
            <w:noWrap w:val="false"/>
          </w:tcPr>
          <w:p>
            <w:pPr>
              <w:pStyle w:val="919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30 декабря отчетного года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shd w:val="clear" w:color="auto" w:fill="auto"/>
            <w:tcW w:w="136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919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3.10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1815" w:type="dxa"/>
            <w:textDirection w:val="lrTb"/>
            <w:noWrap w:val="false"/>
          </w:tcPr>
          <w:p>
            <w:pPr>
              <w:pStyle w:val="919"/>
              <w:ind w:left="0"/>
              <w:jc w:val="both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Количество муниципальных учреждений, в которых выполнены работы по укреплению </w:t>
            </w:r>
            <w:r>
              <w:rPr>
                <w:rFonts w:eastAsia="Times New Roman"/>
                <w:sz w:val="19"/>
                <w:szCs w:val="19"/>
              </w:rPr>
              <w:t xml:space="preserve">противопожарного состояния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909" w:type="dxa"/>
            <w:textDirection w:val="lrTb"/>
            <w:noWrap w:val="false"/>
          </w:tcPr>
          <w:p>
            <w:pPr>
              <w:pStyle w:val="919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Ед., 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  <w:p>
            <w:pPr>
              <w:pStyle w:val="919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2026 год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1063" w:type="dxa"/>
            <w:textDirection w:val="lrTb"/>
            <w:noWrap w:val="false"/>
          </w:tcPr>
          <w:p>
            <w:pPr>
              <w:pStyle w:val="919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-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1316" w:type="dxa"/>
            <w:textDirection w:val="lrTb"/>
            <w:noWrap w:val="false"/>
          </w:tcPr>
          <w:p>
            <w:pPr>
              <w:pStyle w:val="919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-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919"/>
              <w:ind w:left="0"/>
              <w:jc w:val="both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Ведомственные данные (дата акта выполненных работ (приемки </w:t>
            </w:r>
            <w:r>
              <w:rPr>
                <w:rFonts w:eastAsia="Times New Roman"/>
                <w:sz w:val="19"/>
                <w:szCs w:val="19"/>
              </w:rPr>
              <w:t xml:space="preserve">работ))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1324" w:type="dxa"/>
            <w:textDirection w:val="lrTb"/>
            <w:noWrap w:val="false"/>
          </w:tcPr>
          <w:p>
            <w:pPr>
              <w:pStyle w:val="919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30 декабря отчетного года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shd w:val="clear" w:color="auto" w:fill="auto"/>
            <w:tcW w:w="136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Учреждения сферы культур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ы, образовательные организации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919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4.10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1815" w:type="dxa"/>
            <w:textDirection w:val="lrTb"/>
            <w:noWrap w:val="false"/>
          </w:tcPr>
          <w:p>
            <w:pPr>
              <w:pStyle w:val="919"/>
              <w:ind w:left="0"/>
              <w:jc w:val="both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Доля осуществленных мероприятий, направленных на усиление антитеррористической защищенности объектов, находящихся в ведении Печенгского муниципального округа, от общего числа запланированных мероприятий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909" w:type="dxa"/>
            <w:textDirection w:val="lrTb"/>
            <w:noWrap w:val="false"/>
          </w:tcPr>
          <w:p>
            <w:pPr>
              <w:pStyle w:val="919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%,   ежегодно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63" w:type="dxa"/>
            <w:textDirection w:val="lrTb"/>
            <w:noWrap w:val="false"/>
          </w:tcPr>
          <w:p>
            <w:pPr>
              <w:pStyle w:val="1054"/>
              <w:jc w:val="center"/>
              <w:rPr>
                <w:spacing w:val="-4"/>
                <w:sz w:val="19"/>
                <w:szCs w:val="19"/>
              </w:rPr>
            </w:pPr>
            <w:r>
              <w:rPr>
                <w:spacing w:val="-26"/>
                <w:sz w:val="19"/>
                <w:szCs w:val="19"/>
                <w:lang w:val="en-US"/>
              </w:rPr>
              <w:t xml:space="preserve">DOM</w:t>
            </w:r>
            <w:r>
              <w:rPr>
                <w:spacing w:val="-26"/>
                <w:sz w:val="19"/>
                <w:szCs w:val="19"/>
              </w:rPr>
              <w:t xml:space="preserve"> = </w:t>
            </w:r>
            <w:r>
              <w:rPr>
                <w:spacing w:val="-26"/>
                <w:sz w:val="19"/>
                <w:szCs w:val="19"/>
                <w:lang w:val="en-US"/>
              </w:rPr>
              <w:t xml:space="preserve">Ko</w:t>
            </w:r>
            <w:r>
              <w:rPr>
                <w:spacing w:val="-26"/>
                <w:sz w:val="19"/>
                <w:szCs w:val="19"/>
                <w:lang w:val="en-US"/>
              </w:rPr>
              <w:t xml:space="preserve">о</w:t>
            </w:r>
            <w:r>
              <w:rPr>
                <w:spacing w:val="-26"/>
                <w:sz w:val="19"/>
                <w:szCs w:val="19"/>
                <w:lang w:val="en-US"/>
              </w:rPr>
              <w:t xml:space="preserve">/Ok</w:t>
            </w:r>
            <w:r>
              <w:rPr>
                <w:spacing w:val="-26"/>
                <w:sz w:val="19"/>
                <w:szCs w:val="19"/>
              </w:rPr>
              <w:t xml:space="preserve">о </w:t>
            </w:r>
            <w:r>
              <w:rPr>
                <w:spacing w:val="-26"/>
                <w:sz w:val="19"/>
                <w:szCs w:val="19"/>
              </w:rPr>
              <w:t xml:space="preserve">*</w:t>
            </w:r>
            <w:r>
              <w:rPr>
                <w:spacing w:val="-26"/>
                <w:sz w:val="19"/>
                <w:szCs w:val="19"/>
              </w:rPr>
              <w:t xml:space="preserve"> </w:t>
            </w:r>
            <w:r>
              <w:rPr>
                <w:spacing w:val="-26"/>
                <w:sz w:val="19"/>
                <w:szCs w:val="19"/>
              </w:rPr>
              <w:t xml:space="preserve">100%</w:t>
            </w:r>
            <w:r>
              <w:rPr>
                <w:spacing w:val="-4"/>
                <w:sz w:val="19"/>
                <w:szCs w:val="19"/>
              </w:rPr>
            </w:r>
            <w:r>
              <w:rPr>
                <w:spacing w:val="-4"/>
                <w:sz w:val="19"/>
                <w:szCs w:val="19"/>
              </w:rPr>
            </w:r>
          </w:p>
          <w:p>
            <w:pPr>
              <w:pStyle w:val="1054"/>
              <w:jc w:val="center"/>
              <w:rPr>
                <w:spacing w:val="-4"/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</w:r>
            <w:r>
              <w:rPr>
                <w:spacing w:val="-4"/>
                <w:sz w:val="18"/>
                <w:szCs w:val="18"/>
              </w:rPr>
            </w:r>
            <w:r>
              <w:rPr>
                <w:spacing w:val="-4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16" w:type="dxa"/>
            <w:textDirection w:val="lrTb"/>
            <w:noWrap w:val="false"/>
          </w:tcPr>
          <w:p>
            <w:pPr>
              <w:pStyle w:val="105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DOM</w:t>
            </w:r>
            <w:r>
              <w:rPr>
                <w:sz w:val="18"/>
                <w:szCs w:val="18"/>
              </w:rPr>
              <w:t xml:space="preserve"> – доля осуществленных мероприятий;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Style w:val="105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Koo</w:t>
            </w:r>
            <w:r>
              <w:rPr>
                <w:sz w:val="18"/>
                <w:szCs w:val="18"/>
              </w:rPr>
              <w:t xml:space="preserve"> – количество оборудованных объектов;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Style w:val="105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Oko</w:t>
            </w:r>
            <w:r>
              <w:rPr>
                <w:sz w:val="18"/>
                <w:szCs w:val="18"/>
              </w:rPr>
              <w:t xml:space="preserve"> – общее количество объектов, в отношении которых запланированы мероприятия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919"/>
              <w:ind w:left="0"/>
              <w:jc w:val="both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Ведомственный мониторинг (дата акта выполненных работ (приемки работ))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1324" w:type="dxa"/>
            <w:textDirection w:val="lrTb"/>
            <w:noWrap w:val="false"/>
          </w:tcPr>
          <w:p>
            <w:pPr>
              <w:pStyle w:val="919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30 декабря отчетного года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shd w:val="clear" w:color="auto" w:fill="auto"/>
            <w:tcW w:w="136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ПБ, о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бразовательные организации, Учреждения сферы культуры».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</w:tbl>
    <w:p>
      <w:pPr>
        <w:ind w:firstLine="709"/>
        <w:jc w:val="both"/>
        <w:widowControl w:val="off"/>
        <w:rPr>
          <w:rFonts w:eastAsia="Times New Roman"/>
          <w:sz w:val="24"/>
          <w:szCs w:val="24"/>
        </w:rPr>
        <w:pBdr>
          <w:top w:val="none" w:color="000000" w:sz="4" w:space="13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2</w:t>
      </w:r>
      <w:r>
        <w:rPr>
          <w:rFonts w:eastAsia="Times New Roman"/>
          <w:sz w:val="24"/>
          <w:szCs w:val="24"/>
        </w:rPr>
        <w:t xml:space="preserve">. Настоящее постановление вступает в силу после его подписания.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eastAsia="Times New Roman"/>
          <w:sz w:val="24"/>
          <w:szCs w:val="24"/>
        </w:rPr>
        <w:pBdr>
          <w:top w:val="none" w:color="000000" w:sz="4" w:space="13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3. </w:t>
      </w:r>
      <w:r>
        <w:rPr>
          <w:sz w:val="24"/>
        </w:rPr>
        <w:t xml:space="preserve">Настоящее постановление опубликовать в официальном издании газета «Печенга» и разместить </w:t>
      </w:r>
      <w:r>
        <w:rPr>
          <w:rFonts w:eastAsia="Times New Roman"/>
          <w:sz w:val="24"/>
          <w:szCs w:val="24"/>
        </w:rPr>
        <w:t xml:space="preserve">на сайте Печенгского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    </w:t>
      </w:r>
      <w:r>
        <w:rPr>
          <w:sz w:val="24"/>
          <w:szCs w:val="24"/>
        </w:rPr>
        <w:t xml:space="preserve">А.С. 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t xml:space="preserve">Соболев А.В., 50007</w:t>
      </w:r>
      <w:r>
        <w:rPr>
          <w:highlight w:val="none"/>
        </w:rPr>
      </w:r>
    </w:p>
    <w:p>
      <w:pPr>
        <w:jc w:val="both"/>
        <w:widowControl w:val="off"/>
        <w:sectPr>
          <w:footnotePr/>
          <w:endnotePr/>
          <w:type w:val="nextPage"/>
          <w:pgSz w:w="11906" w:h="16838" w:orient="portrait"/>
          <w:pgMar w:top="1135" w:right="566" w:bottom="679" w:left="1701" w:header="709" w:footer="709" w:gutter="0"/>
          <w:cols w:num="1" w:sep="0" w:space="708" w:equalWidth="1"/>
          <w:docGrid w:linePitch="360"/>
        </w:sectPr>
      </w:pPr>
      <w:r/>
      <w:r/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rFonts w:eastAsia="Times New Roman"/>
          <w:b/>
          <w:sz w:val="24"/>
          <w:szCs w:val="24"/>
        </w:rPr>
      </w:pPr>
      <w:r>
        <w:rPr>
          <w:rFonts w:eastAsia="Times New Roman"/>
          <w:bCs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eastAsia="Times New Roman"/>
          <w:bCs/>
          <w:sz w:val="24"/>
          <w:szCs w:val="24"/>
        </w:rPr>
        <w:t xml:space="preserve">Приложение 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                                                                                    к постановлению администрации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                                                                                            Печенгского муниципального округа 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rFonts w:eastAsia="Times New Roman"/>
          <w:i/>
          <w:color w:val="0000ff"/>
          <w:sz w:val="24"/>
          <w:szCs w:val="24"/>
          <w:lang w:eastAsia="en-US"/>
        </w:rPr>
      </w:pPr>
      <w:r>
        <w:rPr>
          <w:rFonts w:eastAsia="Times New Roman"/>
          <w:sz w:val="24"/>
          <w:szCs w:val="24"/>
        </w:rPr>
        <w:t xml:space="preserve">                                                                                                 от 07.04.2026</w:t>
      </w:r>
      <w:r>
        <w:rPr>
          <w:rFonts w:eastAsia="Times New Roman"/>
          <w:sz w:val="24"/>
          <w:szCs w:val="24"/>
        </w:rPr>
        <w:t xml:space="preserve"> № 516</w:t>
      </w:r>
      <w:r>
        <w:rPr>
          <w:rFonts w:eastAsia="Times New Roman"/>
          <w:i/>
          <w:color w:val="0000ff"/>
          <w:sz w:val="24"/>
          <w:szCs w:val="24"/>
          <w:lang w:eastAsia="en-US"/>
        </w:rPr>
      </w:r>
      <w:r>
        <w:rPr>
          <w:rFonts w:eastAsia="Times New Roman"/>
          <w:i/>
          <w:color w:val="0000ff"/>
          <w:sz w:val="24"/>
          <w:szCs w:val="24"/>
          <w:lang w:eastAsia="en-US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center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«</w:t>
      </w:r>
      <w:r>
        <w:rPr>
          <w:rFonts w:eastAsia="Times New Roman"/>
          <w:b/>
          <w:sz w:val="24"/>
          <w:szCs w:val="24"/>
        </w:rPr>
        <w:t xml:space="preserve">5. Сведения об объемах финансирования муниципальной программы </w:t>
      </w:r>
      <w:r>
        <w:rPr>
          <w:rFonts w:eastAsia="Times New Roman"/>
          <w:b/>
          <w:sz w:val="24"/>
          <w:szCs w:val="24"/>
        </w:rPr>
      </w:r>
      <w:r>
        <w:rPr>
          <w:rFonts w:eastAsia="Times New Roman"/>
          <w:b/>
          <w:sz w:val="24"/>
          <w:szCs w:val="24"/>
        </w:rPr>
      </w:r>
    </w:p>
    <w:p>
      <w:pPr>
        <w:jc w:val="both"/>
        <w:spacing w:line="288" w:lineRule="atLeas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 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15309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3544"/>
        <w:gridCol w:w="1276"/>
        <w:gridCol w:w="992"/>
        <w:gridCol w:w="1559"/>
        <w:gridCol w:w="1560"/>
        <w:gridCol w:w="1701"/>
        <w:gridCol w:w="1701"/>
        <w:gridCol w:w="2409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№ п/п 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Муниципальная программа, ГРБС, направления (подпрограммы) 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Период реализации 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51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Объемы и источники финансирования (рублей) 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Соисполнители 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Год/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источник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Всего 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2026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2027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2028 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0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Муниципальная программа «Обеспечение общественного порядка и безопасности населения»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2026 - 2028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97 707 976,00</w:t>
            </w:r>
            <w:r>
              <w:rPr>
                <w:rFonts w:eastAsia="Times New Roman"/>
                <w:b/>
                <w:bCs/>
                <w:sz w:val="18"/>
                <w:szCs w:val="18"/>
              </w:rPr>
            </w:r>
            <w:r>
              <w:rPr>
                <w:rFonts w:eastAsia="Times New Roman"/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44 969 436,00</w:t>
            </w:r>
            <w:r>
              <w:rPr>
                <w:rFonts w:eastAsia="Times New Roman"/>
                <w:b/>
                <w:bCs/>
                <w:sz w:val="18"/>
                <w:szCs w:val="18"/>
              </w:rPr>
            </w:r>
            <w:r>
              <w:rPr>
                <w:rFonts w:eastAsia="Times New Roman"/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26 361 820,00</w:t>
            </w:r>
            <w:r>
              <w:rPr>
                <w:rFonts w:eastAsia="Times New Roman"/>
                <w:b/>
                <w:bCs/>
                <w:sz w:val="18"/>
                <w:szCs w:val="18"/>
              </w:rPr>
            </w:r>
            <w:r>
              <w:rPr>
                <w:rFonts w:eastAsia="Times New Roman"/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26 376 720,00</w:t>
            </w:r>
            <w:r>
              <w:rPr>
                <w:rFonts w:eastAsia="Times New Roman"/>
                <w:b/>
                <w:bCs/>
                <w:sz w:val="18"/>
                <w:szCs w:val="18"/>
              </w:rPr>
            </w:r>
            <w:r>
              <w:rPr>
                <w:rFonts w:eastAsia="Times New Roman"/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ГО, ЧС и ПБ,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МКУ «ЕДДС»,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отдел образования,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</w:rPr>
              <w:t xml:space="preserve">отдел КСиМП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97 707 976,00</w:t>
            </w:r>
            <w:r>
              <w:rPr>
                <w:rFonts w:eastAsia="Times New Roman"/>
                <w:b/>
                <w:bCs/>
                <w:sz w:val="18"/>
                <w:szCs w:val="18"/>
              </w:rPr>
            </w:r>
            <w:r>
              <w:rPr>
                <w:rFonts w:eastAsia="Times New Roman"/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44 969 436,00</w:t>
            </w:r>
            <w:r>
              <w:rPr>
                <w:rFonts w:eastAsia="Times New Roman"/>
                <w:b/>
                <w:bCs/>
                <w:sz w:val="18"/>
                <w:szCs w:val="18"/>
              </w:rPr>
            </w:r>
            <w:r>
              <w:rPr>
                <w:rFonts w:eastAsia="Times New Roman"/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26 361 820,00</w:t>
            </w:r>
            <w:r>
              <w:rPr>
                <w:rFonts w:eastAsia="Times New Roman"/>
                <w:b/>
                <w:bCs/>
                <w:sz w:val="18"/>
                <w:szCs w:val="18"/>
              </w:rPr>
            </w:r>
            <w:r>
              <w:rPr>
                <w:rFonts w:eastAsia="Times New Roman"/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 xml:space="preserve">26 376 720,00</w:t>
            </w:r>
            <w:r>
              <w:rPr>
                <w:rFonts w:eastAsia="Times New Roman"/>
                <w:b/>
                <w:bCs/>
                <w:sz w:val="18"/>
                <w:szCs w:val="18"/>
              </w:rPr>
            </w:r>
            <w:r>
              <w:rPr>
                <w:rFonts w:eastAsia="Times New Roman"/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0.1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Печенгского муниципального округа 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82 001 310,00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35 262 770,00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23 361 820,00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23 376 720,00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82 001 310,00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35 262 770,00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23 361 820,00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23 376 720,00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0.2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Отдел образования администрации Печенгского муниципального округа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  <w:t xml:space="preserve">-2028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8 206 666,00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4 206 666,00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2 000 000,00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2 000 000,00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8 206 666,00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4 206 666,00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2 000 000,00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2 000 000,00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0.3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Отдел культуры, спорта и молодежной политики администрации Печенгского муниципального округа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</w:t>
            </w:r>
            <w:r>
              <w:rPr>
                <w:rFonts w:eastAsia="Times New Roman"/>
              </w:rPr>
              <w:t xml:space="preserve">-2028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7 </w:t>
            </w: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5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00 000,00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5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 </w:t>
            </w: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5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00 000,00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1 000 000,00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1 000 000,00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 xml:space="preserve">7</w:t>
            </w:r>
            <w:r>
              <w:rPr>
                <w:rFonts w:eastAsia="Times New Roman"/>
                <w:sz w:val="18"/>
                <w:szCs w:val="18"/>
              </w:rPr>
              <w:t xml:space="preserve"> 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5</w:t>
            </w:r>
            <w:r>
              <w:rPr>
                <w:rFonts w:eastAsia="Times New Roman"/>
                <w:sz w:val="18"/>
                <w:szCs w:val="18"/>
              </w:rPr>
              <w:t xml:space="preserve">00 000,00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 xml:space="preserve">5</w:t>
            </w:r>
            <w:r>
              <w:rPr>
                <w:rFonts w:eastAsia="Times New Roman"/>
                <w:sz w:val="18"/>
                <w:szCs w:val="18"/>
              </w:rPr>
              <w:t xml:space="preserve"> 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5</w:t>
            </w:r>
            <w:r>
              <w:rPr>
                <w:rFonts w:eastAsia="Times New Roman"/>
                <w:sz w:val="18"/>
                <w:szCs w:val="18"/>
              </w:rPr>
              <w:t xml:space="preserve">00 000,00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1 000 000,00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1 000 000,00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1 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  <w:u w:val="single"/>
              </w:rPr>
              <w:t xml:space="preserve">Направление (подпрограмма) 1</w:t>
            </w:r>
            <w:r>
              <w:rPr>
                <w:rFonts w:eastAsia="Times New Roman"/>
                <w:b/>
                <w:sz w:val="22"/>
                <w:szCs w:val="22"/>
              </w:rPr>
              <w:t xml:space="preserve"> «Повышение безопасности дорожного движения и снижение дорожно-транспортного травматизма»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2026 - 2028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10 00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0</w:t>
            </w: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 000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10 00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0</w:t>
            </w: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 000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ГО, ЧС и ПБ,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образования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10 00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0</w:t>
            </w: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 000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10 00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0</w:t>
            </w: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 000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</w:tr>
      <w:tr>
        <w:tblPrEx/>
        <w:trPr>
          <w:trHeight w:val="27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1.1 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  <w:u w:val="single"/>
              </w:rPr>
              <w:t xml:space="preserve">Комплекс процессных мероприятий 1</w:t>
            </w:r>
            <w:r>
              <w:rPr>
                <w:rFonts w:eastAsia="Times New Roman"/>
              </w:rPr>
              <w:t xml:space="preserve"> «Совершенствование системы обеспечения безопасности дорожного движения, дорожных условий и внедрение технических средств регулирования дорожного движения»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10 000 000,00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10 000 000,00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ГО, ЧС и ПБ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 xml:space="preserve">10 00</w:t>
            </w:r>
            <w:r>
              <w:rPr>
                <w:rFonts w:eastAsia="Times New Roman"/>
                <w:sz w:val="18"/>
                <w:szCs w:val="18"/>
              </w:rPr>
              <w:t xml:space="preserve">0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 000</w:t>
            </w:r>
            <w:r>
              <w:rPr>
                <w:rFonts w:eastAsia="Times New Roman"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 xml:space="preserve">10 00</w:t>
            </w:r>
            <w:r>
              <w:rPr>
                <w:rFonts w:eastAsia="Times New Roman"/>
                <w:sz w:val="18"/>
                <w:szCs w:val="18"/>
              </w:rPr>
              <w:t xml:space="preserve">0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 000</w:t>
            </w:r>
            <w:r>
              <w:rPr>
                <w:rFonts w:eastAsia="Times New Roman"/>
                <w:sz w:val="18"/>
                <w:szCs w:val="18"/>
              </w:rPr>
              <w:t xml:space="preserve">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44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1.2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  <w:u w:val="single"/>
              </w:rPr>
            </w:pPr>
            <w:r>
              <w:rPr>
                <w:rFonts w:eastAsia="Times New Roman"/>
                <w:u w:val="single"/>
              </w:rPr>
              <w:t xml:space="preserve">Комплекс процессных мероприятий 2</w:t>
            </w:r>
            <w:r>
              <w:rPr>
                <w:rFonts w:eastAsia="Times New Roman"/>
              </w:rPr>
              <w:t xml:space="preserve"> «Формирование безопасного поведения участников дорожного движения и предупреждение детского дорожно-транспортного травматизма»</w:t>
            </w:r>
            <w:r>
              <w:rPr>
                <w:rFonts w:eastAsia="Times New Roman"/>
                <w:b/>
                <w:sz w:val="24"/>
                <w:szCs w:val="24"/>
                <w:u w:val="single"/>
              </w:rPr>
            </w:r>
            <w:r>
              <w:rPr>
                <w:rFonts w:eastAsia="Times New Roman"/>
                <w:b/>
                <w:sz w:val="24"/>
                <w:szCs w:val="24"/>
                <w:u w:val="singl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ГО, ЧС и ПБ,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образования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  <w:u w:val="single"/>
              </w:rPr>
            </w:pPr>
            <w:r>
              <w:rPr>
                <w:rFonts w:eastAsia="Times New Roman"/>
                <w:b/>
                <w:sz w:val="24"/>
                <w:szCs w:val="24"/>
                <w:u w:val="single"/>
              </w:rPr>
            </w:r>
            <w:r>
              <w:rPr>
                <w:rFonts w:eastAsia="Times New Roman"/>
                <w:b/>
                <w:sz w:val="24"/>
                <w:szCs w:val="24"/>
                <w:u w:val="single"/>
              </w:rPr>
            </w:r>
            <w:r>
              <w:rPr>
                <w:rFonts w:eastAsia="Times New Roman"/>
                <w:b/>
                <w:sz w:val="24"/>
                <w:szCs w:val="24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  <w:u w:val="single"/>
              </w:rPr>
            </w:pPr>
            <w:r>
              <w:rPr>
                <w:rFonts w:eastAsia="Times New Roman"/>
                <w:b/>
                <w:sz w:val="24"/>
                <w:szCs w:val="24"/>
                <w:u w:val="single"/>
              </w:rPr>
            </w:r>
            <w:r>
              <w:rPr>
                <w:rFonts w:eastAsia="Times New Roman"/>
                <w:b/>
                <w:sz w:val="24"/>
                <w:szCs w:val="24"/>
                <w:u w:val="single"/>
              </w:rPr>
            </w:r>
            <w:r>
              <w:rPr>
                <w:rFonts w:eastAsia="Times New Roman"/>
                <w:b/>
                <w:sz w:val="24"/>
                <w:szCs w:val="24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  <w:u w:val="single"/>
              </w:rPr>
            </w:pPr>
            <w:r>
              <w:rPr>
                <w:rFonts w:eastAsia="Times New Roman"/>
                <w:b/>
                <w:sz w:val="24"/>
                <w:szCs w:val="24"/>
                <w:u w:val="single"/>
              </w:rPr>
            </w:r>
            <w:r>
              <w:rPr>
                <w:rFonts w:eastAsia="Times New Roman"/>
                <w:b/>
                <w:sz w:val="24"/>
                <w:szCs w:val="24"/>
                <w:u w:val="single"/>
              </w:rPr>
            </w:r>
            <w:r>
              <w:rPr>
                <w:rFonts w:eastAsia="Times New Roman"/>
                <w:b/>
                <w:sz w:val="24"/>
                <w:szCs w:val="24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  <w:u w:val="single"/>
              </w:rPr>
            </w:pPr>
            <w:r>
              <w:rPr>
                <w:rFonts w:eastAsia="Times New Roman"/>
                <w:b/>
                <w:sz w:val="24"/>
                <w:szCs w:val="24"/>
                <w:u w:val="single"/>
              </w:rPr>
            </w:r>
            <w:r>
              <w:rPr>
                <w:rFonts w:eastAsia="Times New Roman"/>
                <w:b/>
                <w:sz w:val="24"/>
                <w:szCs w:val="24"/>
                <w:u w:val="single"/>
              </w:rPr>
            </w:r>
            <w:r>
              <w:rPr>
                <w:rFonts w:eastAsia="Times New Roman"/>
                <w:b/>
                <w:sz w:val="24"/>
                <w:szCs w:val="24"/>
                <w:u w:val="single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2 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  <w:u w:val="single"/>
              </w:rPr>
              <w:t xml:space="preserve">Направление (по</w:t>
            </w:r>
            <w:r>
              <w:rPr>
                <w:rFonts w:eastAsia="Times New Roman"/>
                <w:b/>
                <w:sz w:val="22"/>
                <w:szCs w:val="22"/>
                <w:u w:val="single"/>
              </w:rPr>
              <w:t xml:space="preserve">дпрограмма) 2</w:t>
            </w:r>
            <w:r>
              <w:rPr>
                <w:rFonts w:eastAsia="Times New Roman"/>
                <w:b/>
                <w:sz w:val="22"/>
                <w:szCs w:val="22"/>
              </w:rPr>
              <w:t xml:space="preserve"> «Профилактика правонарушений»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2026 - 2028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ГО, ЧС и ПБ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2.3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 xml:space="preserve">Комплекс процессных мероприятий 3</w:t>
            </w:r>
            <w:r>
              <w:rPr>
                <w:rFonts w:eastAsia="Times New Roman"/>
              </w:rPr>
              <w:t xml:space="preserve"> «Создание условий для обеспечения правопорядка в общественных местах»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ГО, ЧС и ПБ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2.4 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  <w:u w:val="single"/>
              </w:rPr>
              <w:t xml:space="preserve">Комплекс процессных мероприятий 4</w:t>
            </w:r>
            <w:r>
              <w:rPr>
                <w:rFonts w:eastAsia="Times New Roman"/>
              </w:rPr>
              <w:t xml:space="preserve"> «Развитие системы профилактики правонарушений»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ГО, ЧС и ПБ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30 000,00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10 000,00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10 000,00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10 000,00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  <w:u w:val="single"/>
              </w:rPr>
              <w:t xml:space="preserve">Направление (подпрограмма) 3</w:t>
            </w:r>
            <w:r>
              <w:rPr>
                <w:rFonts w:eastAsia="Times New Roman"/>
                <w:b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b/>
                <w:sz w:val="22"/>
                <w:szCs w:val="22"/>
              </w:rPr>
              <w:t xml:space="preserve">«</w:t>
            </w:r>
            <w:r>
              <w:rPr>
                <w:rFonts w:eastAsia="Times New Roman"/>
                <w:b/>
              </w:rPr>
              <w:t xml:space="preserve">Обеспечение защиты населения и территорий от чрезвычайных ситуаций</w:t>
            </w:r>
            <w:r>
              <w:rPr>
                <w:rFonts w:eastAsia="Times New Roman"/>
                <w:b/>
                <w:sz w:val="22"/>
                <w:szCs w:val="22"/>
              </w:rPr>
              <w:t xml:space="preserve">»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2026 - 2028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  <w:lang w:val="en-US"/>
              </w:rPr>
            </w:pP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76 687 976.00</w:t>
            </w:r>
            <w:r>
              <w:rPr>
                <w:rFonts w:eastAsia="Times New Roman"/>
                <w:b/>
                <w:sz w:val="18"/>
                <w:szCs w:val="18"/>
                <w:lang w:val="en-US"/>
              </w:rPr>
            </w:r>
            <w:r>
              <w:rPr>
                <w:rFonts w:eastAsia="Times New Roman"/>
                <w:b/>
                <w:sz w:val="18"/>
                <w:szCs w:val="18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  <w:lang w:val="en-US"/>
              </w:rPr>
            </w:pP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29 229 436.00</w:t>
            </w:r>
            <w:r>
              <w:rPr>
                <w:rFonts w:eastAsia="Times New Roman"/>
                <w:b/>
                <w:sz w:val="18"/>
                <w:szCs w:val="18"/>
                <w:lang w:val="en-US"/>
              </w:rPr>
            </w:r>
            <w:r>
              <w:rPr>
                <w:rFonts w:eastAsia="Times New Roman"/>
                <w:b/>
                <w:sz w:val="18"/>
                <w:szCs w:val="18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23 721 820,00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23 736 720,00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ГО, ЧС и ПБ</w:t>
            </w:r>
            <w:r>
              <w:rPr>
                <w:rFonts w:eastAsia="Times New Roman"/>
              </w:rPr>
              <w:t xml:space="preserve">,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МКУ «ЕДДС»,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образования,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КСиМП</w:t>
            </w:r>
            <w:r>
              <w:rPr>
                <w:rFonts w:eastAsia="Times New Roman"/>
              </w:rPr>
              <w:t xml:space="preserve">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Учреждения сферы культуры,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образовательные организации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  <w:lang w:val="en-US"/>
              </w:rPr>
            </w:pP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76 687 976.00</w:t>
            </w:r>
            <w:r>
              <w:rPr>
                <w:rFonts w:eastAsia="Times New Roman"/>
                <w:b/>
                <w:sz w:val="18"/>
                <w:szCs w:val="18"/>
                <w:lang w:val="en-US"/>
              </w:rPr>
            </w:r>
            <w:r>
              <w:rPr>
                <w:rFonts w:eastAsia="Times New Roman"/>
                <w:b/>
                <w:sz w:val="18"/>
                <w:szCs w:val="18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  <w:lang w:val="en-US"/>
              </w:rPr>
            </w:pP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29 229 436.00</w:t>
            </w:r>
            <w:r>
              <w:rPr>
                <w:rFonts w:eastAsia="Times New Roman"/>
                <w:b/>
                <w:sz w:val="18"/>
                <w:szCs w:val="18"/>
                <w:lang w:val="en-US"/>
              </w:rPr>
            </w:r>
            <w:r>
              <w:rPr>
                <w:rFonts w:eastAsia="Times New Roman"/>
                <w:b/>
                <w:sz w:val="18"/>
                <w:szCs w:val="18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23 721 820,00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23 736 720,00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trHeight w:val="306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3.</w:t>
            </w:r>
            <w:r>
              <w:rPr>
                <w:rFonts w:eastAsia="Times New Roman"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  <w:u w:val="single"/>
              </w:rPr>
              <w:t xml:space="preserve">Ко</w:t>
            </w:r>
            <w:r>
              <w:rPr>
                <w:rFonts w:eastAsia="Times New Roman"/>
                <w:u w:val="single"/>
              </w:rPr>
              <w:t xml:space="preserve">мплекс процессных мероприятий 5 </w:t>
            </w:r>
            <w:r>
              <w:rPr>
                <w:rFonts w:eastAsia="Times New Roman"/>
              </w:rPr>
              <w:t xml:space="preserve">«Совершенствование системы подготовки населения по вопросам гражданской обороны, способам защиты и действиям в чрезвычайных ситуациях. Обеспечение пожарной безопасности, безопасности на водных объектах на </w:t>
            </w:r>
            <w:r>
              <w:rPr>
                <w:rFonts w:eastAsia="Times New Roman"/>
              </w:rPr>
              <w:t xml:space="preserve">территории муниципального образования»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7 606 666,00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6 406 666,00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600 000,00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600 000,00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ГО, ЧС и ПБ,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Учреждения сферы культуры,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образовательные организации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7 606 666,00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6 406 666,00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600 000,00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600 000,00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  <w:sz w:val="18"/>
                <w:szCs w:val="18"/>
              </w:rPr>
            </w:pPr>
            <w:r>
              <w:rPr>
                <w:rFonts w:eastAsia="Times New Roman"/>
                <w:color w:val="ff0000"/>
                <w:sz w:val="18"/>
                <w:szCs w:val="18"/>
              </w:rPr>
            </w:r>
            <w:r>
              <w:rPr>
                <w:rFonts w:eastAsia="Times New Roman"/>
                <w:color w:val="ff0000"/>
                <w:sz w:val="18"/>
                <w:szCs w:val="18"/>
              </w:rPr>
            </w:r>
            <w:r>
              <w:rPr>
                <w:rFonts w:eastAsia="Times New Roman"/>
                <w:color w:val="ff0000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  <w:sz w:val="18"/>
                <w:szCs w:val="18"/>
              </w:rPr>
            </w:pPr>
            <w:r>
              <w:rPr>
                <w:rFonts w:eastAsia="Times New Roman"/>
                <w:color w:val="ff0000"/>
                <w:sz w:val="18"/>
                <w:szCs w:val="18"/>
              </w:rPr>
            </w:r>
            <w:r>
              <w:rPr>
                <w:rFonts w:eastAsia="Times New Roman"/>
                <w:color w:val="ff0000"/>
                <w:sz w:val="18"/>
                <w:szCs w:val="18"/>
              </w:rPr>
            </w:r>
            <w:r>
              <w:rPr>
                <w:rFonts w:eastAsia="Times New Roman"/>
                <w:color w:val="ff0000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  <w:sz w:val="18"/>
                <w:szCs w:val="18"/>
              </w:rPr>
            </w:pPr>
            <w:r>
              <w:rPr>
                <w:rFonts w:eastAsia="Times New Roman"/>
                <w:color w:val="ff0000"/>
                <w:sz w:val="18"/>
                <w:szCs w:val="18"/>
              </w:rPr>
            </w:r>
            <w:r>
              <w:rPr>
                <w:rFonts w:eastAsia="Times New Roman"/>
                <w:color w:val="ff0000"/>
                <w:sz w:val="18"/>
                <w:szCs w:val="18"/>
              </w:rPr>
            </w:r>
            <w:r>
              <w:rPr>
                <w:rFonts w:eastAsia="Times New Roman"/>
                <w:color w:val="ff0000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  <w:sz w:val="18"/>
                <w:szCs w:val="18"/>
              </w:rPr>
            </w:pPr>
            <w:r>
              <w:rPr>
                <w:rFonts w:eastAsia="Times New Roman"/>
                <w:color w:val="ff0000"/>
                <w:sz w:val="18"/>
                <w:szCs w:val="18"/>
              </w:rPr>
            </w:r>
            <w:r>
              <w:rPr>
                <w:rFonts w:eastAsia="Times New Roman"/>
                <w:color w:val="ff0000"/>
                <w:sz w:val="18"/>
                <w:szCs w:val="18"/>
              </w:rPr>
            </w:r>
            <w:r>
              <w:rPr>
                <w:rFonts w:eastAsia="Times New Roman"/>
                <w:color w:val="ff0000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  3.</w:t>
            </w:r>
            <w:r>
              <w:rPr>
                <w:rFonts w:eastAsia="Times New Roman"/>
                <w:sz w:val="22"/>
                <w:szCs w:val="22"/>
                <w:lang w:val="en-US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  <w:u w:val="single"/>
              </w:rPr>
              <w:t xml:space="preserve">Ко</w:t>
            </w:r>
            <w:r>
              <w:rPr>
                <w:rFonts w:eastAsia="Times New Roman"/>
                <w:u w:val="single"/>
              </w:rPr>
              <w:t xml:space="preserve">мплекс процессных мероприятий 6</w:t>
            </w:r>
            <w:r>
              <w:rPr>
                <w:rFonts w:eastAsia="Times New Roman"/>
              </w:rPr>
              <w:t xml:space="preserve"> «Повышение готовности сил и средств гражданской обороны, муниципального звена РСЧС»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6</w:t>
            </w: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8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 </w:t>
            </w: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079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 </w:t>
            </w: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0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22 </w:t>
            </w: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755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 100,00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</w:t>
            </w: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2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 </w:t>
            </w: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6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5</w:t>
            </w: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4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 </w:t>
            </w: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5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</w:t>
            </w: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2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 6</w:t>
            </w: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69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 </w:t>
            </w:r>
            <w:r>
              <w:rPr>
                <w:rFonts w:eastAsia="Times New Roman"/>
                <w:b/>
                <w:sz w:val="18"/>
                <w:szCs w:val="18"/>
                <w:lang w:val="en-US"/>
              </w:rPr>
              <w:t xml:space="preserve">4</w:t>
            </w:r>
            <w:r>
              <w:rPr>
                <w:rFonts w:eastAsia="Times New Roman"/>
                <w:b/>
                <w:sz w:val="18"/>
                <w:szCs w:val="18"/>
              </w:rPr>
              <w:t xml:space="preserve">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ГО, ЧС и ПБ;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МКУ «ЕДДС»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6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8</w:t>
            </w:r>
            <w:r>
              <w:rPr>
                <w:rFonts w:eastAsia="Times New Roman"/>
                <w:sz w:val="18"/>
                <w:szCs w:val="18"/>
              </w:rPr>
              <w:t xml:space="preserve"> 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079</w:t>
            </w:r>
            <w:r>
              <w:rPr>
                <w:rFonts w:eastAsia="Times New Roman"/>
                <w:sz w:val="18"/>
                <w:szCs w:val="18"/>
              </w:rPr>
              <w:t xml:space="preserve"> 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0</w:t>
            </w:r>
            <w:r>
              <w:rPr>
                <w:rFonts w:eastAsia="Times New Roman"/>
                <w:sz w:val="18"/>
                <w:szCs w:val="18"/>
              </w:rPr>
              <w:t xml:space="preserve">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22 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755</w:t>
            </w:r>
            <w:r>
              <w:rPr>
                <w:rFonts w:eastAsia="Times New Roman"/>
                <w:sz w:val="18"/>
                <w:szCs w:val="18"/>
              </w:rPr>
              <w:t xml:space="preserve"> 100,00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2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2</w:t>
            </w:r>
            <w:r>
              <w:rPr>
                <w:rFonts w:eastAsia="Times New Roman"/>
                <w:sz w:val="18"/>
                <w:szCs w:val="18"/>
              </w:rPr>
              <w:t xml:space="preserve"> 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6</w:t>
            </w:r>
            <w:r>
              <w:rPr>
                <w:rFonts w:eastAsia="Times New Roman"/>
                <w:sz w:val="18"/>
                <w:szCs w:val="18"/>
              </w:rPr>
              <w:t xml:space="preserve">5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4</w:t>
            </w:r>
            <w:r>
              <w:rPr>
                <w:rFonts w:eastAsia="Times New Roman"/>
                <w:sz w:val="18"/>
                <w:szCs w:val="18"/>
              </w:rPr>
              <w:t xml:space="preserve"> 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5</w:t>
            </w:r>
            <w:r>
              <w:rPr>
                <w:rFonts w:eastAsia="Times New Roman"/>
                <w:sz w:val="18"/>
                <w:szCs w:val="18"/>
              </w:rPr>
              <w:t xml:space="preserve">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2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2</w:t>
            </w:r>
            <w:r>
              <w:rPr>
                <w:rFonts w:eastAsia="Times New Roman"/>
                <w:sz w:val="18"/>
                <w:szCs w:val="18"/>
              </w:rPr>
              <w:t xml:space="preserve"> 6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69</w:t>
            </w:r>
            <w:r>
              <w:rPr>
                <w:rFonts w:eastAsia="Times New Roman"/>
                <w:sz w:val="18"/>
                <w:szCs w:val="18"/>
              </w:rPr>
              <w:t xml:space="preserve"> </w:t>
            </w:r>
            <w:r>
              <w:rPr>
                <w:rFonts w:eastAsia="Times New Roman"/>
                <w:sz w:val="18"/>
                <w:szCs w:val="18"/>
                <w:lang w:val="en-US"/>
              </w:rPr>
              <w:t xml:space="preserve">4</w:t>
            </w:r>
            <w:r>
              <w:rPr>
                <w:rFonts w:eastAsia="Times New Roman"/>
                <w:sz w:val="18"/>
                <w:szCs w:val="18"/>
              </w:rPr>
              <w:t xml:space="preserve">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3.7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  <w:u w:val="single"/>
              </w:rPr>
              <w:t xml:space="preserve">Ко</w:t>
            </w:r>
            <w:r>
              <w:rPr>
                <w:rFonts w:eastAsia="Times New Roman"/>
                <w:u w:val="single"/>
              </w:rPr>
              <w:t xml:space="preserve">мплекс проектных мероприятий 7 </w:t>
            </w:r>
            <w:r>
              <w:rPr>
                <w:rFonts w:eastAsia="Times New Roman"/>
              </w:rPr>
              <w:t xml:space="preserve">«Проведение капитального ремонта защитных сооружений гражданской обороны»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1 002 310,00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67 670,00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467 320,00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467 320,00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ГО, ЧС и ПБ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1 002 310,00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67 670,00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467 320,00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467 320,00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24"/>
                <w:szCs w:val="24"/>
              </w:rPr>
            </w:r>
            <w:r>
              <w:rPr>
                <w:rFonts w:eastAsia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  <w:u w:val="single"/>
              </w:rPr>
              <w:t xml:space="preserve">Направление (подпрограмма) 4</w:t>
            </w:r>
            <w:r>
              <w:rPr>
                <w:rFonts w:eastAsia="Times New Roman"/>
                <w:b/>
                <w:sz w:val="22"/>
                <w:szCs w:val="22"/>
              </w:rPr>
              <w:t xml:space="preserve"> «Противодействие терроризму и профилактика экстремизма»</w:t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2026 - 2028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10 990 000,00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5 730 000,00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2 630 000,00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2 630 000,00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ГО, ЧС и ПБ,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образования,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отдел КСиМП</w:t>
            </w:r>
            <w:r>
              <w:rPr>
                <w:rFonts w:eastAsia="Times New Roman"/>
              </w:rPr>
              <w:t xml:space="preserve">, образовательные организации,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Учреждения сферы культуры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10 990 000,00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5 730 000,00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2 630 000,00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2 630 000,00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ОБ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ФБ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  <w:r>
              <w:rPr>
                <w:rFonts w:eastAsia="Times New Roman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ВБС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  <w:p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4.8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  <w:u w:val="single"/>
              </w:rPr>
              <w:t xml:space="preserve">Комплекс процессных мероприятий 8</w:t>
            </w:r>
            <w:r>
              <w:rPr>
                <w:rFonts w:eastAsia="Times New Roman"/>
              </w:rPr>
              <w:t xml:space="preserve"> «Профилактика терроризма и экстремизма»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343 874,85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83 874,85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130 000,00 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130 000,00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ГО, ЧС и ПБ,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отдел образования,</w:t>
            </w:r>
            <w:r>
              <w:rPr>
                <w:rFonts w:eastAsia="Times New Roman"/>
              </w:rPr>
              <w:t xml:space="preserve">     отдел КСиМП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343 874,85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83 874,85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130 000,00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130 000,00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</w:rPr>
            </w:pP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</w:rPr>
            </w:pP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</w:rPr>
            </w:pP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Times New Roman"/>
                <w:color w:val="ff0000"/>
              </w:rPr>
            </w:pP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  <w:r>
              <w:rPr>
                <w:rFonts w:eastAsia="Times New Roman"/>
                <w:color w:val="ff000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4.9</w:t>
            </w:r>
            <w:r>
              <w:rPr>
                <w:rFonts w:eastAsia="Times New Roman"/>
                <w:sz w:val="22"/>
                <w:szCs w:val="22"/>
              </w:rPr>
            </w: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  <w:u w:val="single"/>
              </w:rPr>
              <w:t xml:space="preserve">Комплекс процессных мероприятий 9</w:t>
            </w:r>
            <w:r>
              <w:rPr>
                <w:rFonts w:eastAsia="Times New Roman"/>
              </w:rPr>
              <w:t xml:space="preserve"> «Повышение антитеррористической защищенности объектов, находящихся в ведении Печенгского муниципального округа»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2026 - 2028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Всего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10 646 125,15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5 646 125,15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2 500 000,00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b/>
                <w:sz w:val="18"/>
                <w:szCs w:val="18"/>
              </w:rPr>
            </w:pPr>
            <w:r>
              <w:rPr>
                <w:rFonts w:eastAsia="Times New Roman"/>
                <w:b/>
                <w:sz w:val="18"/>
                <w:szCs w:val="18"/>
              </w:rPr>
              <w:t xml:space="preserve">2 500 000,00</w:t>
            </w:r>
            <w:r>
              <w:rPr>
                <w:rFonts w:eastAsia="Times New Roman"/>
                <w:b/>
                <w:sz w:val="18"/>
                <w:szCs w:val="18"/>
              </w:rPr>
            </w:r>
            <w:r>
              <w:rPr>
                <w:rFonts w:eastAsia="Times New Roman"/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Отдел ГО, ЧС и ПБ, </w:t>
            </w:r>
            <w:r>
              <w:rPr>
                <w:rFonts w:eastAsia="Times New Roman"/>
              </w:rPr>
              <w:t xml:space="preserve">о</w:t>
            </w:r>
            <w:bookmarkStart w:id="0" w:name="_GoBack"/>
            <w:r/>
            <w:bookmarkEnd w:id="0"/>
            <w:r>
              <w:rPr>
                <w:rFonts w:eastAsia="Times New Roman"/>
              </w:rPr>
              <w:t xml:space="preserve">бразовательные организации,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Учреждения сферы культуры».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10 646 125,15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5 646 125,15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2 500 000,00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2 500 000,00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ФБ 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ВБС</w:t>
            </w: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z w:val="18"/>
                <w:szCs w:val="18"/>
              </w:rPr>
            </w:r>
            <w:r>
              <w:rPr>
                <w:rFonts w:eastAsia="Times New Roman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4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</w:tr>
    </w:tbl>
    <w:p>
      <w:pPr>
        <w:jc w:val="both"/>
        <w:spacing w:line="288" w:lineRule="atLeas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both"/>
        <w:widowControl w:val="off"/>
        <w:sectPr>
          <w:footnotePr/>
          <w:endnotePr/>
          <w:type w:val="nextPage"/>
          <w:pgSz w:w="16838" w:h="11906" w:orient="landscape"/>
          <w:pgMar w:top="993" w:right="678" w:bottom="851" w:left="993" w:header="709" w:footer="709" w:gutter="0"/>
          <w:cols w:num="1" w:sep="0" w:space="708" w:equalWidth="1"/>
          <w:docGrid w:linePitch="360"/>
        </w:sectPr>
      </w:pPr>
      <w:r/>
      <w:r/>
    </w:p>
    <w:p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2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389" w:hanging="114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4">
    <w:multiLevelType w:val="hybridMultilevel"/>
    <w:lvl w:ilvl="0">
      <w:start w:val="23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80" w:hanging="360"/>
      </w:pPr>
      <w:rPr>
        <w:rFonts w:hint="default" w:ascii="Times New Roman" w:hAnsi="Times New Roman" w:cs="Times New Roman" w:eastAsiaTheme="minorEastAsia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2027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4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7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9" w:hanging="360"/>
      </w:pPr>
      <w:rPr>
        <w:rFonts w:hint="default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46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607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3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93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018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792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19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49" w:hanging="1140"/>
      </w:pPr>
      <w:rPr>
        <w:rFonts w:hint="default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0">
    <w:multiLevelType w:val="hybridMultilevel"/>
    <w:lvl w:ilvl="0">
      <w:start w:val="23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4"/>
  </w:num>
  <w:num w:numId="6">
    <w:abstractNumId w:val="30"/>
  </w:num>
  <w:num w:numId="7">
    <w:abstractNumId w:val="29"/>
  </w:num>
  <w:num w:numId="8">
    <w:abstractNumId w:val="12"/>
  </w:num>
  <w:num w:numId="9">
    <w:abstractNumId w:val="19"/>
  </w:num>
  <w:num w:numId="10">
    <w:abstractNumId w:val="15"/>
  </w:num>
  <w:num w:numId="11">
    <w:abstractNumId w:val="10"/>
  </w:num>
  <w:num w:numId="12">
    <w:abstractNumId w:val="5"/>
  </w:num>
  <w:num w:numId="13">
    <w:abstractNumId w:val="24"/>
  </w:num>
  <w:num w:numId="14">
    <w:abstractNumId w:val="3"/>
  </w:num>
  <w:num w:numId="15">
    <w:abstractNumId w:val="16"/>
  </w:num>
  <w:num w:numId="16">
    <w:abstractNumId w:val="23"/>
  </w:num>
  <w:num w:numId="17">
    <w:abstractNumId w:val="14"/>
  </w:num>
  <w:num w:numId="18">
    <w:abstractNumId w:val="21"/>
  </w:num>
  <w:num w:numId="19">
    <w:abstractNumId w:val="13"/>
  </w:num>
  <w:num w:numId="20">
    <w:abstractNumId w:val="31"/>
  </w:num>
  <w:num w:numId="21">
    <w:abstractNumId w:val="25"/>
  </w:num>
  <w:num w:numId="22">
    <w:abstractNumId w:val="8"/>
  </w:num>
  <w:num w:numId="23">
    <w:abstractNumId w:val="18"/>
  </w:num>
  <w:num w:numId="24">
    <w:abstractNumId w:val="6"/>
  </w:num>
  <w:num w:numId="25">
    <w:abstractNumId w:val="28"/>
  </w:num>
  <w:num w:numId="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7"/>
  </w:num>
  <w:num w:numId="29">
    <w:abstractNumId w:val="26"/>
  </w:num>
  <w:num w:numId="30">
    <w:abstractNumId w:val="17"/>
  </w:num>
  <w:num w:numId="31">
    <w:abstractNumId w:val="9"/>
  </w:num>
  <w:num w:numId="32">
    <w:abstractNumId w:val="11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9">
    <w:name w:val="Heading 1 Char"/>
    <w:basedOn w:val="743"/>
    <w:link w:val="734"/>
    <w:uiPriority w:val="9"/>
    <w:rPr>
      <w:rFonts w:ascii="Arial" w:hAnsi="Arial" w:eastAsia="Arial" w:cs="Arial"/>
      <w:sz w:val="40"/>
      <w:szCs w:val="40"/>
    </w:rPr>
  </w:style>
  <w:style w:type="character" w:styleId="720">
    <w:name w:val="Heading 2 Char"/>
    <w:basedOn w:val="743"/>
    <w:link w:val="735"/>
    <w:uiPriority w:val="9"/>
    <w:rPr>
      <w:rFonts w:ascii="Arial" w:hAnsi="Arial" w:eastAsia="Arial" w:cs="Arial"/>
      <w:sz w:val="34"/>
    </w:rPr>
  </w:style>
  <w:style w:type="character" w:styleId="721">
    <w:name w:val="Heading 3 Char"/>
    <w:basedOn w:val="743"/>
    <w:link w:val="736"/>
    <w:uiPriority w:val="9"/>
    <w:rPr>
      <w:rFonts w:ascii="Arial" w:hAnsi="Arial" w:eastAsia="Arial" w:cs="Arial"/>
      <w:sz w:val="30"/>
      <w:szCs w:val="30"/>
    </w:rPr>
  </w:style>
  <w:style w:type="character" w:styleId="722">
    <w:name w:val="Heading 4 Char"/>
    <w:basedOn w:val="743"/>
    <w:link w:val="737"/>
    <w:uiPriority w:val="9"/>
    <w:rPr>
      <w:rFonts w:ascii="Arial" w:hAnsi="Arial" w:eastAsia="Arial" w:cs="Arial"/>
      <w:b/>
      <w:bCs/>
      <w:sz w:val="26"/>
      <w:szCs w:val="26"/>
    </w:rPr>
  </w:style>
  <w:style w:type="character" w:styleId="723">
    <w:name w:val="Heading 5 Char"/>
    <w:basedOn w:val="743"/>
    <w:link w:val="738"/>
    <w:uiPriority w:val="9"/>
    <w:rPr>
      <w:rFonts w:ascii="Arial" w:hAnsi="Arial" w:eastAsia="Arial" w:cs="Arial"/>
      <w:b/>
      <w:bCs/>
      <w:sz w:val="24"/>
      <w:szCs w:val="24"/>
    </w:rPr>
  </w:style>
  <w:style w:type="character" w:styleId="724">
    <w:name w:val="Heading 6 Char"/>
    <w:basedOn w:val="743"/>
    <w:link w:val="739"/>
    <w:uiPriority w:val="9"/>
    <w:rPr>
      <w:rFonts w:ascii="Arial" w:hAnsi="Arial" w:eastAsia="Arial" w:cs="Arial"/>
      <w:b/>
      <w:bCs/>
      <w:sz w:val="22"/>
      <w:szCs w:val="22"/>
    </w:rPr>
  </w:style>
  <w:style w:type="character" w:styleId="725">
    <w:name w:val="Heading 7 Char"/>
    <w:basedOn w:val="743"/>
    <w:link w:val="74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>
    <w:name w:val="Heading 9 Char"/>
    <w:basedOn w:val="743"/>
    <w:link w:val="742"/>
    <w:uiPriority w:val="9"/>
    <w:rPr>
      <w:rFonts w:ascii="Arial" w:hAnsi="Arial" w:eastAsia="Arial" w:cs="Arial"/>
      <w:i/>
      <w:iCs/>
      <w:sz w:val="21"/>
      <w:szCs w:val="21"/>
    </w:rPr>
  </w:style>
  <w:style w:type="character" w:styleId="727">
    <w:name w:val="Title Char"/>
    <w:basedOn w:val="743"/>
    <w:link w:val="755"/>
    <w:uiPriority w:val="10"/>
    <w:rPr>
      <w:sz w:val="48"/>
      <w:szCs w:val="48"/>
    </w:rPr>
  </w:style>
  <w:style w:type="character" w:styleId="728">
    <w:name w:val="Subtitle Char"/>
    <w:basedOn w:val="743"/>
    <w:link w:val="757"/>
    <w:uiPriority w:val="11"/>
    <w:rPr>
      <w:sz w:val="24"/>
      <w:szCs w:val="24"/>
    </w:rPr>
  </w:style>
  <w:style w:type="character" w:styleId="729">
    <w:name w:val="Quote Char"/>
    <w:link w:val="759"/>
    <w:uiPriority w:val="29"/>
    <w:rPr>
      <w:i/>
    </w:rPr>
  </w:style>
  <w:style w:type="character" w:styleId="730">
    <w:name w:val="Intense Quote Char"/>
    <w:link w:val="761"/>
    <w:uiPriority w:val="30"/>
    <w:rPr>
      <w:i/>
    </w:rPr>
  </w:style>
  <w:style w:type="character" w:styleId="731">
    <w:name w:val="Footnote Text Char"/>
    <w:link w:val="893"/>
    <w:uiPriority w:val="99"/>
    <w:rPr>
      <w:sz w:val="18"/>
    </w:rPr>
  </w:style>
  <w:style w:type="character" w:styleId="732">
    <w:name w:val="Endnote Text Char"/>
    <w:link w:val="896"/>
    <w:uiPriority w:val="99"/>
    <w:rPr>
      <w:sz w:val="20"/>
    </w:rPr>
  </w:style>
  <w:style w:type="paragraph" w:styleId="733" w:default="1">
    <w:name w:val="Normal"/>
    <w:qFormat/>
    <w:rPr>
      <w:rFonts w:eastAsia="Calibri"/>
    </w:rPr>
  </w:style>
  <w:style w:type="paragraph" w:styleId="734">
    <w:name w:val="Heading 1"/>
    <w:basedOn w:val="733"/>
    <w:next w:val="733"/>
    <w:link w:val="74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35">
    <w:name w:val="Heading 2"/>
    <w:basedOn w:val="733"/>
    <w:next w:val="733"/>
    <w:link w:val="7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36">
    <w:name w:val="Heading 3"/>
    <w:basedOn w:val="733"/>
    <w:next w:val="733"/>
    <w:link w:val="74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37">
    <w:name w:val="Heading 4"/>
    <w:basedOn w:val="733"/>
    <w:next w:val="733"/>
    <w:link w:val="7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38">
    <w:name w:val="Heading 5"/>
    <w:basedOn w:val="733"/>
    <w:next w:val="733"/>
    <w:link w:val="75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39">
    <w:name w:val="Heading 6"/>
    <w:basedOn w:val="733"/>
    <w:next w:val="733"/>
    <w:link w:val="75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0">
    <w:name w:val="Heading 7"/>
    <w:basedOn w:val="733"/>
    <w:next w:val="733"/>
    <w:link w:val="75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1">
    <w:name w:val="Heading 8"/>
    <w:basedOn w:val="733"/>
    <w:next w:val="733"/>
    <w:link w:val="75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2">
    <w:name w:val="Heading 9"/>
    <w:basedOn w:val="733"/>
    <w:next w:val="733"/>
    <w:link w:val="75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3" w:default="1">
    <w:name w:val="Default Paragraph Font"/>
    <w:uiPriority w:val="1"/>
    <w:semiHidden/>
    <w:unhideWhenUsed/>
  </w:style>
  <w:style w:type="table" w:styleId="7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5" w:default="1">
    <w:name w:val="No List"/>
    <w:uiPriority w:val="99"/>
    <w:semiHidden/>
    <w:unhideWhenUsed/>
  </w:style>
  <w:style w:type="character" w:styleId="746" w:customStyle="1">
    <w:name w:val="Заголовок 1 Знак"/>
    <w:basedOn w:val="743"/>
    <w:link w:val="734"/>
    <w:uiPriority w:val="9"/>
    <w:rPr>
      <w:rFonts w:ascii="Arial" w:hAnsi="Arial" w:eastAsia="Arial" w:cs="Arial"/>
      <w:sz w:val="40"/>
      <w:szCs w:val="40"/>
    </w:rPr>
  </w:style>
  <w:style w:type="character" w:styleId="747" w:customStyle="1">
    <w:name w:val="Заголовок 2 Знак"/>
    <w:basedOn w:val="743"/>
    <w:link w:val="735"/>
    <w:uiPriority w:val="9"/>
    <w:rPr>
      <w:rFonts w:ascii="Arial" w:hAnsi="Arial" w:eastAsia="Arial" w:cs="Arial"/>
      <w:sz w:val="34"/>
    </w:rPr>
  </w:style>
  <w:style w:type="character" w:styleId="748" w:customStyle="1">
    <w:name w:val="Заголовок 3 Знак"/>
    <w:basedOn w:val="743"/>
    <w:link w:val="736"/>
    <w:uiPriority w:val="9"/>
    <w:rPr>
      <w:rFonts w:ascii="Arial" w:hAnsi="Arial" w:eastAsia="Arial" w:cs="Arial"/>
      <w:sz w:val="30"/>
      <w:szCs w:val="30"/>
    </w:rPr>
  </w:style>
  <w:style w:type="character" w:styleId="749" w:customStyle="1">
    <w:name w:val="Заголовок 4 Знак"/>
    <w:basedOn w:val="743"/>
    <w:link w:val="737"/>
    <w:uiPriority w:val="9"/>
    <w:rPr>
      <w:rFonts w:ascii="Arial" w:hAnsi="Arial" w:eastAsia="Arial" w:cs="Arial"/>
      <w:b/>
      <w:bCs/>
      <w:sz w:val="26"/>
      <w:szCs w:val="26"/>
    </w:rPr>
  </w:style>
  <w:style w:type="character" w:styleId="750" w:customStyle="1">
    <w:name w:val="Заголовок 5 Знак"/>
    <w:basedOn w:val="743"/>
    <w:link w:val="738"/>
    <w:uiPriority w:val="9"/>
    <w:rPr>
      <w:rFonts w:ascii="Arial" w:hAnsi="Arial" w:eastAsia="Arial" w:cs="Arial"/>
      <w:b/>
      <w:bCs/>
      <w:sz w:val="24"/>
      <w:szCs w:val="24"/>
    </w:rPr>
  </w:style>
  <w:style w:type="character" w:styleId="751" w:customStyle="1">
    <w:name w:val="Заголовок 6 Знак"/>
    <w:basedOn w:val="743"/>
    <w:link w:val="739"/>
    <w:uiPriority w:val="9"/>
    <w:rPr>
      <w:rFonts w:ascii="Arial" w:hAnsi="Arial" w:eastAsia="Arial" w:cs="Arial"/>
      <w:b/>
      <w:bCs/>
      <w:sz w:val="22"/>
      <w:szCs w:val="22"/>
    </w:rPr>
  </w:style>
  <w:style w:type="character" w:styleId="752" w:customStyle="1">
    <w:name w:val="Заголовок 7 Знак"/>
    <w:basedOn w:val="743"/>
    <w:link w:val="74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3" w:customStyle="1">
    <w:name w:val="Заголовок 8 Знак"/>
    <w:basedOn w:val="743"/>
    <w:link w:val="741"/>
    <w:uiPriority w:val="9"/>
    <w:rPr>
      <w:rFonts w:ascii="Arial" w:hAnsi="Arial" w:eastAsia="Arial" w:cs="Arial"/>
      <w:i/>
      <w:iCs/>
      <w:sz w:val="22"/>
      <w:szCs w:val="22"/>
    </w:rPr>
  </w:style>
  <w:style w:type="character" w:styleId="754" w:customStyle="1">
    <w:name w:val="Заголовок 9 Знак"/>
    <w:basedOn w:val="743"/>
    <w:link w:val="742"/>
    <w:uiPriority w:val="9"/>
    <w:rPr>
      <w:rFonts w:ascii="Arial" w:hAnsi="Arial" w:eastAsia="Arial" w:cs="Arial"/>
      <w:i/>
      <w:iCs/>
      <w:sz w:val="21"/>
      <w:szCs w:val="21"/>
    </w:rPr>
  </w:style>
  <w:style w:type="paragraph" w:styleId="755">
    <w:name w:val="Title"/>
    <w:basedOn w:val="733"/>
    <w:next w:val="733"/>
    <w:link w:val="7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6" w:customStyle="1">
    <w:name w:val="Заголовок Знак"/>
    <w:basedOn w:val="743"/>
    <w:link w:val="755"/>
    <w:uiPriority w:val="10"/>
    <w:rPr>
      <w:sz w:val="48"/>
      <w:szCs w:val="48"/>
    </w:rPr>
  </w:style>
  <w:style w:type="paragraph" w:styleId="757">
    <w:name w:val="Subtitle"/>
    <w:basedOn w:val="733"/>
    <w:next w:val="733"/>
    <w:link w:val="758"/>
    <w:uiPriority w:val="11"/>
    <w:qFormat/>
    <w:pPr>
      <w:spacing w:before="200" w:after="200"/>
    </w:pPr>
    <w:rPr>
      <w:sz w:val="24"/>
      <w:szCs w:val="24"/>
    </w:rPr>
  </w:style>
  <w:style w:type="character" w:styleId="758" w:customStyle="1">
    <w:name w:val="Подзаголовок Знак"/>
    <w:basedOn w:val="743"/>
    <w:link w:val="757"/>
    <w:uiPriority w:val="11"/>
    <w:rPr>
      <w:sz w:val="24"/>
      <w:szCs w:val="24"/>
    </w:rPr>
  </w:style>
  <w:style w:type="paragraph" w:styleId="759">
    <w:name w:val="Quote"/>
    <w:basedOn w:val="733"/>
    <w:next w:val="733"/>
    <w:link w:val="760"/>
    <w:uiPriority w:val="29"/>
    <w:qFormat/>
    <w:pPr>
      <w:ind w:left="720" w:right="720"/>
    </w:pPr>
    <w:rPr>
      <w:i/>
    </w:rPr>
  </w:style>
  <w:style w:type="character" w:styleId="760" w:customStyle="1">
    <w:name w:val="Цитата 2 Знак"/>
    <w:link w:val="759"/>
    <w:uiPriority w:val="29"/>
    <w:rPr>
      <w:i/>
    </w:rPr>
  </w:style>
  <w:style w:type="paragraph" w:styleId="761">
    <w:name w:val="Intense Quote"/>
    <w:basedOn w:val="733"/>
    <w:next w:val="733"/>
    <w:link w:val="76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2" w:customStyle="1">
    <w:name w:val="Выделенная цитата Знак"/>
    <w:link w:val="761"/>
    <w:uiPriority w:val="30"/>
    <w:rPr>
      <w:i/>
    </w:rPr>
  </w:style>
  <w:style w:type="character" w:styleId="763" w:customStyle="1">
    <w:name w:val="Header Char"/>
    <w:basedOn w:val="743"/>
    <w:uiPriority w:val="99"/>
  </w:style>
  <w:style w:type="character" w:styleId="764" w:customStyle="1">
    <w:name w:val="Footer Char"/>
    <w:basedOn w:val="743"/>
    <w:uiPriority w:val="99"/>
  </w:style>
  <w:style w:type="paragraph" w:styleId="765">
    <w:name w:val="Caption"/>
    <w:basedOn w:val="733"/>
    <w:next w:val="7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6" w:customStyle="1">
    <w:name w:val="Caption Char"/>
    <w:uiPriority w:val="99"/>
  </w:style>
  <w:style w:type="table" w:styleId="767" w:customStyle="1">
    <w:name w:val="Table Grid Light"/>
    <w:basedOn w:val="74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8">
    <w:name w:val="Plain Table 1"/>
    <w:basedOn w:val="74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9">
    <w:name w:val="Plain Table 2"/>
    <w:basedOn w:val="74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0">
    <w:name w:val="Plain Table 3"/>
    <w:basedOn w:val="74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1">
    <w:name w:val="Plain Table 4"/>
    <w:basedOn w:val="74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Plain Table 5"/>
    <w:basedOn w:val="74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3">
    <w:name w:val="Grid Table 1 Light"/>
    <w:basedOn w:val="74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1"/>
    <w:basedOn w:val="74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2"/>
    <w:basedOn w:val="74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Grid Table 1 Light - Accent 3"/>
    <w:basedOn w:val="74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4"/>
    <w:basedOn w:val="74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Grid Table 1 Light - Accent 5"/>
    <w:basedOn w:val="74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1 Light - Accent 6"/>
    <w:basedOn w:val="74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2"/>
    <w:basedOn w:val="74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1"/>
    <w:basedOn w:val="74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2"/>
    <w:basedOn w:val="74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2 - Accent 3"/>
    <w:basedOn w:val="74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4"/>
    <w:basedOn w:val="74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2 - Accent 5"/>
    <w:basedOn w:val="74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2 - Accent 6"/>
    <w:basedOn w:val="74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"/>
    <w:basedOn w:val="74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1"/>
    <w:basedOn w:val="74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2"/>
    <w:basedOn w:val="74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 - Accent 3"/>
    <w:basedOn w:val="74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4"/>
    <w:basedOn w:val="74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 - Accent 5"/>
    <w:basedOn w:val="74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 - Accent 6"/>
    <w:basedOn w:val="74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4"/>
    <w:basedOn w:val="74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5" w:customStyle="1">
    <w:name w:val="Grid Table 4 - Accent 1"/>
    <w:basedOn w:val="74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6" w:customStyle="1">
    <w:name w:val="Grid Table 4 - Accent 2"/>
    <w:basedOn w:val="74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97" w:customStyle="1">
    <w:name w:val="Grid Table 4 - Accent 3"/>
    <w:basedOn w:val="74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8" w:customStyle="1">
    <w:name w:val="Grid Table 4 - Accent 4"/>
    <w:basedOn w:val="74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9" w:customStyle="1">
    <w:name w:val="Grid Table 4 - Accent 5"/>
    <w:basedOn w:val="74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0" w:customStyle="1">
    <w:name w:val="Grid Table 4 - Accent 6"/>
    <w:basedOn w:val="74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1">
    <w:name w:val="Grid Table 5 Dark"/>
    <w:basedOn w:val="74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- Accent 1"/>
    <w:basedOn w:val="74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 - Accent 2"/>
    <w:basedOn w:val="74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4" w:customStyle="1">
    <w:name w:val="Grid Table 5 Dark - Accent 3"/>
    <w:basedOn w:val="74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- Accent 4"/>
    <w:basedOn w:val="74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6" w:customStyle="1">
    <w:name w:val="Grid Table 5 Dark - Accent 5"/>
    <w:basedOn w:val="74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5 Dark - Accent 6"/>
    <w:basedOn w:val="74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08">
    <w:name w:val="Grid Table 6 Colorful"/>
    <w:basedOn w:val="74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9" w:customStyle="1">
    <w:name w:val="Grid Table 6 Colorful - Accent 1"/>
    <w:basedOn w:val="74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0" w:customStyle="1">
    <w:name w:val="Grid Table 6 Colorful - Accent 2"/>
    <w:basedOn w:val="74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1" w:customStyle="1">
    <w:name w:val="Grid Table 6 Colorful - Accent 3"/>
    <w:basedOn w:val="74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2" w:customStyle="1">
    <w:name w:val="Grid Table 6 Colorful - Accent 4"/>
    <w:basedOn w:val="74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3" w:customStyle="1">
    <w:name w:val="Grid Table 6 Colorful - Accent 5"/>
    <w:basedOn w:val="74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4" w:customStyle="1">
    <w:name w:val="Grid Table 6 Colorful - Accent 6"/>
    <w:basedOn w:val="74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5">
    <w:name w:val="Grid Table 7 Colorful"/>
    <w:basedOn w:val="74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Grid Table 7 Colorful - Accent 1"/>
    <w:basedOn w:val="74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Grid Table 7 Colorful - Accent 2"/>
    <w:basedOn w:val="74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Grid Table 7 Colorful - Accent 3"/>
    <w:basedOn w:val="74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Grid Table 7 Colorful - Accent 4"/>
    <w:basedOn w:val="74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Grid Table 7 Colorful - Accent 5"/>
    <w:basedOn w:val="74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Grid Table 7 Colorful - Accent 6"/>
    <w:basedOn w:val="74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>
    <w:name w:val="List Table 1 Light"/>
    <w:basedOn w:val="74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1"/>
    <w:basedOn w:val="74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2"/>
    <w:basedOn w:val="74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1 Light - Accent 3"/>
    <w:basedOn w:val="74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4"/>
    <w:basedOn w:val="74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1 Light - Accent 5"/>
    <w:basedOn w:val="74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 - Accent 6"/>
    <w:basedOn w:val="74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2"/>
    <w:basedOn w:val="74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1"/>
    <w:basedOn w:val="74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2"/>
    <w:basedOn w:val="74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2" w:customStyle="1">
    <w:name w:val="List Table 2 - Accent 3"/>
    <w:basedOn w:val="74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4"/>
    <w:basedOn w:val="74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4" w:customStyle="1">
    <w:name w:val="List Table 2 - Accent 5"/>
    <w:basedOn w:val="74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5" w:customStyle="1">
    <w:name w:val="List Table 2 - Accent 6"/>
    <w:basedOn w:val="74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6">
    <w:name w:val="List Table 3"/>
    <w:basedOn w:val="74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1"/>
    <w:basedOn w:val="74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2"/>
    <w:basedOn w:val="74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3 - Accent 3"/>
    <w:basedOn w:val="74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4"/>
    <w:basedOn w:val="74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3 - Accent 5"/>
    <w:basedOn w:val="74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3 - Accent 6"/>
    <w:basedOn w:val="74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"/>
    <w:basedOn w:val="74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1"/>
    <w:basedOn w:val="74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2"/>
    <w:basedOn w:val="74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 - Accent 3"/>
    <w:basedOn w:val="74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4"/>
    <w:basedOn w:val="74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 - Accent 5"/>
    <w:basedOn w:val="74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 - Accent 6"/>
    <w:basedOn w:val="74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5 Dark"/>
    <w:basedOn w:val="74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1" w:customStyle="1">
    <w:name w:val="List Table 5 Dark - Accent 1"/>
    <w:basedOn w:val="74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2" w:customStyle="1">
    <w:name w:val="List Table 5 Dark - Accent 2"/>
    <w:basedOn w:val="74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3" w:customStyle="1">
    <w:name w:val="List Table 5 Dark - Accent 3"/>
    <w:basedOn w:val="74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List Table 5 Dark - Accent 4"/>
    <w:basedOn w:val="74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5" w:customStyle="1">
    <w:name w:val="List Table 5 Dark - Accent 5"/>
    <w:basedOn w:val="74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6" w:customStyle="1">
    <w:name w:val="List Table 5 Dark - Accent 6"/>
    <w:basedOn w:val="74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7">
    <w:name w:val="List Table 6 Colorful"/>
    <w:basedOn w:val="74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8" w:customStyle="1">
    <w:name w:val="List Table 6 Colorful - Accent 1"/>
    <w:basedOn w:val="74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9" w:customStyle="1">
    <w:name w:val="List Table 6 Colorful - Accent 2"/>
    <w:basedOn w:val="74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0" w:customStyle="1">
    <w:name w:val="List Table 6 Colorful - Accent 3"/>
    <w:basedOn w:val="74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1" w:customStyle="1">
    <w:name w:val="List Table 6 Colorful - Accent 4"/>
    <w:basedOn w:val="74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2" w:customStyle="1">
    <w:name w:val="List Table 6 Colorful - Accent 5"/>
    <w:basedOn w:val="74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3" w:customStyle="1">
    <w:name w:val="List Table 6 Colorful - Accent 6"/>
    <w:basedOn w:val="74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4">
    <w:name w:val="List Table 7 Colorful"/>
    <w:basedOn w:val="74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5" w:customStyle="1">
    <w:name w:val="List Table 7 Colorful - Accent 1"/>
    <w:basedOn w:val="74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6" w:customStyle="1">
    <w:name w:val="List Table 7 Colorful - Accent 2"/>
    <w:basedOn w:val="74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7" w:customStyle="1">
    <w:name w:val="List Table 7 Colorful - Accent 3"/>
    <w:basedOn w:val="74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List Table 7 Colorful - Accent 4"/>
    <w:basedOn w:val="74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9" w:customStyle="1">
    <w:name w:val="List Table 7 Colorful - Accent 5"/>
    <w:basedOn w:val="74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0" w:customStyle="1">
    <w:name w:val="List Table 7 Colorful - Accent 6"/>
    <w:basedOn w:val="74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1" w:customStyle="1">
    <w:name w:val="Lined - Accent"/>
    <w:basedOn w:val="74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2" w:customStyle="1">
    <w:name w:val="Lined - Accent 1"/>
    <w:basedOn w:val="74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3" w:customStyle="1">
    <w:name w:val="Lined - Accent 2"/>
    <w:basedOn w:val="74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4" w:customStyle="1">
    <w:name w:val="Lined - Accent 3"/>
    <w:basedOn w:val="74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5" w:customStyle="1">
    <w:name w:val="Lined - Accent 4"/>
    <w:basedOn w:val="74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6" w:customStyle="1">
    <w:name w:val="Lined - Accent 5"/>
    <w:basedOn w:val="74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7" w:customStyle="1">
    <w:name w:val="Lined - Accent 6"/>
    <w:basedOn w:val="74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8" w:customStyle="1">
    <w:name w:val="Bordered &amp; Lined - Accent"/>
    <w:basedOn w:val="74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9" w:customStyle="1">
    <w:name w:val="Bordered &amp; Lined - Accent 1"/>
    <w:basedOn w:val="74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0" w:customStyle="1">
    <w:name w:val="Bordered &amp; Lined - Accent 2"/>
    <w:basedOn w:val="74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1" w:customStyle="1">
    <w:name w:val="Bordered &amp; Lined - Accent 3"/>
    <w:basedOn w:val="74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2" w:customStyle="1">
    <w:name w:val="Bordered &amp; Lined - Accent 4"/>
    <w:basedOn w:val="74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3" w:customStyle="1">
    <w:name w:val="Bordered &amp; Lined - Accent 5"/>
    <w:basedOn w:val="74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4" w:customStyle="1">
    <w:name w:val="Bordered &amp; Lined - Accent 6"/>
    <w:basedOn w:val="74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5" w:customStyle="1">
    <w:name w:val="Bordered"/>
    <w:basedOn w:val="74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6" w:customStyle="1">
    <w:name w:val="Bordered - Accent 1"/>
    <w:basedOn w:val="74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87" w:customStyle="1">
    <w:name w:val="Bordered - Accent 2"/>
    <w:basedOn w:val="74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88" w:customStyle="1">
    <w:name w:val="Bordered - Accent 3"/>
    <w:basedOn w:val="74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9" w:customStyle="1">
    <w:name w:val="Bordered - Accent 4"/>
    <w:basedOn w:val="74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0" w:customStyle="1">
    <w:name w:val="Bordered - Accent 5"/>
    <w:basedOn w:val="74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1" w:customStyle="1">
    <w:name w:val="Bordered - Accent 6"/>
    <w:basedOn w:val="74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92">
    <w:name w:val="Hyperlink"/>
    <w:uiPriority w:val="99"/>
    <w:unhideWhenUsed/>
    <w:rPr>
      <w:color w:val="0000ff" w:themeColor="hyperlink"/>
      <w:u w:val="single"/>
    </w:rPr>
  </w:style>
  <w:style w:type="paragraph" w:styleId="893">
    <w:name w:val="footnote text"/>
    <w:basedOn w:val="733"/>
    <w:link w:val="894"/>
    <w:uiPriority w:val="99"/>
    <w:semiHidden/>
    <w:unhideWhenUsed/>
    <w:pPr>
      <w:spacing w:after="40"/>
    </w:pPr>
    <w:rPr>
      <w:sz w:val="18"/>
    </w:rPr>
  </w:style>
  <w:style w:type="character" w:styleId="894" w:customStyle="1">
    <w:name w:val="Текст сноски Знак"/>
    <w:link w:val="893"/>
    <w:uiPriority w:val="99"/>
    <w:rPr>
      <w:sz w:val="18"/>
    </w:rPr>
  </w:style>
  <w:style w:type="character" w:styleId="895">
    <w:name w:val="footnote reference"/>
    <w:basedOn w:val="743"/>
    <w:uiPriority w:val="99"/>
    <w:unhideWhenUsed/>
    <w:rPr>
      <w:vertAlign w:val="superscript"/>
    </w:rPr>
  </w:style>
  <w:style w:type="paragraph" w:styleId="896">
    <w:name w:val="endnote text"/>
    <w:basedOn w:val="733"/>
    <w:link w:val="897"/>
    <w:uiPriority w:val="99"/>
    <w:semiHidden/>
    <w:unhideWhenUsed/>
  </w:style>
  <w:style w:type="character" w:styleId="897" w:customStyle="1">
    <w:name w:val="Текст концевой сноски Знак"/>
    <w:link w:val="896"/>
    <w:uiPriority w:val="99"/>
    <w:rPr>
      <w:sz w:val="20"/>
    </w:rPr>
  </w:style>
  <w:style w:type="character" w:styleId="898">
    <w:name w:val="endnote reference"/>
    <w:basedOn w:val="743"/>
    <w:uiPriority w:val="99"/>
    <w:semiHidden/>
    <w:unhideWhenUsed/>
    <w:rPr>
      <w:vertAlign w:val="superscript"/>
    </w:rPr>
  </w:style>
  <w:style w:type="paragraph" w:styleId="899">
    <w:name w:val="toc 1"/>
    <w:basedOn w:val="733"/>
    <w:next w:val="733"/>
    <w:uiPriority w:val="39"/>
    <w:unhideWhenUsed/>
    <w:pPr>
      <w:spacing w:after="57"/>
    </w:pPr>
  </w:style>
  <w:style w:type="paragraph" w:styleId="900">
    <w:name w:val="toc 2"/>
    <w:basedOn w:val="733"/>
    <w:next w:val="733"/>
    <w:uiPriority w:val="39"/>
    <w:unhideWhenUsed/>
    <w:pPr>
      <w:ind w:left="283"/>
      <w:spacing w:after="57"/>
    </w:pPr>
  </w:style>
  <w:style w:type="paragraph" w:styleId="901">
    <w:name w:val="toc 3"/>
    <w:basedOn w:val="733"/>
    <w:next w:val="733"/>
    <w:uiPriority w:val="39"/>
    <w:unhideWhenUsed/>
    <w:pPr>
      <w:ind w:left="567"/>
      <w:spacing w:after="57"/>
    </w:pPr>
  </w:style>
  <w:style w:type="paragraph" w:styleId="902">
    <w:name w:val="toc 4"/>
    <w:basedOn w:val="733"/>
    <w:next w:val="733"/>
    <w:uiPriority w:val="39"/>
    <w:unhideWhenUsed/>
    <w:pPr>
      <w:ind w:left="850"/>
      <w:spacing w:after="57"/>
    </w:pPr>
  </w:style>
  <w:style w:type="paragraph" w:styleId="903">
    <w:name w:val="toc 5"/>
    <w:basedOn w:val="733"/>
    <w:next w:val="733"/>
    <w:uiPriority w:val="39"/>
    <w:unhideWhenUsed/>
    <w:pPr>
      <w:ind w:left="1134"/>
      <w:spacing w:after="57"/>
    </w:pPr>
  </w:style>
  <w:style w:type="paragraph" w:styleId="904">
    <w:name w:val="toc 6"/>
    <w:basedOn w:val="733"/>
    <w:next w:val="733"/>
    <w:uiPriority w:val="39"/>
    <w:unhideWhenUsed/>
    <w:pPr>
      <w:ind w:left="1417"/>
      <w:spacing w:after="57"/>
    </w:pPr>
  </w:style>
  <w:style w:type="paragraph" w:styleId="905">
    <w:name w:val="toc 7"/>
    <w:basedOn w:val="733"/>
    <w:next w:val="733"/>
    <w:uiPriority w:val="39"/>
    <w:unhideWhenUsed/>
    <w:pPr>
      <w:ind w:left="1701"/>
      <w:spacing w:after="57"/>
    </w:pPr>
  </w:style>
  <w:style w:type="paragraph" w:styleId="906">
    <w:name w:val="toc 8"/>
    <w:basedOn w:val="733"/>
    <w:next w:val="733"/>
    <w:uiPriority w:val="39"/>
    <w:unhideWhenUsed/>
    <w:pPr>
      <w:ind w:left="1984"/>
      <w:spacing w:after="57"/>
    </w:pPr>
  </w:style>
  <w:style w:type="paragraph" w:styleId="907">
    <w:name w:val="toc 9"/>
    <w:basedOn w:val="733"/>
    <w:next w:val="733"/>
    <w:uiPriority w:val="39"/>
    <w:unhideWhenUsed/>
    <w:pPr>
      <w:ind w:left="2268"/>
      <w:spacing w:after="57"/>
    </w:pPr>
  </w:style>
  <w:style w:type="paragraph" w:styleId="908">
    <w:name w:val="TOC Heading"/>
    <w:uiPriority w:val="39"/>
    <w:unhideWhenUsed/>
  </w:style>
  <w:style w:type="paragraph" w:styleId="909">
    <w:name w:val="table of figures"/>
    <w:basedOn w:val="733"/>
    <w:next w:val="733"/>
    <w:uiPriority w:val="99"/>
    <w:unhideWhenUsed/>
  </w:style>
  <w:style w:type="paragraph" w:styleId="910">
    <w:name w:val="Normal (Web)"/>
    <w:basedOn w:val="733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911" w:customStyle="1">
    <w:name w:val="Абзац списка1"/>
    <w:basedOn w:val="733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912">
    <w:name w:val="Balloon Text"/>
    <w:basedOn w:val="733"/>
    <w:link w:val="913"/>
    <w:uiPriority w:val="99"/>
    <w:rPr>
      <w:rFonts w:ascii="Calibri" w:hAnsi="Calibri"/>
      <w:sz w:val="16"/>
      <w:szCs w:val="16"/>
    </w:rPr>
  </w:style>
  <w:style w:type="character" w:styleId="913" w:customStyle="1">
    <w:name w:val="Текст выноски Знак"/>
    <w:link w:val="912"/>
    <w:uiPriority w:val="99"/>
    <w:rPr>
      <w:rFonts w:ascii="Calibri" w:hAnsi="Calibri" w:eastAsia="Calibri"/>
      <w:sz w:val="16"/>
      <w:szCs w:val="16"/>
    </w:rPr>
  </w:style>
  <w:style w:type="paragraph" w:styleId="914">
    <w:name w:val="Header"/>
    <w:basedOn w:val="733"/>
    <w:link w:val="915"/>
    <w:pPr>
      <w:tabs>
        <w:tab w:val="center" w:pos="4677" w:leader="none"/>
        <w:tab w:val="right" w:pos="9355" w:leader="none"/>
      </w:tabs>
    </w:pPr>
  </w:style>
  <w:style w:type="character" w:styleId="915" w:customStyle="1">
    <w:name w:val="Верхний колонтитул Знак"/>
    <w:link w:val="914"/>
    <w:rPr>
      <w:rFonts w:eastAsia="Calibri"/>
    </w:rPr>
  </w:style>
  <w:style w:type="paragraph" w:styleId="916">
    <w:name w:val="Footer"/>
    <w:basedOn w:val="733"/>
    <w:link w:val="917"/>
    <w:uiPriority w:val="99"/>
    <w:pPr>
      <w:tabs>
        <w:tab w:val="center" w:pos="4677" w:leader="none"/>
        <w:tab w:val="right" w:pos="9355" w:leader="none"/>
      </w:tabs>
    </w:pPr>
  </w:style>
  <w:style w:type="character" w:styleId="917" w:customStyle="1">
    <w:name w:val="Нижний колонтитул Знак"/>
    <w:link w:val="916"/>
    <w:uiPriority w:val="99"/>
    <w:rPr>
      <w:rFonts w:eastAsia="Calibri"/>
    </w:rPr>
  </w:style>
  <w:style w:type="table" w:styleId="918">
    <w:name w:val="Table Grid"/>
    <w:basedOn w:val="744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9">
    <w:name w:val="List Paragraph"/>
    <w:basedOn w:val="733"/>
    <w:qFormat/>
    <w:pPr>
      <w:contextualSpacing/>
      <w:ind w:left="720"/>
    </w:pPr>
  </w:style>
  <w:style w:type="paragraph" w:styleId="920" w:customStyle="1">
    <w:name w:val="Знак Знак2"/>
    <w:basedOn w:val="733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921">
    <w:name w:val="Body Text 2"/>
    <w:basedOn w:val="733"/>
    <w:link w:val="922"/>
    <w:pPr>
      <w:spacing w:after="120" w:line="480" w:lineRule="auto"/>
    </w:pPr>
  </w:style>
  <w:style w:type="character" w:styleId="922" w:customStyle="1">
    <w:name w:val="Основной текст 2 Знак"/>
    <w:basedOn w:val="743"/>
    <w:link w:val="921"/>
    <w:rPr>
      <w:rFonts w:eastAsia="Calibri"/>
    </w:rPr>
  </w:style>
  <w:style w:type="table" w:styleId="923" w:customStyle="1">
    <w:name w:val="Сетка таблицы1"/>
    <w:basedOn w:val="744"/>
    <w:next w:val="918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4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table" w:styleId="925" w:customStyle="1">
    <w:name w:val="Сетка таблицы2"/>
    <w:basedOn w:val="744"/>
    <w:next w:val="918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926" w:customStyle="1">
    <w:name w:val="Нет списка1"/>
    <w:next w:val="745"/>
    <w:uiPriority w:val="99"/>
    <w:semiHidden/>
    <w:unhideWhenUsed/>
  </w:style>
  <w:style w:type="character" w:styleId="927" w:customStyle="1">
    <w:name w:val="Heading 8 Char"/>
    <w:basedOn w:val="743"/>
    <w:uiPriority w:val="9"/>
    <w:rPr>
      <w:rFonts w:ascii="Arial" w:hAnsi="Arial" w:eastAsia="Arial" w:cs="Arial"/>
      <w:i/>
      <w:iCs/>
      <w:sz w:val="22"/>
      <w:szCs w:val="22"/>
    </w:rPr>
  </w:style>
  <w:style w:type="table" w:styleId="928" w:customStyle="1">
    <w:name w:val="Сетка таблицы3"/>
    <w:basedOn w:val="744"/>
    <w:next w:val="918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29" w:customStyle="1">
    <w:name w:val="Table Grid Light1"/>
    <w:basedOn w:val="744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930" w:customStyle="1">
    <w:name w:val="Таблица простая 11"/>
    <w:basedOn w:val="744"/>
    <w:next w:val="768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31" w:customStyle="1">
    <w:name w:val="Таблица простая 21"/>
    <w:basedOn w:val="744"/>
    <w:next w:val="769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32" w:customStyle="1">
    <w:name w:val="Таблица простая 31"/>
    <w:basedOn w:val="744"/>
    <w:next w:val="770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933" w:customStyle="1">
    <w:name w:val="Таблица простая 41"/>
    <w:basedOn w:val="744"/>
    <w:next w:val="771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4" w:customStyle="1">
    <w:name w:val="Таблица простая 51"/>
    <w:basedOn w:val="744"/>
    <w:next w:val="77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935" w:customStyle="1">
    <w:name w:val="Таблица-сетка 1 светлая1"/>
    <w:basedOn w:val="744"/>
    <w:next w:val="773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6" w:customStyle="1">
    <w:name w:val="Grid Table 1 Light - Accent 1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7" w:customStyle="1">
    <w:name w:val="Grid Table 1 Light - Accent 2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8" w:customStyle="1">
    <w:name w:val="Grid Table 1 Light - Accent 3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9" w:customStyle="1">
    <w:name w:val="Grid Table 1 Light - Accent 4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0" w:customStyle="1">
    <w:name w:val="Grid Table 1 Light - Accent 5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1" w:customStyle="1">
    <w:name w:val="Grid Table 1 Light - Accent 6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2" w:customStyle="1">
    <w:name w:val="Таблица-сетка 21"/>
    <w:basedOn w:val="744"/>
    <w:next w:val="780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3" w:customStyle="1">
    <w:name w:val="Grid Table 2 - Accent 1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4" w:customStyle="1">
    <w:name w:val="Grid Table 2 - Accent 2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5" w:customStyle="1">
    <w:name w:val="Grid Table 2 - Accent 3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6" w:customStyle="1">
    <w:name w:val="Grid Table 2 - Accent 4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7" w:customStyle="1">
    <w:name w:val="Grid Table 2 - Accent 5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8" w:customStyle="1">
    <w:name w:val="Grid Table 2 - Accent 6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9" w:customStyle="1">
    <w:name w:val="Таблица-сетка 31"/>
    <w:basedOn w:val="744"/>
    <w:next w:val="78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0" w:customStyle="1">
    <w:name w:val="Grid Table 3 - Accent 1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1" w:customStyle="1">
    <w:name w:val="Grid Table 3 - Accent 2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2" w:customStyle="1">
    <w:name w:val="Grid Table 3 - Accent 3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3" w:customStyle="1">
    <w:name w:val="Grid Table 3 - Accent 4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4" w:customStyle="1">
    <w:name w:val="Grid Table 3 - Accent 5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5" w:customStyle="1">
    <w:name w:val="Grid Table 3 - Accent 6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6" w:customStyle="1">
    <w:name w:val="Таблица-сетка 41"/>
    <w:basedOn w:val="744"/>
    <w:next w:val="794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957" w:customStyle="1">
    <w:name w:val="Grid Table 4 - Accent 11"/>
    <w:basedOn w:val="744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958" w:customStyle="1">
    <w:name w:val="Grid Table 4 - Accent 21"/>
    <w:basedOn w:val="744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959" w:customStyle="1">
    <w:name w:val="Grid Table 4 - Accent 31"/>
    <w:basedOn w:val="744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960" w:customStyle="1">
    <w:name w:val="Grid Table 4 - Accent 41"/>
    <w:basedOn w:val="744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961" w:customStyle="1">
    <w:name w:val="Grid Table 4 - Accent 51"/>
    <w:basedOn w:val="744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962" w:customStyle="1">
    <w:name w:val="Grid Table 4 - Accent 61"/>
    <w:basedOn w:val="744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963" w:customStyle="1">
    <w:name w:val="Таблица-сетка 5 темная1"/>
    <w:basedOn w:val="744"/>
    <w:next w:val="801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964" w:customStyle="1">
    <w:name w:val="Grid Table 5 Dark- Accent 1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965" w:customStyle="1">
    <w:name w:val="Grid Table 5 Dark - Accent 2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966" w:customStyle="1">
    <w:name w:val="Grid Table 5 Dark - Accent 3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967" w:customStyle="1">
    <w:name w:val="Grid Table 5 Dark- Accent 4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968" w:customStyle="1">
    <w:name w:val="Grid Table 5 Dark - Accent 5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969" w:customStyle="1">
    <w:name w:val="Grid Table 5 Dark - Accent 6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970" w:customStyle="1">
    <w:name w:val="Таблица-сетка 6 цветная1"/>
    <w:basedOn w:val="744"/>
    <w:next w:val="808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71" w:customStyle="1">
    <w:name w:val="Grid Table 6 Colorful - Accent 1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972" w:customStyle="1">
    <w:name w:val="Grid Table 6 Colorful - Accent 2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973" w:customStyle="1">
    <w:name w:val="Grid Table 6 Colorful - Accent 3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974" w:customStyle="1">
    <w:name w:val="Grid Table 6 Colorful - Accent 4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975" w:customStyle="1">
    <w:name w:val="Grid Table 6 Colorful - Accent 5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76" w:customStyle="1">
    <w:name w:val="Grid Table 6 Colorful - Accent 6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77" w:customStyle="1">
    <w:name w:val="Таблица-сетка 7 цветная1"/>
    <w:basedOn w:val="744"/>
    <w:next w:val="815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78" w:customStyle="1">
    <w:name w:val="Grid Table 7 Colorful - Accent 1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79" w:customStyle="1">
    <w:name w:val="Grid Table 7 Colorful - Accent 2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80" w:customStyle="1">
    <w:name w:val="Grid Table 7 Colorful - Accent 3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81" w:customStyle="1">
    <w:name w:val="Grid Table 7 Colorful - Accent 4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82" w:customStyle="1">
    <w:name w:val="Grid Table 7 Colorful - Accent 5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83" w:customStyle="1">
    <w:name w:val="Grid Table 7 Colorful - Accent 6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84" w:customStyle="1">
    <w:name w:val="Список-таблица 1 светлая1"/>
    <w:basedOn w:val="744"/>
    <w:next w:val="822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5" w:customStyle="1">
    <w:name w:val="List Table 1 Light - Accent 1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6" w:customStyle="1">
    <w:name w:val="List Table 1 Light - Accent 2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7" w:customStyle="1">
    <w:name w:val="List Table 1 Light - Accent 3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8" w:customStyle="1">
    <w:name w:val="List Table 1 Light - Accent 4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9" w:customStyle="1">
    <w:name w:val="List Table 1 Light - Accent 5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0" w:customStyle="1">
    <w:name w:val="List Table 1 Light - Accent 6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91" w:customStyle="1">
    <w:name w:val="Список-таблица 21"/>
    <w:basedOn w:val="744"/>
    <w:next w:val="829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92" w:customStyle="1">
    <w:name w:val="List Table 2 - Accent 1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993" w:customStyle="1">
    <w:name w:val="List Table 2 - Accent 2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994" w:customStyle="1">
    <w:name w:val="List Table 2 - Accent 3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995" w:customStyle="1">
    <w:name w:val="List Table 2 - Accent 4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996" w:customStyle="1">
    <w:name w:val="List Table 2 - Accent 5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997" w:customStyle="1">
    <w:name w:val="List Table 2 - Accent 6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998" w:customStyle="1">
    <w:name w:val="Список-таблица 31"/>
    <w:basedOn w:val="744"/>
    <w:next w:val="836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99" w:customStyle="1">
    <w:name w:val="List Table 3 - Accent 1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0" w:customStyle="1">
    <w:name w:val="List Table 3 - Accent 2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1" w:customStyle="1">
    <w:name w:val="List Table 3 - Accent 3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2" w:customStyle="1">
    <w:name w:val="List Table 3 - Accent 4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3" w:customStyle="1">
    <w:name w:val="List Table 3 - Accent 5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4" w:customStyle="1">
    <w:name w:val="List Table 3 - Accent 6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5" w:customStyle="1">
    <w:name w:val="Список-таблица 41"/>
    <w:basedOn w:val="744"/>
    <w:next w:val="843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6" w:customStyle="1">
    <w:name w:val="List Table 4 - Accent 1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7" w:customStyle="1">
    <w:name w:val="List Table 4 - Accent 2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8" w:customStyle="1">
    <w:name w:val="List Table 4 - Accent 3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09" w:customStyle="1">
    <w:name w:val="List Table 4 - Accent 4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0" w:customStyle="1">
    <w:name w:val="List Table 4 - Accent 5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1" w:customStyle="1">
    <w:name w:val="List Table 4 - Accent 6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012" w:customStyle="1">
    <w:name w:val="Список-таблица 5 темная1"/>
    <w:basedOn w:val="744"/>
    <w:next w:val="850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13" w:customStyle="1">
    <w:name w:val="List Table 5 Dark - Accent 1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14" w:customStyle="1">
    <w:name w:val="List Table 5 Dark - Accent 2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15" w:customStyle="1">
    <w:name w:val="List Table 5 Dark - Accent 3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16" w:customStyle="1">
    <w:name w:val="List Table 5 Dark - Accent 4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17" w:customStyle="1">
    <w:name w:val="List Table 5 Dark - Accent 5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18" w:customStyle="1">
    <w:name w:val="List Table 5 Dark - Accent 6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019" w:customStyle="1">
    <w:name w:val="Список-таблица 6 цветная1"/>
    <w:basedOn w:val="744"/>
    <w:next w:val="857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1020" w:customStyle="1">
    <w:name w:val="List Table 6 Colorful - Accent 1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1021" w:customStyle="1">
    <w:name w:val="List Table 6 Colorful - Accent 2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1022" w:customStyle="1">
    <w:name w:val="List Table 6 Colorful - Accent 3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1023" w:customStyle="1">
    <w:name w:val="List Table 6 Colorful - Accent 4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1024" w:customStyle="1">
    <w:name w:val="List Table 6 Colorful - Accent 5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1025" w:customStyle="1">
    <w:name w:val="List Table 6 Colorful - Accent 6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1026" w:customStyle="1">
    <w:name w:val="Список-таблица 7 цветная1"/>
    <w:basedOn w:val="744"/>
    <w:next w:val="86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27" w:customStyle="1">
    <w:name w:val="List Table 7 Colorful - Accent 1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28" w:customStyle="1">
    <w:name w:val="List Table 7 Colorful - Accent 2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29" w:customStyle="1">
    <w:name w:val="List Table 7 Colorful - Accent 3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30" w:customStyle="1">
    <w:name w:val="List Table 7 Colorful - Accent 4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31" w:customStyle="1">
    <w:name w:val="List Table 7 Colorful - Accent 5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32" w:customStyle="1">
    <w:name w:val="List Table 7 Colorful - Accent 6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1033" w:customStyle="1">
    <w:name w:val="Lined - Accent 1"/>
    <w:basedOn w:val="744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1034" w:customStyle="1">
    <w:name w:val="Lined - Accent 11"/>
    <w:basedOn w:val="744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1035" w:customStyle="1">
    <w:name w:val="Lined - Accent 21"/>
    <w:basedOn w:val="744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1036" w:customStyle="1">
    <w:name w:val="Lined - Accent 31"/>
    <w:basedOn w:val="744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1037" w:customStyle="1">
    <w:name w:val="Lined - Accent 41"/>
    <w:basedOn w:val="744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1038" w:customStyle="1">
    <w:name w:val="Lined - Accent 51"/>
    <w:basedOn w:val="744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1039" w:customStyle="1">
    <w:name w:val="Lined - Accent 61"/>
    <w:basedOn w:val="744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1040" w:customStyle="1">
    <w:name w:val="Bordered &amp; Lined - Accent 1"/>
    <w:basedOn w:val="744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1041" w:customStyle="1">
    <w:name w:val="Bordered &amp; Lined - Accent 11"/>
    <w:basedOn w:val="744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1042" w:customStyle="1">
    <w:name w:val="Bordered &amp; Lined - Accent 21"/>
    <w:basedOn w:val="744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1043" w:customStyle="1">
    <w:name w:val="Bordered &amp; Lined - Accent 31"/>
    <w:basedOn w:val="744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1044" w:customStyle="1">
    <w:name w:val="Bordered &amp; Lined - Accent 41"/>
    <w:basedOn w:val="744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1045" w:customStyle="1">
    <w:name w:val="Bordered &amp; Lined - Accent 51"/>
    <w:basedOn w:val="744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1046" w:customStyle="1">
    <w:name w:val="Bordered &amp; Lined - Accent 61"/>
    <w:basedOn w:val="744"/>
    <w:uiPriority w:val="99"/>
    <w:rPr>
      <w:rFonts w:asciiTheme="minorHAnsi" w:hAnsiTheme="minorHAnsi" w:eastAsiaTheme="minorHAnsi" w:cstheme="minorBidi"/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1047" w:customStyle="1">
    <w:name w:val="Bordered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1048" w:customStyle="1">
    <w:name w:val="Bordered - Accent 1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1049" w:customStyle="1">
    <w:name w:val="Bordered - Accent 2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1050" w:customStyle="1">
    <w:name w:val="Bordered - Accent 3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1051" w:customStyle="1">
    <w:name w:val="Bordered - Accent 4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1052" w:customStyle="1">
    <w:name w:val="Bordered - Accent 5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1053" w:customStyle="1">
    <w:name w:val="Bordered - Accent 61"/>
    <w:basedOn w:val="744"/>
    <w:uiPriority w:val="99"/>
    <w:rPr>
      <w:rFonts w:asciiTheme="minorHAnsi" w:hAnsiTheme="minorHAnsi" w:eastAsia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1054" w:customStyle="1">
    <w:name w:val="ConsPlusNormal"/>
    <w:pPr>
      <w:widowControl w:val="off"/>
    </w:pPr>
    <w:rPr>
      <w:rFonts w:eastAsiaTheme="minorEastAsia"/>
      <w:sz w:val="24"/>
      <w:szCs w:val="22"/>
    </w:rPr>
  </w:style>
  <w:style w:type="paragraph" w:styleId="1055">
    <w:name w:val="Body Text"/>
    <w:basedOn w:val="733"/>
    <w:link w:val="1056"/>
    <w:pPr>
      <w:spacing w:after="120"/>
      <w:widowControl w:val="off"/>
    </w:pPr>
    <w:rPr>
      <w:rFonts w:eastAsia="Times New Roman"/>
    </w:rPr>
  </w:style>
  <w:style w:type="character" w:styleId="1056" w:customStyle="1">
    <w:name w:val="Основной текст Знак"/>
    <w:basedOn w:val="743"/>
    <w:link w:val="1055"/>
  </w:style>
  <w:style w:type="paragraph" w:styleId="1057" w:customStyle="1">
    <w:name w:val="ConsPlusTitle"/>
    <w:pPr>
      <w:widowControl w:val="off"/>
    </w:pPr>
    <w:rPr>
      <w:rFonts w:ascii="Arial" w:hAnsi="Arial" w:cs="Arial" w:eastAsiaTheme="minorEastAsia"/>
      <w:b/>
      <w:sz w:val="24"/>
      <w:szCs w:val="22"/>
    </w:rPr>
  </w:style>
  <w:style w:type="character" w:styleId="1058">
    <w:name w:val="Placeholder Text"/>
    <w:basedOn w:val="743"/>
    <w:uiPriority w:val="99"/>
    <w:semiHidden/>
    <w:rPr>
      <w:color w:val="80808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DFCC5D-D008-463F-ACEE-7A415551A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26</cp:revision>
  <dcterms:created xsi:type="dcterms:W3CDTF">2025-10-24T09:15:00Z</dcterms:created>
  <dcterms:modified xsi:type="dcterms:W3CDTF">2026-04-14T09:50:15Z</dcterms:modified>
</cp:coreProperties>
</file>