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08.04.2026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№ 534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</w:t>
      </w:r>
      <w:r>
        <w:rPr>
          <w:b/>
          <w:bCs/>
          <w:sz w:val="20"/>
          <w:szCs w:val="20"/>
        </w:rPr>
        <w:t xml:space="preserve"> внесении изменений в </w:t>
      </w:r>
      <w:r>
        <w:rPr>
          <w:b/>
          <w:bCs/>
          <w:sz w:val="20"/>
          <w:szCs w:val="20"/>
        </w:rPr>
        <w:t xml:space="preserve">план реализации муниципальной программы Печенгского муниципального округа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«Обеспечение общественного порядка и безопасности населения»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</w:t>
      </w:r>
      <w: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t xml:space="preserve">ым</w:t>
      </w:r>
      <w:r>
        <w:t xml:space="preserve"> постановлением администрации Печенгского муниципального округа </w:t>
      </w:r>
      <w:r>
        <w:br/>
        <w:t xml:space="preserve">от 18.09.2025 № 1488, </w:t>
      </w:r>
      <w:r>
        <w:t xml:space="preserve">в соответствии с муниципальной программой Печенгского муниципального округа</w:t>
      </w:r>
      <w:r>
        <w:t xml:space="preserve"> «Обеспечение общественного порядка и безопасности населения» на 2026 - 2028 годы»</w:t>
      </w:r>
      <w:r>
        <w:t xml:space="preserve">,</w:t>
      </w:r>
      <w:r>
        <w:t xml:space="preserve"> </w:t>
      </w:r>
      <w:r>
        <w:t xml:space="preserve">утвержденной </w:t>
      </w:r>
      <w:r>
        <w:t xml:space="preserve">постановлением администрации Печенгского муниципальн</w:t>
      </w:r>
      <w:r>
        <w:t xml:space="preserve">ого округа от 12.11.2025 № 1839</w:t>
      </w:r>
      <w:r>
        <w:t xml:space="preserve">,</w:t>
      </w:r>
      <w:r>
        <w:t xml:space="preserve">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</w:t>
      </w:r>
      <w:r>
        <w:t xml:space="preserve">П</w:t>
      </w:r>
      <w:r>
        <w:t xml:space="preserve">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t xml:space="preserve">, утвержденный постановлением администрации Печенгского муниципального округа от 18.11.2025 № 1888</w:t>
      </w:r>
      <w:r>
        <w:t xml:space="preserve"> (в редакции постановления администрации Печенгского муниципального округа от 15.01.2026 № 40)</w:t>
      </w:r>
      <w:r>
        <w:t xml:space="preserve">,</w:t>
      </w:r>
      <w:r>
        <w:t xml:space="preserve"> изложить в редакции </w:t>
      </w:r>
      <w:r>
        <w:t xml:space="preserve">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</w:t>
      </w:r>
      <w:r>
        <w:t xml:space="preserve">с момента подписания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А.</w:t>
      </w:r>
      <w:r>
        <w:t xml:space="preserve">С</w:t>
      </w:r>
      <w:r>
        <w:t xml:space="preserve">. </w:t>
      </w:r>
      <w:r>
        <w:t xml:space="preserve">Пеньшин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850" w:bottom="397" w:left="1701" w:header="708" w:footer="708" w:gutter="0"/>
          <w:cols w:num="1" w:sep="0" w:space="708" w:equalWidth="1"/>
          <w:docGrid w:linePitch="360"/>
        </w:sectPr>
      </w:pPr>
      <w:r/>
      <w:bookmarkStart w:id="0" w:name="P439"/>
      <w:r/>
      <w:bookmarkEnd w:id="0"/>
      <w:r/>
      <w:r/>
    </w:p>
    <w:p>
      <w:pPr>
        <w:pStyle w:val="899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/>
      <w:bookmarkStart w:id="1" w:name="P446"/>
      <w:r/>
      <w:bookmarkEnd w:id="1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913"/>
      </w:pP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08.04.2026 № 534</w:t>
      </w:r>
      <w:r/>
    </w:p>
    <w:p>
      <w:pPr>
        <w:ind w:left="10913"/>
      </w:pPr>
      <w:r/>
      <w:r/>
    </w:p>
    <w:p>
      <w:pPr>
        <w:ind w:left="10913"/>
      </w:pPr>
      <w:r>
        <w:t xml:space="preserve">«</w:t>
      </w: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18.11.2025 № 1888</w:t>
      </w:r>
      <w:r/>
    </w:p>
    <w:p>
      <w:pPr>
        <w:jc w:val="center"/>
        <w:rPr>
          <w:b/>
          <w:sz w:val="26"/>
          <w:szCs w:val="26"/>
        </w:rPr>
      </w:pPr>
      <w:r/>
      <w:bookmarkStart w:id="2" w:name="p129"/>
      <w:r/>
      <w:bookmarkEnd w:id="2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right"/>
        <w:spacing w:line="288" w:lineRule="atLeast"/>
      </w:pPr>
      <w:r/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993"/>
        <w:gridCol w:w="708"/>
        <w:gridCol w:w="1134"/>
        <w:gridCol w:w="1134"/>
        <w:gridCol w:w="1134"/>
        <w:gridCol w:w="1134"/>
        <w:gridCol w:w="453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направление (подпрограмма), комплексы процессных и (или) проектных мероприятий, мероприятие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97 707 976,00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44 969 436,00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</w:t>
            </w:r>
            <w:r>
              <w:rPr>
                <w:sz w:val="16"/>
                <w:szCs w:val="16"/>
              </w:rPr>
              <w:t xml:space="preserve">ел образования; образовательные </w:t>
            </w:r>
            <w:r>
              <w:rPr>
                <w:sz w:val="16"/>
                <w:szCs w:val="16"/>
              </w:rPr>
              <w:t xml:space="preserve">организации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Учреждения сферы культуры; Печенгский кадровый центр; ОМВД России «Печенгский»; МВК; 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97 707 976,00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44 969 436,00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10 00</w:t>
            </w:r>
            <w:r>
              <w:rPr>
                <w:b/>
                <w:sz w:val="16"/>
                <w:szCs w:val="16"/>
              </w:rPr>
              <w:t xml:space="preserve">0</w:t>
            </w:r>
            <w:r>
              <w:rPr>
                <w:b/>
                <w:sz w:val="16"/>
                <w:szCs w:val="16"/>
                <w:lang w:val="en-US"/>
              </w:rPr>
              <w:t xml:space="preserve"> 000</w:t>
            </w:r>
            <w:r>
              <w:rPr>
                <w:b/>
                <w:sz w:val="16"/>
                <w:szCs w:val="16"/>
              </w:rPr>
              <w:t xml:space="preserve">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«Совершенствование системы </w:t>
            </w:r>
            <w:r>
              <w:rPr>
                <w:sz w:val="18"/>
                <w:szCs w:val="18"/>
              </w:rPr>
              <w:t xml:space="preserve">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</w:t>
            </w:r>
            <w:r>
              <w:rPr>
                <w:sz w:val="16"/>
                <w:szCs w:val="16"/>
              </w:rPr>
              <w:t xml:space="preserve">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Количество публикаций о состоянии аварийности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</w:t>
            </w:r>
            <w:r>
              <w:rPr>
                <w:sz w:val="16"/>
                <w:szCs w:val="16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«Устранение нарушений требований законодательства по безопасности дорожного движения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10 00</w:t>
            </w:r>
            <w:r>
              <w:rPr>
                <w:sz w:val="16"/>
                <w:szCs w:val="16"/>
              </w:rPr>
              <w:t xml:space="preserve">0</w:t>
            </w:r>
            <w:r>
              <w:rPr>
                <w:sz w:val="16"/>
                <w:szCs w:val="16"/>
                <w:lang w:val="en-US"/>
              </w:rPr>
              <w:t xml:space="preserve"> 000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1.5. Количество проведенных мероприятий по профилактике детского дорожно-транспортного травматизма.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1.6. Количество публикаций о проводимых мероприятиях по совершенствованию системы обеспечения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1.7. Количество общеобразовательных учреждений, обучающиеся начальных классов, которых обеспечены светоотражающими фликерами.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1.8. Количество проведенных мероприятий, посвященных пропаганде безопасности дорожного движения, формированию навыков безопасного участия в дорожном движении среди учащихся образовательных учреждений.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1.9. Количество стендов, наглядных пособий в образовательных учреждениях по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</w:t>
            </w: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тдел образования; 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«Информирование населения о проводимых мероприятиях по совершенствованию системы обеспечения безопасности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аварийности на территории Печенгского муниципального округа; информации о проводимых профилактических операциях по линии БДД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«Профилактика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(обновление) наглядных стендо</w:t>
            </w:r>
            <w:r>
              <w:rPr>
                <w:sz w:val="16"/>
                <w:szCs w:val="16"/>
              </w:rPr>
              <w:t xml:space="preserve">в по безопасности дорожного движения в образовательных и дошкольных учреждениях. Выдача учащимся начальных классов светоотражающих фликеров. Проведение тематических занятий по безопасности дорожного движения в общеобразовательных и дошкольных учреждениях.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«Профилактика правонарушений»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ФКУ УИИ УФСИН; Печенгский кадровый центр; МВК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2.1. Количество проведенных заседаний МВК по профилактике правонарушений в Печенгском муниципальном округе.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2.2. Количество информационных публикаций о состоянии преступности на территории Печенгского муниципального </w:t>
            </w:r>
            <w:r>
              <w:rPr>
                <w:sz w:val="16"/>
                <w:szCs w:val="16"/>
              </w:rPr>
              <w:t xml:space="preserve">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правонарушений 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преступности на территории Печенского муниципального округа; информации о проводимых профилактических мероприятиях. Привлечение к охране общественного порядка народную дружину.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«Развитие системы профилактики правонарушений»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2.3.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2.4. Количество преступлений и правонарушений, совершенных несовершеннолетними.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2.5. Количество повторно совершенных преступлений.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2.6. Организация и проведение мониторинга миграционной составляющей на рынке труда.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2.7. 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2.8. Оказание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2.9. Оказания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2.10. Привлечение организаций различных организ</w:t>
            </w:r>
            <w:r>
              <w:rPr>
                <w:sz w:val="16"/>
                <w:szCs w:val="16"/>
              </w:rPr>
              <w:t xml:space="preserve">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Печенгский кадровый центр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«Обеспечение защиты населения и территорий от чрезвычайных ситуаций»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76 687 976,00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29 229 436,00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76 687 976,00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29 229 436,00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20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</w:r>
            <w:r>
              <w:rPr>
                <w:b/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</w:t>
            </w:r>
            <w:r>
              <w:rPr>
                <w:sz w:val="18"/>
                <w:szCs w:val="18"/>
              </w:rPr>
              <w:t xml:space="preserve">подготовки населения по вопросам гражданской обороны, способам защиты и действиям в чрезвычайных ситуациях. Об</w:t>
            </w:r>
            <w:r>
              <w:rPr>
                <w:sz w:val="18"/>
                <w:szCs w:val="18"/>
              </w:rPr>
              <w:t xml:space="preserve">еспечение пожарной </w:t>
            </w:r>
            <w:r>
              <w:rPr>
                <w:sz w:val="18"/>
                <w:szCs w:val="18"/>
              </w:rPr>
              <w:t xml:space="preserve">безопасности, безопасности на водных объектах </w:t>
            </w:r>
            <w:r>
              <w:rPr>
                <w:sz w:val="18"/>
                <w:szCs w:val="18"/>
              </w:rPr>
              <w:t xml:space="preserve">на территории муниципального образования</w:t>
            </w:r>
            <w:r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7 606 666,00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6 406 666,00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3.2. Количество установленной наглядной агитации с </w:t>
            </w:r>
            <w:r>
              <w:rPr>
                <w:sz w:val="16"/>
                <w:szCs w:val="16"/>
              </w:rPr>
              <w:t xml:space="preserve">разъяснением правил поведения граждан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муниципальных учреждений, в которых выполнены работы по укреплению противопожарного состояния.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образования; </w:t>
            </w:r>
            <w:r>
              <w:rPr>
                <w:sz w:val="16"/>
                <w:szCs w:val="16"/>
              </w:rPr>
              <w:t xml:space="preserve">образовательные </w:t>
            </w:r>
            <w:r>
              <w:rPr>
                <w:sz w:val="16"/>
                <w:szCs w:val="16"/>
              </w:rPr>
              <w:t xml:space="preserve">организации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7 606 666,00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6 406 666,00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0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обеспечению пожарной безопасности в период летнего пожароопасного периода»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44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28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работ пожарных добровольцев; пожарных ГОБУ «Мурманская авиабаза».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минерализованной полосы.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   МБУ 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44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280</w:t>
            </w:r>
            <w:r>
              <w:rPr>
                <w:sz w:val="16"/>
                <w:szCs w:val="16"/>
              </w:rPr>
              <w:t xml:space="preserve">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</w:t>
            </w:r>
            <w:r>
              <w:rPr>
                <w:sz w:val="16"/>
                <w:szCs w:val="16"/>
              </w:rPr>
              <w:t xml:space="preserve">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5 106 666,00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4 106 666,00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Приведение к нормативным требованиям по пожарной безопасности объектов культуры</w:t>
            </w:r>
            <w:r>
              <w:rPr>
                <w:sz w:val="16"/>
                <w:szCs w:val="16"/>
              </w:rPr>
              <w:t xml:space="preserve">,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Учреждения в сфере культуры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5 106 666,00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4 106 666,00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</w:t>
            </w:r>
            <w:r>
              <w:rPr>
                <w:sz w:val="16"/>
                <w:szCs w:val="16"/>
              </w:rPr>
              <w:t xml:space="preserve">Проведение работ по предупреждению гибели людей на водных объектах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Снижение </w:t>
            </w:r>
            <w:bookmarkStart w:id="3" w:name="_GoBack"/>
            <w:r/>
            <w:bookmarkEnd w:id="3"/>
            <w:r>
              <w:rPr>
                <w:sz w:val="16"/>
                <w:szCs w:val="16"/>
              </w:rPr>
              <w:t xml:space="preserve">происшествий на водных объектах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«Повышение готовности сил и средств гражданской обороны, муниципального звена РСЧС»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</w:t>
            </w:r>
            <w:r>
              <w:rPr>
                <w:b/>
                <w:sz w:val="16"/>
                <w:szCs w:val="16"/>
                <w:lang w:val="en-US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079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0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22 </w:t>
            </w:r>
            <w:r>
              <w:rPr>
                <w:b/>
                <w:sz w:val="16"/>
                <w:szCs w:val="16"/>
                <w:lang w:val="en-US"/>
              </w:rPr>
              <w:t xml:space="preserve">755</w:t>
            </w:r>
            <w:r>
              <w:rPr>
                <w:b/>
                <w:sz w:val="16"/>
                <w:szCs w:val="16"/>
              </w:rPr>
              <w:t xml:space="preserve"> 100,00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6</w:t>
            </w:r>
            <w:r>
              <w:rPr>
                <w:b/>
                <w:sz w:val="16"/>
                <w:szCs w:val="16"/>
                <w:lang w:val="en-US"/>
              </w:rPr>
              <w:t xml:space="preserve">69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Уровень охвата населения средствами оповещения.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3.6. Оснащение волонтеров противопожарным оборудованием, резервным запасом питьевой воды, СИЗ, при тушении лесных пожаров.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3.7. Количество приобретенных и установленных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3.8. Количество принятых и обработанных сообщений по системе 112.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68 079 000,00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22 755 100,00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22 654 500,00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22 669 400,00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СИЗ и другого имущества для создания резерва администрации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администрации.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и установка сетевых </w:t>
            </w:r>
            <w:r>
              <w:rPr>
                <w:sz w:val="18"/>
                <w:szCs w:val="18"/>
                <w:lang w:val="en-US"/>
              </w:rPr>
              <w:t xml:space="preserve">IP</w:t>
            </w:r>
            <w:r>
              <w:rPr>
                <w:sz w:val="18"/>
                <w:szCs w:val="18"/>
              </w:rPr>
              <w:t xml:space="preserve">-камер АПК «Безопасный город»»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и установка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 в населенных пунктах.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1 900 000,00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165 600,00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ГО,ЧС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165 600,00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функционирования МКУ «ЕДДС»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65 713 400,00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21 899 900,00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21 914 200,00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постоянной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65 713 400,00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21 899 900,00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21 914 200,00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проектных мероприятий 7 </w:t>
            </w:r>
            <w:r>
              <w:rPr>
                <w:sz w:val="18"/>
                <w:szCs w:val="18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защитных сооружений гражданской обороны, в отношении которых проведен капитальный ремонт.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«Приведение в нормативное состояние (готовность) защитных сооружений гражданской обороны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обследование защитных сооружений гражданской обороны; разработка ПСД на каждое защитное сооружение; капитальный ремонт помещений защитных сооружений гражданской обороны.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</w:t>
            </w:r>
            <w:r>
              <w:rPr>
                <w:sz w:val="16"/>
                <w:szCs w:val="16"/>
              </w:rPr>
              <w:t xml:space="preserve">тдел образования,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10 990 000,00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5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343 874,85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4.1. Количество проведенных заседаний антитеррористической комиссии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4.2. Количество размещенной информации по профилактике терроризма и экстремизма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4.3. 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4.5. 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4.6.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4.7. Количество мероприятий по повышению уровня компетентности обучающихся образовательных организаций в </w:t>
            </w:r>
            <w:r>
              <w:rPr>
                <w:sz w:val="16"/>
                <w:szCs w:val="16"/>
              </w:rPr>
              <w:t xml:space="preserve">вопросах профилактики терроризма, экстремизма, межнациональных и межконфессионных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4.8.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 Доля лиц, прибывающих в Печенгский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образования,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343 874,85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терроризма и экстремизма»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антитеррористической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адресной и индивидуальной работы с прибывающими в регионы лицами, из Донецкой, Луганской народных республик, Запорожской, Херсонской областей и Украины»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Выплаты нуждающимся лицам, прибывающим в Печенгский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</w:t>
            </w:r>
            <w:r>
              <w:rPr>
                <w:sz w:val="18"/>
                <w:szCs w:val="18"/>
                <w:u w:val="single"/>
              </w:rPr>
              <w:t xml:space="preserve">мплекс процессных мероприятий 9</w:t>
            </w:r>
            <w:r>
              <w:rPr>
                <w:sz w:val="18"/>
                <w:szCs w:val="18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10 646 125,15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5 646 125,15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Печен</w:t>
            </w:r>
            <w:r>
              <w:rPr>
                <w:sz w:val="16"/>
                <w:szCs w:val="16"/>
              </w:rPr>
              <w:t xml:space="preserve">гского муниципального округа, от</w:t>
            </w:r>
            <w:r>
              <w:rPr>
                <w:sz w:val="16"/>
                <w:szCs w:val="16"/>
              </w:rPr>
              <w:t xml:space="preserve"> общего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</w:t>
            </w:r>
            <w:r>
              <w:rPr>
                <w:sz w:val="16"/>
                <w:szCs w:val="16"/>
              </w:rPr>
              <w:t xml:space="preserve">тдел КСиМП;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10 646 125,15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5 646 125,15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Печенгского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10 646 125,15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5 646 125,15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</w:t>
            </w:r>
            <w:r>
              <w:rPr>
                <w:sz w:val="16"/>
                <w:szCs w:val="16"/>
              </w:rPr>
              <w:t xml:space="preserve">повещения о готовящемся теракте;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информационных стендов </w:t>
            </w:r>
            <w:r>
              <w:rPr>
                <w:sz w:val="16"/>
                <w:szCs w:val="16"/>
              </w:rPr>
              <w:t xml:space="preserve">в местах массового пребывания людей.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</w:t>
            </w:r>
            <w:r>
              <w:rPr>
                <w:sz w:val="16"/>
                <w:szCs w:val="16"/>
              </w:rPr>
              <w:t xml:space="preserve">тдел КСиМП;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10 646 125,15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5 646 125,15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  <w:vertAlign w:val="superscript"/>
        </w:rPr>
      </w:pP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</w:p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 и участники:</w:t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Отдел </w:t>
      </w:r>
      <w:r>
        <w:rPr>
          <w:sz w:val="18"/>
          <w:szCs w:val="18"/>
        </w:rPr>
        <w:t xml:space="preserve">ГО, ЧС и ПБ - Администрация Печенгского муниципального округа (Отдел гражданской обороны, чрезвычайной ситуации и пожарной безопасности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о</w:t>
      </w:r>
      <w:r>
        <w:rPr>
          <w:sz w:val="18"/>
          <w:szCs w:val="18"/>
        </w:rPr>
        <w:t xml:space="preserve">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КСиМП – о</w:t>
      </w:r>
      <w:r>
        <w:rPr>
          <w:sz w:val="18"/>
          <w:szCs w:val="18"/>
        </w:rPr>
        <w:t xml:space="preserve">тдел культуры, спорта и молодежной политики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«ЕДДС» - муниципальное казенное учреждение «Единая дежурно-диспетчерская служба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«Никельская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Печенгский кадровый центр – Печенгский кадровый центр ГОБУ ЦЗН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ОМВД России «Печенгский» - ОМВД России «Печенгский;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МВК – межведомственная комиссия по обеспечению безопасности дорожного движения;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ФКУ УИИ УФСИН – филиал по Печенгскому району ФКУ УИИ УФСИН России по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</w:t>
      </w:r>
      <w:r>
        <w:rPr>
          <w:sz w:val="18"/>
          <w:szCs w:val="18"/>
        </w:rPr>
        <w:t xml:space="preserve">образовательные организации</w:t>
      </w:r>
      <w:r>
        <w:rPr>
          <w:sz w:val="18"/>
          <w:szCs w:val="18"/>
        </w:rPr>
        <w:t xml:space="preserve"> – Муниципальное бюджетное общеобразовательное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 № 5 имени Героя </w:t>
      </w:r>
      <w:r>
        <w:rPr>
          <w:sz w:val="18"/>
          <w:szCs w:val="18"/>
        </w:rPr>
        <w:t xml:space="preserve">Российской Федерации М.С. Попова»; Муниципальное бюджетное общеобразовательное учреждение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школа № 9»; Муниципал</w:t>
      </w:r>
      <w:r>
        <w:rPr>
          <w:sz w:val="18"/>
          <w:szCs w:val="18"/>
        </w:rPr>
        <w:t xml:space="preserve">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Янкова»; Муниципальное бюджетное общеобразовательное учреждение </w:t>
      </w:r>
      <w:r>
        <w:rPr>
          <w:sz w:val="18"/>
          <w:szCs w:val="18"/>
        </w:rPr>
        <w:t xml:space="preserve">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</w:t>
      </w:r>
      <w:r>
        <w:rPr>
          <w:sz w:val="18"/>
          <w:szCs w:val="18"/>
        </w:rPr>
        <w:t xml:space="preserve">льная школа № 23»; Муниципальное бюджетное дошкольное образовательное учреждение «Детский сад № 1»; Муниципальное бюджетное дошкольное образовательное учреждение «Детский сад № 4»; Муниципальное бюджетное дошкольное образовательное учреждение «Детский сад </w:t>
      </w:r>
      <w:r>
        <w:rPr>
          <w:sz w:val="18"/>
          <w:szCs w:val="18"/>
        </w:rPr>
        <w:br/>
        <w:t xml:space="preserve">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 сад № 8»; Муниципальное бюджетное дошкольное образовательное учреждение «Детский </w:t>
      </w:r>
      <w:r>
        <w:rPr>
          <w:sz w:val="18"/>
          <w:szCs w:val="18"/>
        </w:rPr>
        <w:t xml:space="preserve">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Учреждения сферы культуры – Муниципальное бюджетное учреждение культуры «Центр культуры Печенгского муниципального округа»; Муниципальное бюджетное учреждение дополнительного образования «Детская музыкальная школа» Печенгского муниципально</w:t>
      </w:r>
      <w:r>
        <w:rPr>
          <w:sz w:val="18"/>
          <w:szCs w:val="18"/>
        </w:rPr>
        <w:t xml:space="preserve">го округа; Муниципальное бюджетное учреждение дополнительного образования «Детская художественная школа» Печенгского муниципального округа; Муниципальное бюджетное культурно-просветительное учреждение «Печенгское межпоселенческое библиотечное объединение».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Используемые сокращения: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sz w:val="18"/>
          <w:szCs w:val="18"/>
        </w:rPr>
        <w:t xml:space="preserve">».</w:t>
      </w:r>
      <w:r/>
    </w:p>
    <w:p>
      <w:pPr>
        <w:pStyle w:val="899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5"/>
  </w:num>
  <w:num w:numId="5">
    <w:abstractNumId w:val="19"/>
  </w:num>
  <w:num w:numId="6">
    <w:abstractNumId w:val="14"/>
  </w:num>
  <w:num w:numId="7">
    <w:abstractNumId w:val="11"/>
  </w:num>
  <w:num w:numId="8">
    <w:abstractNumId w:val="13"/>
  </w:num>
  <w:num w:numId="9">
    <w:abstractNumId w:val="1"/>
  </w:num>
  <w:num w:numId="10">
    <w:abstractNumId w:val="6"/>
  </w:num>
  <w:num w:numId="11">
    <w:abstractNumId w:val="20"/>
  </w:num>
  <w:num w:numId="12">
    <w:abstractNumId w:val="2"/>
  </w:num>
  <w:num w:numId="13">
    <w:abstractNumId w:val="16"/>
  </w:num>
  <w:num w:numId="14">
    <w:abstractNumId w:val="1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2"/>
  </w:num>
  <w:num w:numId="18">
    <w:abstractNumId w:val="8"/>
  </w:num>
  <w:num w:numId="19">
    <w:abstractNumId w:val="17"/>
  </w:num>
  <w:num w:numId="20">
    <w:abstractNumId w:val="7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23"/>
    <w:link w:val="71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02">
    <w:name w:val="Heading 5 Char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03">
    <w:name w:val="Heading 6 Char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04">
    <w:name w:val="Heading 7 Char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9 Char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23"/>
    <w:link w:val="736"/>
    <w:uiPriority w:val="10"/>
    <w:rPr>
      <w:sz w:val="48"/>
      <w:szCs w:val="48"/>
    </w:rPr>
  </w:style>
  <w:style w:type="character" w:styleId="707">
    <w:name w:val="Subtitle Char"/>
    <w:basedOn w:val="723"/>
    <w:link w:val="738"/>
    <w:uiPriority w:val="11"/>
    <w:rPr>
      <w:sz w:val="24"/>
      <w:szCs w:val="24"/>
    </w:rPr>
  </w:style>
  <w:style w:type="character" w:styleId="708">
    <w:name w:val="Quote Char"/>
    <w:link w:val="740"/>
    <w:uiPriority w:val="29"/>
    <w:rPr>
      <w:i/>
    </w:rPr>
  </w:style>
  <w:style w:type="character" w:styleId="709">
    <w:name w:val="Intense Quote Char"/>
    <w:link w:val="742"/>
    <w:uiPriority w:val="30"/>
    <w:rPr>
      <w:i/>
    </w:rPr>
  </w:style>
  <w:style w:type="character" w:styleId="710">
    <w:name w:val="Caption Char"/>
    <w:basedOn w:val="747"/>
    <w:link w:val="745"/>
    <w:uiPriority w:val="99"/>
  </w:style>
  <w:style w:type="character" w:styleId="711">
    <w:name w:val="Footnote Text Char"/>
    <w:link w:val="875"/>
    <w:uiPriority w:val="99"/>
    <w:rPr>
      <w:sz w:val="18"/>
    </w:rPr>
  </w:style>
  <w:style w:type="character" w:styleId="712">
    <w:name w:val="Endnote Text Char"/>
    <w:link w:val="878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4">
    <w:name w:val="Heading 1"/>
    <w:basedOn w:val="713"/>
    <w:next w:val="713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5">
    <w:name w:val="Heading 2"/>
    <w:basedOn w:val="713"/>
    <w:next w:val="713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6">
    <w:name w:val="Heading 3"/>
    <w:basedOn w:val="713"/>
    <w:next w:val="713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7">
    <w:name w:val="Heading 4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713"/>
    <w:next w:val="713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9">
    <w:name w:val="Heading 6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713"/>
    <w:next w:val="71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713"/>
    <w:next w:val="713"/>
    <w:link w:val="904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22">
    <w:name w:val="Heading 9"/>
    <w:basedOn w:val="713"/>
    <w:next w:val="713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Заголовок 1 Знак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23"/>
    <w:link w:val="715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3"/>
    <w:next w:val="713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Заголовок Знак"/>
    <w:basedOn w:val="723"/>
    <w:link w:val="736"/>
    <w:uiPriority w:val="10"/>
    <w:rPr>
      <w:sz w:val="48"/>
      <w:szCs w:val="48"/>
    </w:rPr>
  </w:style>
  <w:style w:type="paragraph" w:styleId="738">
    <w:name w:val="Subtitle"/>
    <w:basedOn w:val="713"/>
    <w:next w:val="713"/>
    <w:link w:val="739"/>
    <w:uiPriority w:val="11"/>
    <w:qFormat/>
    <w:pPr>
      <w:spacing w:before="200" w:after="200"/>
    </w:pPr>
  </w:style>
  <w:style w:type="character" w:styleId="739" w:customStyle="1">
    <w:name w:val="Подзаголовок Знак"/>
    <w:basedOn w:val="723"/>
    <w:link w:val="738"/>
    <w:uiPriority w:val="11"/>
    <w:rPr>
      <w:sz w:val="24"/>
      <w:szCs w:val="24"/>
    </w:rPr>
  </w:style>
  <w:style w:type="paragraph" w:styleId="740">
    <w:name w:val="Quote"/>
    <w:basedOn w:val="713"/>
    <w:next w:val="713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3"/>
    <w:next w:val="713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3"/>
    <w:uiPriority w:val="99"/>
  </w:style>
  <w:style w:type="paragraph" w:styleId="745">
    <w:name w:val="Footer"/>
    <w:basedOn w:val="713"/>
    <w:link w:val="74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6" w:customStyle="1">
    <w:name w:val="Footer Char"/>
    <w:basedOn w:val="723"/>
    <w:uiPriority w:val="99"/>
  </w:style>
  <w:style w:type="paragraph" w:styleId="747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Нижний колонтитул Знак"/>
    <w:link w:val="745"/>
    <w:uiPriority w:val="99"/>
  </w:style>
  <w:style w:type="table" w:styleId="749">
    <w:name w:val="Table Grid"/>
    <w:basedOn w:val="72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0" w:customStyle="1">
    <w:name w:val="Table Grid Light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>
    <w:name w:val="Plain Table 1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72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>
    <w:name w:val="Grid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>
    <w:name w:val="Grid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>
    <w:name w:val="Grid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>
    <w:name w:val="List Table 1 Light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>
    <w:name w:val="List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>
    <w:name w:val="List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713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23"/>
    <w:uiPriority w:val="99"/>
    <w:unhideWhenUsed/>
    <w:rPr>
      <w:vertAlign w:val="superscript"/>
    </w:rPr>
  </w:style>
  <w:style w:type="paragraph" w:styleId="878">
    <w:name w:val="endnote text"/>
    <w:basedOn w:val="713"/>
    <w:link w:val="879"/>
    <w:uiPriority w:val="99"/>
    <w:semiHidden/>
    <w:unhideWhenUsed/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23"/>
    <w:uiPriority w:val="99"/>
    <w:semiHidden/>
    <w:unhideWhenUsed/>
    <w:rPr>
      <w:vertAlign w:val="superscript"/>
    </w:rPr>
  </w:style>
  <w:style w:type="paragraph" w:styleId="881">
    <w:name w:val="toc 1"/>
    <w:basedOn w:val="713"/>
    <w:next w:val="713"/>
    <w:uiPriority w:val="39"/>
    <w:unhideWhenUsed/>
    <w:pPr>
      <w:spacing w:after="57"/>
    </w:pPr>
  </w:style>
  <w:style w:type="paragraph" w:styleId="882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3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4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5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6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7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88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89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3"/>
    <w:next w:val="713"/>
    <w:uiPriority w:val="99"/>
    <w:unhideWhenUsed/>
  </w:style>
  <w:style w:type="paragraph" w:styleId="89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3">
    <w:name w:val="Body Text"/>
    <w:basedOn w:val="713"/>
    <w:link w:val="894"/>
    <w:pPr>
      <w:spacing w:after="120"/>
      <w:widowControl w:val="off"/>
    </w:pPr>
    <w:rPr>
      <w:sz w:val="20"/>
      <w:szCs w:val="20"/>
    </w:rPr>
  </w:style>
  <w:style w:type="character" w:styleId="894" w:customStyle="1">
    <w:name w:val="Основной текст Знак"/>
    <w:basedOn w:val="723"/>
    <w:link w:val="89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Header"/>
    <w:basedOn w:val="713"/>
    <w:link w:val="89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6" w:customStyle="1">
    <w:name w:val="Верхний колонтитул Знак"/>
    <w:basedOn w:val="723"/>
    <w:link w:val="89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7">
    <w:name w:val="Hyperlink"/>
    <w:basedOn w:val="723"/>
    <w:uiPriority w:val="99"/>
    <w:unhideWhenUsed/>
    <w:rPr>
      <w:color w:val="0000ff" w:themeColor="hyperlink"/>
      <w:u w:val="single"/>
    </w:rPr>
  </w:style>
  <w:style w:type="paragraph" w:styleId="89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9">
    <w:name w:val="Normal (Web)"/>
    <w:basedOn w:val="713"/>
    <w:unhideWhenUsed/>
    <w:pPr>
      <w:spacing w:before="100" w:beforeAutospacing="1" w:after="100" w:afterAutospacing="1"/>
    </w:pPr>
  </w:style>
  <w:style w:type="paragraph" w:styleId="900">
    <w:name w:val="Balloon Text"/>
    <w:basedOn w:val="713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23"/>
    <w:link w:val="90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2">
    <w:name w:val="Placeholder Text"/>
    <w:basedOn w:val="723"/>
    <w:uiPriority w:val="99"/>
    <w:semiHidden/>
    <w:rPr>
      <w:color w:val="808080"/>
    </w:rPr>
  </w:style>
  <w:style w:type="paragraph" w:styleId="903">
    <w:name w:val="List Paragraph"/>
    <w:basedOn w:val="713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4" w:customStyle="1">
    <w:name w:val="Заголовок 8 Знак"/>
    <w:basedOn w:val="723"/>
    <w:link w:val="721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F122F-EA75-4269-B19E-8D9B3BFB1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82</cp:revision>
  <dcterms:created xsi:type="dcterms:W3CDTF">2025-11-13T06:05:00Z</dcterms:created>
  <dcterms:modified xsi:type="dcterms:W3CDTF">2026-04-14T09:44:59Z</dcterms:modified>
</cp:coreProperties>
</file>