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29.04.2026</w:t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 xml:space="preserve">                   № 60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Об утверждении сводного отчета о ходе реализации и об оценке эффективности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 муниципальных программ Печенгского муниципального округа за 2025 год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9"/>
        <w:ind w:firstLine="0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59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>
        <w:rPr>
          <w:sz w:val="24"/>
          <w:szCs w:val="24"/>
        </w:rPr>
        <w:br/>
        <w:t xml:space="preserve">№ 838, на основании протокола заседания Программно-целевого совета Печенгского муниципального округа от 28.04.2026 № 02,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759"/>
        <w:numPr>
          <w:ilvl w:val="0"/>
          <w:numId w:val="24"/>
        </w:numPr>
        <w:ind w:left="0" w:right="0" w:firstLine="709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сводный отчет о ходе реализации и об оценке эффективности муниципальных программ Печенгского муниципального округа за 2025 год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А.С. 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 Н.В., 6-20-41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jc w:val="both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8" w:hanging="1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5954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к распоряжению администрации       Печенгского муниципального округа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от 29.04.2026 № 60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both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center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СВОДНЫЙ ОТЧЕТ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о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и об оценке эффективности муниципальных программ Печенгского муниципального округа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за 202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numPr>
          <w:ilvl w:val="0"/>
          <w:numId w:val="25"/>
        </w:numPr>
        <w:ind w:left="0" w:firstLine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 Печенгского муниципаль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Образование»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Муниципальная программа Печенгского муниципального округа «Образование» на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 (далее -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707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4.11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1781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06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338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0.05.2025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48, от 30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07.10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599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10.11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805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21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направлена на обеспечение возможности детям получать качественное образование в условиях, отвечающих современным требованиям, независимо от места проживания ребенка.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доступности и качества образования, создание современной образовательной среды для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 отражают актуальные и перспективные направления муниципальной политики в сфере образования Печенгского муниципального округа и позволяют решить поставленные Программой задачи: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дошкольного образования. Создание комфортных и безопасных условий пребывания ребёнка в дошкольном образовательном учреждении (далее - ДОУ).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методического обеспечения образовательной деятельности. Совершенствование системы выявления и сопровождения одаренных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шесть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«Развитие дошкольного образования»;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2 «Развитие общего и дополнительного образования детей»;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3 «</w:t>
      </w:r>
      <w:r>
        <w:rPr>
          <w:rFonts w:ascii="Times New Roman" w:hAnsi="Times New Roman"/>
          <w:bCs/>
          <w:sz w:val="24"/>
          <w:szCs w:val="24"/>
        </w:rPr>
        <w:t xml:space="preserve">Детский отдых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 «Развитие потенциала участников образовательного процесса»;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5 «Реализация основополагающего права каждого ребенка жить и воспитываться в семье»;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6 «Хозяйственно-эксплуатационное обслуживание муниципальных учреждений муниципального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2 466 805,4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459 161,6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 476 388,2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ascii="Times New Roman" w:hAnsi="Times New Roman" w:cs="Times New Roman"/>
          <w:sz w:val="24"/>
          <w:szCs w:val="24"/>
        </w:rPr>
        <w:t xml:space="preserve">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91 455,6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39 800,0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2 292 769,7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</w:t>
      </w:r>
      <w:r>
        <w:rPr>
          <w:rFonts w:ascii="Times New Roman" w:hAnsi="Times New Roman" w:cs="Times New Roman"/>
          <w:sz w:val="24"/>
          <w:szCs w:val="24"/>
        </w:rPr>
        <w:t xml:space="preserve">в том числе: средства федерального бюджета составили </w:t>
      </w:r>
      <w:r>
        <w:rPr>
          <w:rFonts w:ascii="Times New Roman" w:hAnsi="Times New Roman" w:cs="Times New Roman"/>
          <w:sz w:val="24"/>
          <w:szCs w:val="24"/>
        </w:rPr>
        <w:br/>
        <w:t xml:space="preserve">419 909,0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1 214 289,0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рублей, бюджета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578 326,7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80 245,0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освоены в размере </w:t>
      </w:r>
      <w:r>
        <w:rPr>
          <w:rFonts w:ascii="Times New Roman" w:hAnsi="Times New Roman" w:cs="Times New Roman"/>
          <w:sz w:val="24"/>
          <w:szCs w:val="24"/>
        </w:rPr>
        <w:t xml:space="preserve">2 242 128,2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 Размер неосвоенных бюджетных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50 641,5 тыс. рублей, из них: 24,8 тыс. рублей из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бюджета, 5 708,0 тыс. рублей областной бюджет, 2 277,0 тыс. рублей средства бюджета округа, 42 631,7 тыс. рублей внебюджетные ассигнования.</w:t>
      </w:r>
      <w:r>
        <w:rPr>
          <w:rFonts w:ascii="Times New Roman" w:hAnsi="Times New Roman" w:cs="Times New Roman"/>
          <w:sz w:val="24"/>
          <w:szCs w:val="24"/>
        </w:rPr>
        <w:t xml:space="preserve"> Исполнение Программы составило</w:t>
      </w:r>
      <w:r>
        <w:rPr>
          <w:rFonts w:ascii="Times New Roman" w:hAnsi="Times New Roman" w:cs="Times New Roman"/>
          <w:sz w:val="24"/>
          <w:szCs w:val="24"/>
        </w:rPr>
        <w:t xml:space="preserve"> 97,8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дошкольного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развитие системы дошкольного образования, создание комфортных и безопасных условий пребывания ребёнка в дошкольном образовательном учреждении.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целей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предполагается за счет решения задачи по обеспечению государственных гарантий общедоступности и бесплатности дошкольного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задач подпрограммы обеспечена комплексом мероприятий по предоставлению услуг дошкольного образования, повышению качества дошкольного образования с ФГОС.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ассигнования в сумме </w:t>
      </w:r>
      <w:r>
        <w:t xml:space="preserve">1 050 239,3</w:t>
      </w:r>
      <w:r>
        <w:t xml:space="preserve"> тыс. рублей (99,</w:t>
      </w:r>
      <w:r>
        <w:t xml:space="preserve">3</w:t>
      </w:r>
      <w:r>
        <w:t xml:space="preserve"> %).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 исполнены средства 7 436,6 тыс. руб.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Мероприятия проводились в соответствии с предусмотренным перечнем в установленные сроки.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Средства не освоены по мероприятиям: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п. 1.1.1.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Обеспечение предоставления услуг дошкольного образования и воспитания: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неиспользован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ное право работников на оплату стоимости проезда и провоза багажа к месту использования отпуска и обратно лицам, работающим в организациях, расположенных в районах Крайнего Севера и экономия расходов по проф. развитию работников на сумму 182,9 тыс. рублей;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экономия по внебюджетным средствам составила 3 581,7 тыс. руб., родительская плата </w:t>
      </w:r>
      <w:r>
        <w:rPr>
          <w:rFonts w:ascii="Times New Roman" w:hAnsi="Times New Roman" w:eastAsia="Calibri" w:cs="Times New Roman"/>
          <w:sz w:val="24"/>
          <w:szCs w:val="24"/>
        </w:rPr>
        <w:t xml:space="preserve">за присмотр и уход за детьми.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         п. 1.1.2. Компенсация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- экономия по областному бюджету составила 3 552,4 тыс. руб., в связи с тем, что выплата компенсации части родительской платы носит заявительный характер, оплата производилась по факту предоставления квитанций.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п. 1.1.4. Обеспечение ежемесячных губернаторских поощрительных выплат руководителям дошкольных образовательных организаций, возглавившим муниципальную образовательную организацию, созданную путем реорганизации в форме присоединения (слияния):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- экономия по областному бюджету составила 94,8 тыс. руб., выплаты начисляются за фактически отработанное время.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Доступность дошкольного образования в Печенгском округе для детей в возрасте от </w:t>
      </w:r>
      <w:r>
        <w:t xml:space="preserve">1</w:t>
      </w:r>
      <w:r>
        <w:t xml:space="preserve"> до 7 лет в 20</w:t>
      </w:r>
      <w:r>
        <w:t xml:space="preserve">25</w:t>
      </w:r>
      <w:r>
        <w:t xml:space="preserve"> году составила</w:t>
      </w:r>
      <w:r>
        <w:t xml:space="preserve"> 100</w:t>
      </w:r>
      <w:r>
        <w:t xml:space="preserve">% (</w:t>
      </w:r>
      <w:r>
        <w:t xml:space="preserve">в 202</w:t>
      </w:r>
      <w:r>
        <w:t xml:space="preserve">4</w:t>
      </w:r>
      <w:r>
        <w:t xml:space="preserve"> году – 9</w:t>
      </w:r>
      <w:r>
        <w:t xml:space="preserve">0,1</w:t>
      </w:r>
      <w:r>
        <w:t xml:space="preserve">%). 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С 01.06.2025 года прошла реорганизация детских садов в форме присоединения, в результате на территории округа работают 9 юридических лиц (15 зданий)</w:t>
      </w:r>
      <w:r>
        <w:t xml:space="preserve">.</w:t>
      </w:r>
      <w:r/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Основной целью деятельности дошкольных образовательных учреждений является: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реализация основной образовательной программы дошкольного образования;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 реализация адаптированной образовательной программы дошкольного образования;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присмотр и уход за воспитанниками.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общего и дополнительного образования детей».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обучающихся, 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мероприятиями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 xml:space="preserve"> Обеспечение государственных гарантий общедоступности и </w:t>
      </w:r>
      <w:r>
        <w:rPr>
          <w:rFonts w:ascii="Times New Roman" w:hAnsi="Times New Roman" w:cs="Times New Roman"/>
          <w:sz w:val="24"/>
          <w:szCs w:val="24"/>
        </w:rPr>
        <w:t xml:space="preserve">бесплатности общего образования и равного доступа к услугам дополнительного обр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 Создание условий для повышения качества и конкурентоспособности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 Развитие системы оценки качества образования, обеспечение публичной доступности её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задач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 435,8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6,2</w:t>
      </w:r>
      <w:r>
        <w:rPr>
          <w:rFonts w:ascii="Times New Roman" w:hAnsi="Times New Roman" w:cs="Times New Roman"/>
          <w:sz w:val="24"/>
          <w:szCs w:val="24"/>
        </w:rPr>
        <w:t xml:space="preserve"> %).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3 197,8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 060,8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</w:t>
      </w:r>
      <w:r>
        <w:rPr>
          <w:rFonts w:ascii="Times New Roman" w:hAnsi="Times New Roman" w:cs="Times New Roman"/>
          <w:sz w:val="24"/>
          <w:szCs w:val="24"/>
        </w:rPr>
        <w:t xml:space="preserve">областного</w:t>
      </w:r>
      <w:r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  <w:t xml:space="preserve">1 702,2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обеспечение горячим питанием</w:t>
      </w:r>
      <w:r>
        <w:rPr>
          <w:rFonts w:ascii="Times New Roman" w:hAnsi="Times New Roman" w:cs="Times New Roman"/>
          <w:sz w:val="24"/>
          <w:szCs w:val="24"/>
        </w:rPr>
        <w:t xml:space="preserve"> и молоком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134,8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выплаты за руководство школьными спортивными клубами;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223,8 тыс. рублей губернаторские поощрительные выплаты (реорганизация учреждений);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2 087,0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732,2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расходы на обеспечение деятельности учреждений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32,8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обеспечению персонифицированного финансирования дополнительного образования детей (расходы по фактической потребности); </w:t>
      </w:r>
      <w:r>
        <w:rPr>
          <w:rFonts w:ascii="Times New Roman" w:hAnsi="Times New Roman" w:cs="Times New Roman"/>
          <w:sz w:val="24"/>
          <w:szCs w:val="24"/>
        </w:rPr>
        <w:t xml:space="preserve">349,4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 софинансирование расходов на предоставления бесплатного питания</w:t>
      </w:r>
      <w:r>
        <w:rPr>
          <w:rFonts w:ascii="Times New Roman" w:hAnsi="Times New Roman" w:cs="Times New Roman"/>
          <w:sz w:val="24"/>
          <w:szCs w:val="24"/>
        </w:rPr>
        <w:t xml:space="preserve"> и молока;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972,6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 э</w:t>
      </w:r>
      <w:r>
        <w:rPr>
          <w:rFonts w:ascii="Times New Roman" w:hAnsi="Times New Roman" w:cs="Times New Roman"/>
          <w:sz w:val="24"/>
          <w:szCs w:val="24"/>
        </w:rPr>
        <w:t xml:space="preserve">кономия по оснащению учреждений;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- 39 050,0 тыс. рублей внебюджетные средства, не выполнены работы по разработке проектно-сметной документации с прохождением государственной экспертизы и строительство канатной дороги в п. Никель (горнолыжный склон).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Основной задачей подпрограммы является обеспечение государственных гарант</w:t>
      </w:r>
      <w:r>
        <w:rPr>
          <w:rFonts w:ascii="Times New Roman" w:hAnsi="Times New Roman" w:cs="Times New Roman"/>
          <w:sz w:val="24"/>
          <w:szCs w:val="24"/>
        </w:rPr>
        <w:t xml:space="preserve">ий общедоступности и бесплатности общего образования, предоставляя возможность получения общего образования всем категориям граждан в соответствии с их возможностями и потребностями, добиваясь 100% охвата несовершеннолетних обучающихся общим образованием.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2025 году произошли изменения в сети общеобразовательных организаций, подве</w:t>
      </w:r>
      <w:r>
        <w:rPr>
          <w:rFonts w:ascii="Times New Roman" w:hAnsi="Times New Roman" w:cs="Times New Roman"/>
          <w:sz w:val="24"/>
          <w:szCs w:val="24"/>
        </w:rPr>
        <w:t xml:space="preserve">домственных отделу образования: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 реорг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анизация муниципального бюджетного учреждения общеобразовательного учреждения «Средняя общеобразовательная школа № 3» в форме присоединения к нему муниципального бюджетного учреждения общеобразовательного учреждения «Средняя общеобразовательная школа № 1».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01.09.2025 девять общеобразовательных организаций Печенгского муниципального округа предоставляют начальное общее, основное общее и среднее общее образование в очной форме.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«Детский отдых».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рганизация отдыха и оздоровления детей и подростков.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беспечение содействия в трудоустройстве детей и подростков.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организации муниципальных и выездных лагерей, организации досуга детей и их оздоровление.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1</w:t>
      </w:r>
      <w:r>
        <w:rPr>
          <w:rFonts w:ascii="Times New Roman" w:hAnsi="Times New Roman" w:cs="Times New Roman"/>
          <w:sz w:val="24"/>
          <w:szCs w:val="24"/>
        </w:rPr>
        <w:t xml:space="preserve">1 999,4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</w:t>
      </w:r>
      <w:r>
        <w:rPr>
          <w:rFonts w:ascii="Times New Roman" w:hAnsi="Times New Roman" w:cs="Times New Roman"/>
          <w:sz w:val="24"/>
          <w:szCs w:val="24"/>
        </w:rPr>
        <w:t xml:space="preserve"> 100,0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детских оздоровительных лагерях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территории округа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созданы условия для полноценного, активного отдыха детей, обесп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ечения их безопасности, организации питания детей, перевозки к местам отдыха и обратно. Приобретены игры, спортивный инвентарь, оборудование и призы для организации работы ДОЛ. Разработаны комплексные планы профилактических мероприятий на летний период 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года, включ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ающие в себя мероприятия по безопасному поведению во время массовых мероприятий, экскурсий, походов, на дороге, на воде, в лесу, в чрезвычайных ситуациях; обеспечение правопорядка и общественной безопасности в период пребывания детей в пришкольных лагерях.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программа 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«Развитие потенциала участников образовательного процесса».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Цель подпрограммы: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условий для развития творческого потенциала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Развитие системы непрерывного повышения квалификации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деятельности.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средства бюджета округа в сумме </w:t>
      </w:r>
      <w:r>
        <w:t xml:space="preserve">6 688,3</w:t>
      </w:r>
      <w:r>
        <w:t xml:space="preserve"> тыс. рублей, или 100,0 %.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соответствии с поставленными задачами по созданию условий для развития творческого потенциала педагогических работников в течение 202</w:t>
      </w:r>
      <w:r>
        <w:t xml:space="preserve">5</w:t>
      </w:r>
      <w:r>
        <w:t xml:space="preserve"> года проведено де</w:t>
      </w:r>
      <w:r>
        <w:t xml:space="preserve">ся</w:t>
      </w:r>
      <w:r>
        <w:t xml:space="preserve">ть конкурсных мероприятий муниципального уровня по выявлению и поддержке талантливых педагогов муниципального уровня (</w:t>
      </w:r>
      <w:r>
        <w:t xml:space="preserve">254</w:t>
      </w:r>
      <w:r>
        <w:t xml:space="preserve"> участника/ </w:t>
      </w:r>
      <w:r>
        <w:t xml:space="preserve">32 победителя/ 45</w:t>
      </w:r>
      <w:r>
        <w:t xml:space="preserve"> финалист</w:t>
      </w:r>
      <w:r>
        <w:t xml:space="preserve">ов</w:t>
      </w:r>
      <w:r>
        <w:t xml:space="preserve"> (призер</w:t>
      </w:r>
      <w:r>
        <w:t xml:space="preserve">ов</w:t>
      </w:r>
      <w:r>
        <w:t xml:space="preserve">)). Педагоги активно участвовали в четырех региональных профессиональных конкурсах.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«Реализация основополагающего права каждого ребенка жить и воспитываться в семье».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реализация основополагающего права каждого ребенка жить и воспитываться в семье.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Основные мероприятия подпрограммы: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приоритета семейного устройства детей-сирот и детей, оставшихся без попечения родителей.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средства бюджета округа в сумме 69,5 тыс. рублей, или 100,0 %.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u w:val="single"/>
        </w:rPr>
      </w:pPr>
      <w:r>
        <w:rPr>
          <w:u w:val="single"/>
        </w:rPr>
        <w:t xml:space="preserve">Подпрограмма 6</w:t>
      </w:r>
      <w:r>
        <w:rPr>
          <w:u w:val="single"/>
        </w:rPr>
        <w:t xml:space="preserve">.</w:t>
      </w:r>
      <w:r>
        <w:rPr>
          <w:u w:val="single"/>
        </w:rPr>
        <w:t xml:space="preserve"> «Хозяйственно-эксплуатационное обслуживание муниципальных учреждений муниципального образования».</w:t>
      </w:r>
      <w:r>
        <w:rPr>
          <w:u w:val="single"/>
        </w:rPr>
      </w:r>
      <w:r>
        <w:rPr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беспечение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Печенгского муниципального округа.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Реализация мероприятий подпрограммы позволит: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повысить качество выполняемых работ по обслуживанию муниципальных учреждений;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своевременную ликвидацию аварийных ситуаций в муниципальных учреждениях;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снизить количество аварийных ситуаций в обслуживаемых учреждениях и обеспечить их бесперебойную работу.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color w:val="000000"/>
          <w:spacing w:val="1"/>
        </w:rPr>
      </w:pPr>
      <w:r>
        <w:t xml:space="preserve">В ходе реализации </w:t>
      </w:r>
      <w:r>
        <w:t xml:space="preserve">подпрограммы</w:t>
      </w:r>
      <w:r>
        <w:t xml:space="preserve"> в 202</w:t>
      </w:r>
      <w:r>
        <w:t xml:space="preserve">5</w:t>
      </w:r>
      <w:r>
        <w:t xml:space="preserve"> году израсходованы средства в размере </w:t>
      </w:r>
      <w:r>
        <w:t xml:space="preserve">85 695,9</w:t>
      </w:r>
      <w:r>
        <w:t xml:space="preserve"> тыс. рублей, из них из областного бюджета </w:t>
      </w:r>
      <w:r>
        <w:t xml:space="preserve">11 700,0</w:t>
      </w:r>
      <w:r>
        <w:t xml:space="preserve"> тыс. рублей, </w:t>
      </w:r>
      <w:r>
        <w:t xml:space="preserve">73 995,9</w:t>
      </w:r>
      <w:r>
        <w:t xml:space="preserve"> тыс. рублей из бюджета округа, или 100,0 % выполнение.</w:t>
      </w:r>
      <w:r>
        <w:rPr>
          <w:color w:val="000000"/>
          <w:spacing w:val="1"/>
        </w:rPr>
        <w:t xml:space="preserve">            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851" w:bottom="113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«Образование»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517"/>
        <w:gridCol w:w="837"/>
        <w:gridCol w:w="216"/>
        <w:gridCol w:w="690"/>
        <w:gridCol w:w="139"/>
        <w:gridCol w:w="1119"/>
        <w:gridCol w:w="1122"/>
        <w:gridCol w:w="980"/>
        <w:gridCol w:w="3219"/>
        <w:gridCol w:w="979"/>
        <w:gridCol w:w="840"/>
        <w:gridCol w:w="675"/>
        <w:gridCol w:w="1703"/>
      </w:tblGrid>
      <w:tr>
        <w:tblPrEx/>
        <w:trPr/>
        <w:tc>
          <w:tcPr>
            <w:shd w:val="clear" w:color="auto" w:fill="auto"/>
            <w:tcW w:w="667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71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1. «Развитие дошкольного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системы дошкольного образования. Создание комфортных и безопасных условий пребывания ребенка в дошкольном образовательном учреждении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482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426822,0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242085,5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708707,5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426822,0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241902,6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704942,9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МБДОУ,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Среднегодовая численность воспитанников, получающих услугу дошкольного образования,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Коэффициент посещаемости МБДОУ,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22212,3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22212,3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18659,9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18659,9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56876,7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66913,8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56876,7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66913,8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42067,6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7423,7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49491,3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42067,6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7423,7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49491,3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ежемесячных губернаторских поощрительных выплат руководителям дошкольных образовательных организаций, возглавившим муниципальную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образовательную организацию, созданную путем реорганизации в форме присоединения (слияния)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получивших выплату,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</w:t>
              <w:br/>
              <w:t xml:space="preserve">№№ 1, 4, 6, 7,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506809,4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252122,6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798732,0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503162,2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251939,7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36218,3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791320,2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которые улучшили материально-техническое состояние,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Проектирова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ние, строительство и ввод в эксплуатацию объекта капитального строительства «Детский сад на 350 мест в 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76017,8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76050,2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76017,8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76050,2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  <w:br/>
              <w:t xml:space="preserve">пгт. Печенга»,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технологическое присоединение энерго-принимающих устройств к электрическим сетям </w:t>
              <w:br/>
              <w:t xml:space="preserve">(пгт. Печенга),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(пгт. Печенга),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5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Разработка проектной документации и строительство детского сада на 250 мест в нп. Корзуново в рамках реализации мероприятий планов социального развития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175031,2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175048,7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175006,4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175023,9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  <w:br/>
              <w:t xml:space="preserve">нп. Корзуново Печенгского муниципального округа»,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0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(нп. Корзуново),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251049,0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258943,9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251024,2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258919,1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251049,0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509309,4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257267,5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1057675,9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251024,2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505662,2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257084,6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36468,3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1050239,3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2. «Реализация общего и дополнительного образования детей»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609125,6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119595,7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728721,3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609125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119324,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728450,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муниципальными общеобразовательными учреждениями,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Среднегодовая численность обучающихся в муниципальных общеобразовательных учреж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дениях, получающих услугу,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3828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услуг дополнительного образования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57499,4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57038,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57038,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муниципальными учреждениями дополнительного образования,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№№ 1, 2;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35985,4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35985,4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19472,7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3436,4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19472,7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3436,4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9746,5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1719,9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11466,4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9746,5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1719,9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11466,4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центра тестирования ГТО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обучающихся, получающих услугу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в центре тестирования ГТО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5634,3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25634,3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24911,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24911,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97,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97,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 льготной категории, получающих услугу бесплатного питания,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цельным молоком обучающихся 1 - 4 классов муниципальных общеобразовательных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1163,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2093,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3257,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обучающихся 1 - 4 классов, получающих бесплатное цельное молоко от общего числа обучающихся 1 - 4 классов (с учетом пропусков занятий по объективным причинам),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9244,6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9244,6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9211,8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9211,8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 в возрасте от 5 до 18 лет, получающих дополнительное образование с 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дополнительного образования детей со специальными 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цирковая школа», «детская школа художественных ремесел»,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10242,0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28120,5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28120,5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учреждений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60525,4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63276,6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60525,4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63276,6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1238,9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школьных спортивных клубов,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19, 23;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</w:t>
              <w:br/>
              <w:t xml:space="preserve">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Поощрение выпускников 11-х классов Печенгского муниципального округа – медалистов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степени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выпускников 11-х классов Печенгского муниципального округа – медалистов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степени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ежемесячных губернаторских поощрительных выплат руководит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елям общеобразовательных организаций и организаций дополнительного образования детей сферы образования (за исключением спорта и культуры), возглавивших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155,2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155,2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43,2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руководител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ей общеобразовательных организаций и организаций дополнительного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СОШ № 3;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ежемесячных губернаторских поощрительных выплат руководителям спортивных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179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руководителей спортивных школ получающих ежемесячную губернаторскую поощрительную выплату,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95104,5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682229,8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195409,6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973238,9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95104,5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680169,0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194295,2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970063,7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30975,8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30975,8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30003,2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30003,2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улучшено материально-техническое состояние,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1, 3, 5, 7, 9, 11, 19, 23; МБОУ ООШ №№ 20, 22; МБОУ ДО ДДТ №№ 1, 2; МБУ ДО ДЮСШ;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фасада МБОУ СОШ № 19 г. Заполярный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62009,4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67557,0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62009,4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67557,0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учреждений, у которых выполнен ремонт фасада здания,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тдел образования,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№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2025, 2027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11746,0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12318,9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5,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№ 19; МБУ ДО ДДТ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4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проектно-сметной документации,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разработке проектно-сметной документации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 прохожден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ием государственной экспертизы и строительству канатной дороги в п. Никель (горнолыжный склон),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73755,4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37439,2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157394,7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73755,5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36466,6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117372,1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внеучебных  достижений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обучающегося, его готовности на всех ступенях общего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 общеобразовательных учреждений, в которых проводятся мониторинговые и диагностические мероприятия,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образования, включая репетиционные экзамены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3, 11,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материалов информирования общественности, родителей о результатах оценки качества образования,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168860,0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688729,8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232848,8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40195,0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1130633,6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168860,0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686669,0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230761,8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1087435,8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Организация отдыха и оздоровления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детей (для организаторов отдыха, руководителей лагерных смен)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участников межведомственных семинаров (совещаний), «круглых столов» по вопросам организации круглогодичного отдыха детей,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Роспотребнадзор, ОГИБДД,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Госпожнадзор, МВК, 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Публикация информационных материалов об организации оздоровительной компании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опубликованных информационных материалов об организации оздоровительной кампании,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газета «Печенга»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8555,7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8555,7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оздоровительных лагерей и экспедиций на территории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заездов обучающихся в Центры гражданско-патриотического воспитания "На Севере-жить!», региональный учебно-методический цент военно-патриотического воспитания молодежи «Авангард», Центр военно-патриотического воспитания «Воин»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организованных заездов обучающихся в Центры гражданско-патриотического воспитания "На Севере-жить!», региональный учебно-методический цент военно-патриотического воспитания молодежи «Авангард», Центр военно-патриотического воспитания «Воин»,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Оснащение детских оздоровительных лагерей на базе МБУ ДДТ №№ 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оборудования, мебели для детских оздоровительных лагерей,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ДДТ №№ 1,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направленных на отдых в выездные лагеря (путевки предоставляются ГАУ ДО МО «Мурманский областной центр дополнительного образования «Лапландия»),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10805,7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10805,7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 для несовершеннолетних для проведения временных общественно полезных работ,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 МБОУ СОШ </w:t>
              <w:br/>
              <w:t xml:space="preserve">№№ 1, 3, 9, 19;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3"/>
        </w:trPr>
        <w:tc>
          <w:tcPr>
            <w:gridSpan w:val="3"/>
            <w:shd w:val="clear" w:color="auto" w:fill="auto"/>
            <w:tcW w:w="40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4549,8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7449,6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11999,4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4549,8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7449,6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11999,4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4. «Развитие потенциала участников общеобразовательного процесса»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педагогического профессионального мастерства,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на основе диссеминации лучших педагогических практик,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методических мероприятий по сопровождению инновационных процессов в образовательных организациях,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по методическому обеспечению образовательной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6568,0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МБУ «ММЦ»,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по методическому обеспечению образовательной деятельности,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технического творчества,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44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талантливых детей, принимающих участие в мероприятиях регионального и всероссийского уровня,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консультаций и совещаний методической поддержки педагогических работников,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по пропаганде и популяризации семейных ценностей и здорового образа жизни,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257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изданных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информационно-аналитических,  методических материалов, направленных на укрепление статуса семьи, обеспечение физического, нравственного и социального 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среди образовательных организаций по профилактике семейного неблагополучия,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приемных родителей, принимающих участие в мероприятиях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регионального уровня, направленных на защиту прав детей, оказания помощи детям, замещающим семьям,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работы клуба замещающих родителей «Умка»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замещающих родителей, принимающих участие в работе клуба «Умка»,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встреч, семинаров и/или совещаний, посвященных вопросам защиты прав детей, оказание помощи детям,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6.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работ (услуг) по содержанию (эксплуатации)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71938,3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71938,2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71931,2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71931,2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МБУ «РЭС»,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выполнения заявок на обслуживание муниципальных учреждений от общего количества заявок,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Президента Российской Федерации 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6.1.2.1.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74003,0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73995,9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74003,0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73995,9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419909,0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1214289,0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578326,7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2292769,7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419884,2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1208581,0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576049,7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37613,3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2242128,2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«Образование»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992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уровень эффективности муниципальной программы. Некорректного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«Обеспечение социальной стабильности»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–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Style w:val="929"/>
        <w:ind w:left="502"/>
        <w:spacing w:after="0" w:line="240" w:lineRule="auto"/>
        <w:widowControl w:val="off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«Обеспечение социальной стабильности»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</w:t>
      </w:r>
      <w:r>
        <w:rPr>
          <w:rFonts w:ascii="Times New Roman" w:hAnsi="Times New Roman"/>
          <w:sz w:val="24"/>
          <w:szCs w:val="24"/>
        </w:rPr>
        <w:t xml:space="preserve">кого муниципального округа от 01.11.2024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711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14.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.2024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1785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17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95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25</w:t>
      </w:r>
      <w:r>
        <w:rPr>
          <w:rFonts w:ascii="Times New Roman" w:hAnsi="Times New Roman"/>
          <w:sz w:val="24"/>
          <w:szCs w:val="24"/>
        </w:rPr>
        <w:t xml:space="preserve">.03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467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18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08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34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, от 29.08.2025 № 1405, </w:t>
        <w:br/>
        <w:t xml:space="preserve">от 11.11.2025 № 1815, от 02.12.2025 № 2016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24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 № 2197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является улучшение качества жизни населения и обеспечение социальной стабильности в Печенгском муниципальном округе.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выполнение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Улучшение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входят две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«Социальная поддержка граждан»;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2 «Обеспечение жильем молодых семей».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92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184,6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136,3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них: средства областного бюджета 103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163,7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972,6 тыс. рублей.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97 564,0 тыс. рублей, что составляет 92,8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</w:t>
      </w:r>
      <w:r>
        <w:rPr>
          <w:rFonts w:ascii="Times New Roman" w:hAnsi="Times New Roman" w:cs="Times New Roman"/>
          <w:sz w:val="24"/>
          <w:szCs w:val="24"/>
        </w:rPr>
        <w:t xml:space="preserve"> составляет </w:t>
      </w:r>
      <w:r>
        <w:rPr>
          <w:rFonts w:ascii="Times New Roman" w:hAnsi="Times New Roman" w:cs="Times New Roman"/>
          <w:sz w:val="24"/>
          <w:szCs w:val="24"/>
        </w:rPr>
        <w:t xml:space="preserve">7 572,3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br/>
        <w:t xml:space="preserve">6 817,2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755,1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«Социальная поддержка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у</w:t>
      </w:r>
      <w:r>
        <w:rPr>
          <w:rFonts w:ascii="Times New Roman" w:hAnsi="Times New Roman"/>
          <w:sz w:val="24"/>
          <w:szCs w:val="24"/>
        </w:rPr>
        <w:t xml:space="preserve">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7 572,3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6 817,2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бюджета: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исполнение</w:t>
      </w:r>
      <w:r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ударственных </w:t>
      </w:r>
      <w:r>
        <w:rPr>
          <w:rFonts w:ascii="Times New Roman" w:hAnsi="Times New Roman" w:cs="Times New Roman"/>
          <w:sz w:val="24"/>
          <w:szCs w:val="24"/>
        </w:rPr>
        <w:t xml:space="preserve">полномочий по опеке и попечительству в отношении несовершеннолетних; </w:t>
      </w:r>
      <w:r>
        <w:rPr>
          <w:rFonts w:ascii="Times New Roman" w:hAnsi="Times New Roman" w:cs="Times New Roman"/>
          <w:sz w:val="24"/>
          <w:szCs w:val="24"/>
        </w:rPr>
        <w:t xml:space="preserve">3 265,5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содержание ребенка в семье опекуна, а также вознаграждение, причитающееся приемному родителю; </w:t>
      </w:r>
      <w:r>
        <w:rPr>
          <w:rFonts w:ascii="Times New Roman" w:hAnsi="Times New Roman" w:cs="Times New Roman"/>
          <w:sz w:val="24"/>
          <w:szCs w:val="24"/>
        </w:rPr>
        <w:t xml:space="preserve">468,3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оплате жилого помещения и коммунальных услуг детям-сиротам; </w:t>
      </w:r>
      <w:r>
        <w:rPr>
          <w:rFonts w:ascii="Times New Roman" w:hAnsi="Times New Roman" w:cs="Times New Roman"/>
          <w:sz w:val="24"/>
          <w:szCs w:val="24"/>
        </w:rPr>
        <w:t xml:space="preserve">2 142,2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оплате жилого помещения и коммунальных услуг, работающим в сельских населенных пунктах; </w:t>
      </w:r>
      <w:r>
        <w:rPr>
          <w:rFonts w:ascii="Times New Roman" w:hAnsi="Times New Roman" w:cs="Times New Roman"/>
          <w:sz w:val="24"/>
          <w:szCs w:val="24"/>
        </w:rPr>
        <w:t xml:space="preserve">15,9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вознаграждение лицам, осуществляющим постинтернатный патронат; </w:t>
      </w:r>
      <w:r>
        <w:rPr>
          <w:rFonts w:ascii="Times New Roman" w:hAnsi="Times New Roman" w:cs="Times New Roman"/>
          <w:sz w:val="24"/>
          <w:szCs w:val="24"/>
        </w:rPr>
        <w:t xml:space="preserve">851,8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единовременная выплата многодетным семьям на улучшение жилищных условий (в связи с отсутствием обращений); </w:t>
      </w:r>
      <w:r>
        <w:rPr>
          <w:rFonts w:ascii="Times New Roman" w:hAnsi="Times New Roman" w:cs="Times New Roman"/>
          <w:sz w:val="24"/>
          <w:szCs w:val="24"/>
        </w:rPr>
        <w:t xml:space="preserve">53,6 тыс. рублей вознаграждение опекунам совершеннолетних недееспособных граждан; 15,0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компенсация расходов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оплату жилых помещений отдельным категориям педагогических работников;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755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тыс. рублей не востребованы из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: 732,1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проведение мероприятий по захоронению погибших в хо</w:t>
      </w:r>
      <w:r>
        <w:rPr>
          <w:rFonts w:ascii="Times New Roman" w:hAnsi="Times New Roman" w:cs="Times New Roman"/>
          <w:sz w:val="24"/>
          <w:szCs w:val="24"/>
        </w:rPr>
        <w:t xml:space="preserve">де специальной военной операции; </w:t>
        <w:br/>
        <w:t xml:space="preserve">23,0 тыс. рублей на меры социальной поддержки граждан.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обеспечению доступности в МКД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предусмотрено 170,0 тыс. рублей, по обращению инвалида, передвигающегося при помощи кресла - коляски, был приобретен универсальный лестничный подъемник с интегрированным креслом «ЛАМА-УЛП».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«Обеспечение социальной стабильности»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524"/>
        <w:gridCol w:w="1134"/>
        <w:gridCol w:w="851"/>
        <w:gridCol w:w="992"/>
        <w:gridCol w:w="989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7589,8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7589,8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64766,4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64766,4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61500,9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61500,9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 - 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приемных родителей, получающих денежное вознаграждение за воспитание детей - сирот и детей, оставшихся без попечения,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1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жилых помещений детям - сиротам и детям, оставшимся без попечения родителей, лицам из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1837,5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Численно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сть дете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й - сирот и детей, оставшихся без попечения родителей, лиц из числа детей - сирот и детей, оставшихся без попечения родителей, лиц, которые относились к категории детей - сирот и детей, оставшихся без попечения родителей, лиц из числа детей - сирот и детей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 Печенгского муниципального округа, чел.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Количество финансово-лицевых счетов ежемесячной жилищно-коммунальной выплаты в муницип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альн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ом образовании жилых помещений, принадлежащих на праве собственности детям - сиротам и детям, оставшимся без попечения родителей, лицам из числа детей - сирот и детей, оставшихся без попечения родителей или право пользования которыми за ними сохранено, ед.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8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 - 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лей, лиц из числа детей - 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Осуществление ремонта  жилых помещений, собственниками которых являются дети-сироты и дети, оставшиеся без попечения родителей, лица из числа детей - сирот и д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ет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ей, оставшихся без попечения родителей, либо текущего ремонта жилых помещений, право пользования которыми сохранено за детьми сиротами и детьми, оставшимися без попечения родителей, лицами из числа детей - сирот и детей, оставшихся без  попечения родителей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 - сирот и детей, оставшихся без попечения родителей, нуждающихся в проведении ремонта либо текущего ремонта жилого помещения,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20236,1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20236,1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денежного вознаграждения лицам, осуществляющим постинтернатный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детей, над которыми установлен социальный патронат,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льготных категорий граждан о возможности освобождения от уплаты земельного налога и налога на имущество физических лиц,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налогоплательщиков, воспользовавшихся правом на льготу, от общего числа налогоплательщиков, имеющих право на льготу, обратившихся в налоговые органы,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семей, получивших единовременную денежную выплату,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ство отдельных категорий   педагогических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получающих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компенсаци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на оплату жилых помещений,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мероприятий, связанных с захоронением погибших в ходе проведения специальной военной операции,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1802,6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104966,3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97394,0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эффективной интеграции инвалидов в общество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 обеспечения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105136,3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97564,0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социальных выплат для приобретения (строительства) жилья на территории Печенгского муниципального округа молодым семьям – участникам программы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Печен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гского муниципального округа в 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осударственной программе Мурманской области «Обеспечение комфортной среды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проживания населения региона»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Формирование в установленном порядке заявки на участие Печенгского муниципального округа 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осударственной программе Мурманской области «Обеспечение комфортной среды проживания населения региона»,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приема документов и заявлений на участие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Государственной 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рограмме молодых семей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заявл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ений и документов на участие в Государственной 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информирования и консультирования молодых семей об условиях участия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Государственной 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консультаций молоды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 семьям об условиях участия в Государственной 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105136,3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97564,0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социальной стабильности»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536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корректно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 периоды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на другие муниципальные программы.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«Культура»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«Культура» </w:t>
        <w:br/>
        <w:t xml:space="preserve">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708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</w:t>
      </w:r>
      <w:r>
        <w:rPr>
          <w:rFonts w:ascii="Times New Roman" w:hAnsi="Times New Roman" w:cs="Times New Roman"/>
          <w:sz w:val="24"/>
          <w:szCs w:val="24"/>
        </w:rPr>
        <w:t xml:space="preserve">ского муниципального округа от 14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102, от 30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949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cs="Times New Roman"/>
          <w:sz w:val="24"/>
          <w:szCs w:val="24"/>
        </w:rPr>
        <w:t xml:space="preserve">29.08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402</w:t>
      </w:r>
      <w:r>
        <w:rPr>
          <w:rFonts w:ascii="Times New Roman" w:hAnsi="Times New Roman" w:cs="Times New Roman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sz w:val="24"/>
          <w:szCs w:val="24"/>
        </w:rPr>
        <w:t xml:space="preserve">02</w:t>
      </w:r>
      <w:r>
        <w:rPr>
          <w:rFonts w:ascii="Times New Roman" w:hAnsi="Times New Roman" w:cs="Times New Roman"/>
          <w:sz w:val="24"/>
          <w:szCs w:val="24"/>
        </w:rPr>
        <w:t xml:space="preserve">.12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>
        <w:rPr>
          <w:rFonts w:ascii="Times New Roman" w:hAnsi="Times New Roman" w:cs="Times New Roman"/>
          <w:sz w:val="24"/>
          <w:szCs w:val="24"/>
        </w:rPr>
        <w:t xml:space="preserve">009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 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 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 Сохранение, развитие и формирование культурных традиций Печенгского муниципального округа,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данной Программы осуществляется путем реализации подпрограммам, сформированных исходя из необходимости достижения целей и задач муниципальной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«Развитие учреждений культуры»;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«Развитие системы дополнительного образования в сфере культуры и искусства»;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3 «Развитие культуры».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313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Style w:val="100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334,3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964,9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91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397,1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79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139,4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832,9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289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174,8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99,6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1 160,0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 средства бюджета округа.</w:t>
      </w:r>
      <w:r>
        <w:rPr>
          <w:rStyle w:val="1003"/>
          <w:rFonts w:ascii="Times New Roman" w:hAnsi="Times New Roman" w:cs="Times New Roman"/>
          <w:sz w:val="24"/>
          <w:szCs w:val="24"/>
        </w:rPr>
      </w:r>
      <w:r>
        <w:rPr>
          <w:rStyle w:val="1003"/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учреждений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Обеспечение предоставления услуг (работ) учреждениями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Создание условий для развития учреждений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3. Организация 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178 656,3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99,8).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Печенгском муниципальном округе функционируют три учреждения культуры: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учреждение культуры «Цент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 культуры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учреждение «Историко-краеведческий музей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культурно-просветительное учреждение «Печенгское межпоселенческое библиотечное объединение»</w:t>
      </w:r>
      <w:r/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системы дополнительного образования в сфере культуры и искусства».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Целью подпрограммы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1. Обеспечение предоставления услуг в сфере дополнительного образования учреждениями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 Создание условий для развития учреждений дополнительного образования в сфере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2 в 202</w:t>
      </w:r>
      <w:r>
        <w:t xml:space="preserve">5</w:t>
      </w:r>
      <w:r>
        <w:t xml:space="preserve"> году израсходованы ассигнования в сумме 1</w:t>
      </w:r>
      <w:r>
        <w:t xml:space="preserve">01 330,6</w:t>
      </w:r>
      <w:r>
        <w:t xml:space="preserve"> тыс. рублей (</w:t>
      </w:r>
      <w:r>
        <w:t xml:space="preserve">100</w:t>
      </w:r>
      <w:r>
        <w:t xml:space="preserve">%).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Печенгском муниципальном округе функционируют два учреждения дополнительного образования в сфере культуры и искусства: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- муниципальное бюджетное учреждение дополнительного образования «Детская музыкальная школа»;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- муниципальное бюджетное учреждение дополнительного образования «Детская художественная школа».</w:t>
      </w:r>
      <w:r/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Целью подпрограммы является сохранение,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предусматривает мероприятие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сохранению и развитию народных и культурных традиций путем привлечения населения к участию в праздничных мероприятиях.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3 в 202</w:t>
      </w:r>
      <w:r>
        <w:t xml:space="preserve">5</w:t>
      </w:r>
      <w:r>
        <w:t xml:space="preserve"> году израсходованы ассигнования в сумме </w:t>
      </w:r>
      <w:r>
        <w:t xml:space="preserve">9 187,4</w:t>
      </w:r>
      <w:r>
        <w:t xml:space="preserve"> </w:t>
      </w:r>
      <w:r>
        <w:t xml:space="preserve">тыс. рублей (9</w:t>
      </w:r>
      <w:r>
        <w:t xml:space="preserve">1,9</w:t>
      </w:r>
      <w:r>
        <w:t xml:space="preserve"> %). Экономия сложилась по проведению электронных аукционов.</w:t>
      </w:r>
      <w:r/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1134" w:left="1276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«Культура»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551"/>
        <w:gridCol w:w="1134"/>
        <w:gridCol w:w="851"/>
        <w:gridCol w:w="1134"/>
        <w:gridCol w:w="1134"/>
        <w:gridCol w:w="992"/>
        <w:gridCol w:w="2835"/>
        <w:gridCol w:w="992"/>
        <w:gridCol w:w="851"/>
        <w:gridCol w:w="850"/>
        <w:gridCol w:w="57"/>
        <w:gridCol w:w="1500"/>
      </w:tblGrid>
      <w:tr>
        <w:tblPrEx/>
        <w:trPr/>
        <w:tc>
          <w:tcPr>
            <w:shd w:val="clear" w:color="auto" w:fill="auto"/>
            <w:tcW w:w="818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55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по организации досуга, развития народного творчества и обеспечения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74793,2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79593,2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74446,3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79246,3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1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(зрителей) культурно–массовых мероприятий,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150000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159069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574036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2190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</w:t>
              <w:br/>
              <w:t xml:space="preserve">от 07.05.2012 № 597 </w:t>
              <w:br/>
              <w:t xml:space="preserve">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олитики», </w:t>
              <w:br/>
              <w:t xml:space="preserve">от 01.06.2012 № 761 </w:t>
              <w:br/>
              <w:t xml:space="preserve">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10749,1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10749,1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</w:t>
              <w:br/>
              <w:t xml:space="preserve">№ 561-01-ЗМО «О мерах социальной поддержки отдельных категорий граждан,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работающих в сельских населенных пунктах или поселках городского типа» право на установление повышенных на 25 процентов 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змеров тарифной 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ных окладов) в соответствии с Законом Мурманской области </w:t>
              <w:br/>
              <w:t xml:space="preserve">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МО </w:t>
              <w:br/>
              <w:t xml:space="preserve">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МБО, Музей,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86013,0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154391,4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85666,1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154044,5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 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9408,9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МБО, Музей;      ДК «Октябрь»;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текущих ремонтов в учреждениях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Государственная поддержка отрасли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учреждений, победителей конкурса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получателей государственной поддержки,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модельной библиотеки в пгт. Никель на базе МБКПУ «Печенгское МБО»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созданных модельных муниципальных библиотек,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95627,5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179003,7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95280,6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178656,8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50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культуры,%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предпрофессиональные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</w:t>
              <w:br/>
              <w:t xml:space="preserve">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», </w:t>
              <w:br/>
              <w:t xml:space="preserve">от 01.06.2012 № 761 </w:t>
              <w:br/>
              <w:t xml:space="preserve">«О Национальной стратегии действий в интересах детей </w:t>
              <w:br/>
              <w:t xml:space="preserve">на 2012 - 2017 годы» и </w:t>
              <w:br/>
              <w:t xml:space="preserve">от 28.12.2012 № 1688 </w:t>
              <w:br/>
              <w:t xml:space="preserve">«О некоторых мерах по реализации государственной политики в сфере защиты детей - 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</w:t>
              <w:br/>
              <w:t xml:space="preserve">№ 561-01-ЗМО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ставки, оклада (должностного оклада), установленного работни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оответствии с Законом Мурманской области </w:t>
              <w:br/>
              <w:t xml:space="preserve">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</w:t>
              <w:br/>
              <w:t xml:space="preserve">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труда до минимального размера оплаты труда, установленного федеральным законом </w:t>
              <w:br/>
              <w:t xml:space="preserve">от 19.06.2000 № 82-ФЗ </w:t>
              <w:br/>
              <w:t xml:space="preserve">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73007,1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100825,8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73007,1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100825,8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Число участников творческих конкурсов, фестивалей, выставок,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101330,6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101330,6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5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8907,4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8907,4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культурно-массовых, праздничных  мероприятий, и мероприятий, посвященных памятным датам Российской Федерации, Мурманской области, Печенгского муниципального округа, шт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для лиц с ограниченными возможностями здоровья,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ОРН,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6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2.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памятников культурного наследия,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179139,4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290334,3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177979,9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289174,8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«Культура»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«Обеспечение общественного порядка и безопасности населения»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502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«Обеспечение общественного порядка и безопасности населения»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01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712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  <w:br/>
        <w:t xml:space="preserve">от 1</w:t>
      </w:r>
      <w:r>
        <w:rPr>
          <w:rFonts w:ascii="Times New Roman" w:hAnsi="Times New Roman" w:cs="Times New Roman"/>
          <w:sz w:val="24"/>
          <w:szCs w:val="24"/>
        </w:rPr>
        <w:t xml:space="preserve">4.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1786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28.03.2025 № 494, от 30</w:t>
      </w:r>
      <w:r>
        <w:rPr>
          <w:rFonts w:ascii="Times New Roman" w:hAnsi="Times New Roman" w:cs="Times New Roman"/>
          <w:sz w:val="24"/>
          <w:szCs w:val="24"/>
        </w:rPr>
        <w:t xml:space="preserve">.05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952, от 30.07.2025 № 1262, </w:t>
        <w:br/>
        <w:t xml:space="preserve">от 29.08.2025 № 1407, от 05.11.2025 № 1788</w:t>
      </w:r>
      <w:r>
        <w:rPr>
          <w:rFonts w:ascii="Times New Roman" w:hAnsi="Times New Roman" w:cs="Times New Roman"/>
          <w:sz w:val="24"/>
          <w:szCs w:val="24"/>
        </w:rPr>
        <w:t xml:space="preserve"> и от 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98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–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овышение безопасности жизнедеятельности населения на</w:t>
      </w:r>
      <w:r>
        <w:rPr>
          <w:rFonts w:ascii="Times New Roman" w:hAnsi="Times New Roman" w:cs="Times New Roman"/>
          <w:sz w:val="24"/>
          <w:szCs w:val="24"/>
        </w:rPr>
        <w:t xml:space="preserve">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четыре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«Повышение безопасности дорожного движения и снижение дорожно-транспортного травматизма»;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«Профилактика правонарушений»;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3 «Обеспечение защиты населения и территорий от чрезвычайных ситуаций»;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 «Противодействие терроризму и профилактика экстремизма».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639,9</w:t>
      </w:r>
      <w:r>
        <w:rPr>
          <w:rFonts w:ascii="Times New Roman" w:hAnsi="Times New Roman" w:cs="Times New Roman"/>
          <w:b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тыс. рублей, средства бюджета округа.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614,2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037,9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576,3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 Программы освоены средства в </w:t>
      </w:r>
      <w:r>
        <w:rPr>
          <w:rFonts w:ascii="Times New Roman" w:hAnsi="Times New Roman" w:cs="Times New Roman"/>
          <w:sz w:val="24"/>
          <w:szCs w:val="24"/>
        </w:rPr>
        <w:t xml:space="preserve">размере </w:t>
      </w:r>
      <w:r>
        <w:rPr>
          <w:rFonts w:ascii="Times New Roman" w:hAnsi="Times New Roman" w:cs="Times New Roman"/>
          <w:sz w:val="24"/>
          <w:szCs w:val="24"/>
        </w:rPr>
        <w:t xml:space="preserve">33 171,2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98,7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443,0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 6,2 тыс. рублей областная субсидия.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безопасности дорожного движения и снижение дорожно-транспортного травматизма».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безопасного поведения участников дорожного движения и предупреждение детского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</w:t>
      </w:r>
      <w:r>
        <w:rPr>
          <w:rFonts w:ascii="Times New Roman" w:hAnsi="Times New Roman" w:cs="Times New Roman"/>
          <w:sz w:val="24"/>
          <w:szCs w:val="24"/>
        </w:rPr>
        <w:t xml:space="preserve">финансирования по подпрограмме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составил </w:t>
      </w:r>
      <w:r>
        <w:rPr>
          <w:rFonts w:ascii="Times New Roman" w:hAnsi="Times New Roman" w:cs="Times New Roman"/>
          <w:sz w:val="24"/>
          <w:szCs w:val="24"/>
        </w:rPr>
        <w:t xml:space="preserve">1 943,5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 (96,6%).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</w:t>
      </w:r>
      <w:r>
        <w:rPr>
          <w:rFonts w:ascii="Times New Roman" w:hAnsi="Times New Roman" w:cs="Times New Roman"/>
          <w:sz w:val="24"/>
          <w:szCs w:val="24"/>
        </w:rPr>
        <w:t xml:space="preserve">ятий подпрограммы в течение 2025</w:t>
      </w:r>
      <w:r>
        <w:rPr>
          <w:rFonts w:ascii="Times New Roman" w:hAnsi="Times New Roman" w:cs="Times New Roman"/>
          <w:sz w:val="24"/>
          <w:szCs w:val="24"/>
        </w:rPr>
        <w:t xml:space="preserve">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проведено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заседаний МВК БДД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на которых было рассмотрено в общей сложности 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</w:rPr>
        <w:t xml:space="preserve">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информирование населения о состоянии аварийности на дорогах Печенгского муниципального округа, о мерах, принимаемых по ее снижению, в том числе о состоянии детского дорожно-транспортного травматизма – 3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освещение в СМИ проводимых мероприятий по совершенствованию системы обеспечения безопасности дорожного движения – </w:t>
      </w:r>
      <w:r>
        <w:rPr>
          <w:rFonts w:ascii="Times New Roman" w:hAnsi="Times New Roman" w:cs="Times New Roman"/>
          <w:sz w:val="24"/>
          <w:szCs w:val="24"/>
        </w:rPr>
        <w:t xml:space="preserve">122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</w:t>
      </w:r>
      <w:r>
        <w:rPr>
          <w:rFonts w:ascii="Times New Roman" w:hAnsi="Times New Roman" w:cs="Times New Roman"/>
          <w:sz w:val="24"/>
          <w:szCs w:val="24"/>
        </w:rPr>
        <w:t xml:space="preserve">едение</w:t>
      </w:r>
      <w:r>
        <w:rPr>
          <w:rFonts w:ascii="Times New Roman" w:hAnsi="Times New Roman" w:cs="Times New Roman"/>
          <w:sz w:val="24"/>
          <w:szCs w:val="24"/>
        </w:rPr>
        <w:t xml:space="preserve"> ежеквартальн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мониторинг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состояния аварийности на территории Печенгского муниципального округа и принимаемых мерах по ее снижению (заседания </w:t>
        <w:br/>
        <w:t xml:space="preserve">МВК БДД Печенгского муниципального округа);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году, в рамках подпрограммы реализовывались мероприятия, направленные на формирование безопасного поведения участников дорожног</w:t>
      </w:r>
      <w:r>
        <w:rPr>
          <w:rFonts w:ascii="Times New Roman" w:hAnsi="Times New Roman" w:cs="Times New Roman"/>
          <w:sz w:val="24"/>
          <w:szCs w:val="24"/>
        </w:rPr>
        <w:t xml:space="preserve">о движения и предупреждение детского дорожно-транспортного травматизма. Координацию работы осуществляет отдел образования и муниципальный центр профилактики детского дорожно-транспортного травматизма в Печенгском муниципальном округе на базе МБУ ДО ДДТ №1.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Заключено согла</w:t>
      </w:r>
      <w:r>
        <w:rPr>
          <w:rFonts w:ascii="Times New Roman" w:hAnsi="Times New Roman" w:cs="Times New Roman"/>
          <w:sz w:val="24"/>
          <w:szCs w:val="24"/>
        </w:rPr>
        <w:t xml:space="preserve">шение о сотрудничестве между Муниципальным центром профилактики детского дорожно-транспортного травматизма в Печенгском муниципальном округе на базе МБУ ДО ДДТ №1 (далее - МБУ ДО ДДТ № 1) и ОГИБДД ОМВД России «Печенгский» с учетом совместного плана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«Профилактика правонарушений»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обеспечения правопорядка в общественных местах;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азвитие системы профилактики правонарушений.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по подпрограмме 2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3 041,7</w:t>
      </w:r>
      <w:r>
        <w:rPr>
          <w:rFonts w:ascii="Times New Roman" w:hAnsi="Times New Roman" w:cs="Times New Roman"/>
          <w:sz w:val="24"/>
          <w:szCs w:val="24"/>
        </w:rPr>
        <w:t xml:space="preserve"> тыс. руб. В ходе реализации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освоение средств составило 99,8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</w:t>
      </w:r>
      <w:r>
        <w:rPr>
          <w:rFonts w:ascii="Times New Roman" w:hAnsi="Times New Roman" w:cs="Times New Roman"/>
          <w:sz w:val="24"/>
          <w:szCs w:val="24"/>
        </w:rPr>
        <w:t xml:space="preserve">ятий подпрограммы в течение 2025</w:t>
      </w:r>
      <w:r>
        <w:rPr>
          <w:rFonts w:ascii="Times New Roman" w:hAnsi="Times New Roman" w:cs="Times New Roman"/>
          <w:sz w:val="24"/>
          <w:szCs w:val="24"/>
        </w:rPr>
        <w:t xml:space="preserve">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деятельность МВК по профилактике правонарушений в Печенгском муниципальном округе организована,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проведено 4 заседаний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 – 4;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работа районного оперативного штаба профилактике безнадзорности, безпризорности и правонарушений несовершеннолетних организована –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заседания;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проводится постоянный мониторинг мероприятий, направленных на повышение эффективности работы по профилактике правонарушений в Печенгском муниципальном округе (заседания МВК);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предупреждение безнадзорности, правонарушений и антиобщественных действий несовершеннолетних, проведение региональных профилактических операций с не</w:t>
      </w:r>
      <w:r>
        <w:rPr>
          <w:rFonts w:ascii="Times New Roman" w:hAnsi="Times New Roman" w:cs="Times New Roman"/>
          <w:sz w:val="24"/>
          <w:szCs w:val="24"/>
        </w:rPr>
        <w:t xml:space="preserve">совершеннолетними – проведено 24</w:t>
      </w:r>
      <w:r>
        <w:rPr>
          <w:rFonts w:ascii="Times New Roman" w:hAnsi="Times New Roman" w:cs="Times New Roman"/>
          <w:sz w:val="24"/>
          <w:szCs w:val="24"/>
        </w:rPr>
        <w:t xml:space="preserve"> заседаний КДН и ЗП;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функционирования комиссии по делам несовершеннолетних и защите их прав – финансирование в объеме 3</w:t>
      </w:r>
      <w:r>
        <w:rPr>
          <w:rFonts w:ascii="Times New Roman" w:hAnsi="Times New Roman" w:cs="Times New Roman"/>
          <w:sz w:val="24"/>
          <w:szCs w:val="24"/>
        </w:rPr>
        <w:t xml:space="preserve"> 031,7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проводится социально-педагогическая реабилитация несовершеннолетних, находящихся в социально опасном положении;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организована досуговая деятельность несовершеннолетних;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организована работа городских и выездных лагерей, создание временных рабочих мест для обучающихся в целях занятости несовершеннолетних в каникулярное время.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«Обеспечение защиты населения и территорий от чрезвычайных ситуаций»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подготовки населения по вопросам гражданской обороны, способам защиты и действиям в чрезвычайных ситуациях; обеспечение пожарной безопасности на территории муниципального образования;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овышение готовности сил и средств гражданской обороны, муниципального звена РСЧС.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 подпрограмме 3 </w:t>
      </w:r>
      <w:r>
        <w:rPr>
          <w:rFonts w:ascii="Times New Roman" w:hAnsi="Times New Roman" w:cs="Times New Roman"/>
          <w:sz w:val="24"/>
          <w:szCs w:val="24"/>
        </w:rPr>
        <w:t xml:space="preserve">в 2025 году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2 070,6 тыс. рублей (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8.4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выполнены следующие мероприятия: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 конкурс детского рисунка в общеобразовательных учреждениях по правилам безопасного поведения на водных объектах;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проведены работы по обеспечению пожарной безопасности в период летнего пожароопасного периода;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обеспечено функционирование МКУ «ЕДДС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«Противодействие терроризму и профилактика экстремизма»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</w:t>
      </w:r>
      <w:r>
        <w:rPr>
          <w:rFonts w:ascii="Times New Roman" w:hAnsi="Times New Roman" w:cs="Times New Roman"/>
          <w:sz w:val="24"/>
          <w:szCs w:val="24"/>
        </w:rPr>
        <w:t xml:space="preserve">дпрограммы – 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профилактики терроризма и экстремизма;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</w:t>
      </w:r>
      <w:r>
        <w:rPr>
          <w:rFonts w:ascii="Times New Roman" w:hAnsi="Times New Roman" w:cs="Times New Roman"/>
          <w:sz w:val="24"/>
          <w:szCs w:val="24"/>
        </w:rPr>
        <w:t xml:space="preserve">овышение антитеррористической защищенности объектов, находящихся в собственности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 подпрограмме 4 </w:t>
      </w:r>
      <w:r>
        <w:rPr>
          <w:rFonts w:ascii="Times New Roman" w:hAnsi="Times New Roman" w:cs="Times New Roman"/>
          <w:sz w:val="24"/>
          <w:szCs w:val="24"/>
        </w:rPr>
        <w:t xml:space="preserve">в 2025 году</w:t>
      </w:r>
      <w:r>
        <w:rPr>
          <w:rFonts w:ascii="Times New Roman" w:hAnsi="Times New Roman" w:cs="Times New Roman"/>
          <w:sz w:val="24"/>
          <w:szCs w:val="24"/>
        </w:rPr>
        <w:t xml:space="preserve"> составил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6 115,4 тыс. рублей (</w:t>
      </w:r>
      <w:r>
        <w:rPr>
          <w:rFonts w:ascii="Times New Roman" w:hAnsi="Times New Roman" w:cs="Times New Roman"/>
          <w:sz w:val="24"/>
          <w:szCs w:val="24"/>
        </w:rPr>
        <w:t xml:space="preserve">100%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п. 4.1.2 подпрограммы 4 «Противодействие терроризму и профилактика экстремизма» было приобретено </w:t>
      </w:r>
      <w:r>
        <w:rPr>
          <w:rFonts w:ascii="Times New Roman" w:hAnsi="Times New Roman" w:cs="Times New Roman"/>
          <w:sz w:val="24"/>
          <w:szCs w:val="24"/>
        </w:rPr>
        <w:t xml:space="preserve">1400</w:t>
      </w:r>
      <w:r>
        <w:rPr>
          <w:rFonts w:ascii="Times New Roman" w:hAnsi="Times New Roman" w:cs="Times New Roman"/>
          <w:sz w:val="24"/>
          <w:szCs w:val="24"/>
        </w:rPr>
        <w:t xml:space="preserve"> плакатов (А3) которые были переданы в отдел образования, отдел культуры, спорта и молодежной политики и в ОМВД России «Печенгский».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п. 4.2.1 подпрограммы 4 «Противодействие терроризму и профилактика экстремизма» муниципальной программы «Обеспечение общественного порядка и безопасности населения» на 20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составил 5 985,4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монтажу системы антитеррористического оповещения на объектах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МБОУ СОШ № 3, МОШ № 9, СОШ № 19, ООШ № 20, ООШ № 22; монтаж и установка видеодомофонов в МБДОУ № 7, всего на общую сумму 3 500,0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замене системы охранно-тревожной сигнализации (</w:t>
      </w:r>
      <w:r>
        <w:rPr>
          <w:rFonts w:ascii="Times New Roman" w:hAnsi="Times New Roman" w:cs="Times New Roman"/>
          <w:sz w:val="24"/>
          <w:szCs w:val="24"/>
        </w:rPr>
        <w:t xml:space="preserve">ДХШ </w:t>
        <w:br/>
        <w:t xml:space="preserve">г. Заполярный); монтаж системы оповещения (ДХШ пгт. Никель); мотаж антитеррористич</w:t>
      </w:r>
      <w:r>
        <w:rPr>
          <w:rFonts w:ascii="Times New Roman" w:hAnsi="Times New Roman" w:cs="Times New Roman"/>
          <w:sz w:val="24"/>
          <w:szCs w:val="24"/>
        </w:rPr>
        <w:t xml:space="preserve">еского оповещения (ДМШ г. Заполярный); разработка ПСД на устройство аварийного освещения (ДМШ пгт. Никель); система голосового оповещения и управления эвакуацией (центральная библиотека и центральная детская библиотека), всего на сумму 2 408,5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«Обеспечение общественно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го порядка 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безопасности населения»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666"/>
        <w:gridCol w:w="992"/>
        <w:gridCol w:w="993"/>
        <w:gridCol w:w="992"/>
        <w:gridCol w:w="992"/>
        <w:gridCol w:w="848"/>
        <w:gridCol w:w="3263"/>
        <w:gridCol w:w="992"/>
        <w:gridCol w:w="851"/>
        <w:gridCol w:w="848"/>
        <w:gridCol w:w="1561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 1.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обеспечению безопасности дорожного движения,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аварийности на территории Печенгского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аварийности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МВК, отделение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1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дорожного движения и нормативным документам,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отделение ГИБДД ОМВД России «Печенгский», отдел ГО, ЧС и ПБ, КУИ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ЖКХ, МБУ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«НДС»,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МКУ «УБиР»,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ограничивающего пешеходного ограждения на участках автомобильных дорог общего пользования муниципального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429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429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КУ «УБиР»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в образовательных учреждениях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детского дорожно-транспортного травматизма,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образования, отделение 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Росии «Печенгский», отдел ГО, ЧС и ПБ,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светоотражающих фликеров для обучающихся начальных классов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светоотражающими фликерами обучающихся начальных классов,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работы Юных инспекторов дорожного движения при 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у детей навыков безопасного участия в дорожном движении,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стендов, наглядных пособий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1943,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1943,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 2. «Профилактика правонарушений»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Повышение общественной безопасности населения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профилактике правонарушений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Периодическое освещение в СМИ результатов деятельности МВК, работы участковых уполномоченных полиции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населения о состоянии преступности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«Информцентр;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Развитие системы профилактики правонарушений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Анализ эффективности работы по профилактике правонарушений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Печенгский кадровый центр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 ОМВД России «Печенгский», отдел ГО, ЧС и ПБ, 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несовершеннолетних, привлеченных к административной ответственности за совершение правонарушений, чел.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143,5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омиссия 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преступлений и правонарушений, совершенных несовершеннолетними,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ЗП,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повторно совершенных преступлений,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ФКУ УИИ УФСИН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2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и проведение мониторинга миграционной составляющей на рынке труда,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ОРН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Закона Мурманской области 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037,9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3037,9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31,7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деятельности комиссии по делам несовершеннолетних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преступлений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Приобретение печатной продукции профилактической направленности,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 восстановлении и формировании социально-полезных связей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2.2.10.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условий д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ля привлечения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Прив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 3.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Доля обученного населения действиям при ГО и ЧС, %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20,1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установленной наглядной агитации с разъяснением правил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нкурсов детского рисунка в общеобразовательных учреждениях по правилам безопасности поведения на водных объектах (в т.ч.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общеобразовательных учреждениях по правилам безопасности поведения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работ по обеспечению пожарной безопасности в период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летнего пожароопасного периода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228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228,8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228,8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Предупреждение гибели людей и повреждения имущества,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7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Недопущение распространения огня (при лесном пожаре) на жилые постройки,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выполнены работы по укреплению противопожарного состояния, ед.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МБУ ДО ДХШ; МБУ ДО ДМШ; образовательные организации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Повышение готовности сил и средств гражданской обороны, муниципального звена РСЧС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противопожарного, спасательного оборудования, СИЗ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71,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71,8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71,8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резервного запаса питьевой воды, СИЗ для оснащения волонтеров при тушении лесных пожаров,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-камер АПК «Безопасный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приобретенных и установленных сетевых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-камер,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Поддержание в рабочем состоянии системы МАСО,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20549,4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20549,4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20181,7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20181,7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и средств РСЧС,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21384,5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21384,5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21016,8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21016,8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22438,4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22438,4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22070,6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22070,6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4. «Противодействие терроризму и профилактика экстремизма»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антитеррористической комиссии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заседаний антитеррористической комиссии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101,6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ГО, ЧС и ПБ;                    МАУ </w:t>
            </w: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отдел образования; отдел КСиМП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учреждений в вопросах профилактики терроризма, экстремизма, межнациональных и межконфессиональных конфликтов,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адресной и индивидуальной работы с лицами, прибывающими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проведения адресной и индивидуальной работы с лицами, прибывающими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Усиление антитеррористической защищенности объектов, находящихся в ведении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Отдел ГО,ЧС и ПБ,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образовательные организации, МБКПУ «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Пече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нгское МБО», МБУ ДО ДХШ, МБУ ДО ДМШ, МБУ «ЦПиРМИ»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30576,3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33614,2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30139,5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33171,2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общественного порядка и безопасности населения» за 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5" w:right="962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Муниципальная программа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«Э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кономический потенциал»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502"/>
        <w:jc w:val="both"/>
        <w:spacing w:after="0" w:line="24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«Экономический потенциал» 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713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</w:t>
      </w:r>
      <w:r>
        <w:rPr>
          <w:rFonts w:ascii="Times New Roman" w:hAnsi="Times New Roman" w:cs="Times New Roman"/>
          <w:sz w:val="24"/>
          <w:szCs w:val="24"/>
        </w:rPr>
        <w:t xml:space="preserve">4.11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1787, </w:t>
        <w:br/>
        <w:t xml:space="preserve">от 28.02.2025 № 314, от 28.05.2025 № 915, от 29.08.2025 № 1404 и от 02.12.2025 № 2007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предпринимательской и инвестиционной активности, в том числе в сфере туризма, в 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 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2. Повышение туристской привлекательности Печенгского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на территории Печенгского муниципальн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округа благоприятных условий, способствующих развитию потенциала социально ориентированных некоммерческих организаций (далее – СО НКО) и его эффективному использованию в решении задач социально-экономического развития Печенгского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«Повышение инвестиционной привлекательности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«Развитие туризма в Печенгском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«Взаимодействие с СО НКО».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088,6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рублей. </w:t>
      </w: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039,9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739,9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</w:t>
      </w:r>
      <w:r>
        <w:rPr>
          <w:rFonts w:ascii="Times New Roman" w:hAnsi="Times New Roman" w:cs="Times New Roman"/>
          <w:sz w:val="24"/>
          <w:szCs w:val="24"/>
        </w:rPr>
        <w:t xml:space="preserve">юджета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77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53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инвестиционной привлекательности Печенгского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округа».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1: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Создание условий для развития малого и среднего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Создание благоприятных условий для привлечения инвестиций в экономику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запланировано </w:t>
      </w:r>
      <w:r>
        <w:rPr>
          <w:rFonts w:ascii="Times New Roman" w:hAnsi="Times New Roman" w:cs="Times New Roman"/>
          <w:sz w:val="24"/>
          <w:szCs w:val="24"/>
        </w:rPr>
        <w:t xml:space="preserve">639,9</w:t>
      </w:r>
      <w:r>
        <w:rPr>
          <w:rFonts w:ascii="Times New Roman" w:hAnsi="Times New Roman" w:cs="Times New Roman"/>
          <w:sz w:val="24"/>
          <w:szCs w:val="24"/>
        </w:rPr>
        <w:t xml:space="preserve"> тыс. руб. В ходе реализации Подпрограммы 1 в 2</w:t>
      </w:r>
      <w:r>
        <w:rPr>
          <w:rFonts w:ascii="Times New Roman" w:hAnsi="Times New Roman" w:cs="Times New Roman"/>
          <w:sz w:val="24"/>
          <w:szCs w:val="24"/>
        </w:rPr>
        <w:t xml:space="preserve">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631,2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(98,6%)</w:t>
      </w:r>
      <w:r>
        <w:rPr>
          <w:rFonts w:ascii="Times New Roman" w:hAnsi="Times New Roman" w:cs="Times New Roman"/>
          <w:sz w:val="24"/>
          <w:szCs w:val="24"/>
        </w:rPr>
        <w:t xml:space="preserve">, в том числе: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 областного бюджета на исполнение государственных полномочий </w:t>
      </w:r>
      <w:r>
        <w:rPr>
          <w:rFonts w:ascii="Times New Roman" w:hAnsi="Times New Roman" w:cs="Times New Roman"/>
          <w:sz w:val="24"/>
          <w:szCs w:val="24"/>
        </w:rPr>
        <w:t xml:space="preserve">39,9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 бюджета округа на организацию и проведения мероприятий по вопросам СМСП </w:t>
      </w:r>
      <w:r>
        <w:rPr>
          <w:rFonts w:ascii="Times New Roman" w:hAnsi="Times New Roman" w:cs="Times New Roman"/>
          <w:sz w:val="24"/>
          <w:szCs w:val="24"/>
        </w:rPr>
        <w:br/>
        <w:t xml:space="preserve">61,3 тыс. рублей (</w:t>
      </w:r>
      <w:r>
        <w:rPr>
          <w:rFonts w:ascii="Times New Roman" w:hAnsi="Times New Roman" w:cs="Times New Roman"/>
          <w:sz w:val="24"/>
          <w:szCs w:val="24"/>
        </w:rPr>
        <w:t xml:space="preserve">организация и проведение муниципального конкурса «Новогодняя мозаика на лучшее новогоднее оформление объектов потребительского рынка, расположенных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из внебюджетных источников финансирования на разработку инвестиционного профиля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53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</w:t>
      </w:r>
      <w:r>
        <w:rPr>
          <w:rFonts w:ascii="Times New Roman" w:hAnsi="Times New Roman" w:cs="Times New Roman"/>
          <w:sz w:val="24"/>
          <w:szCs w:val="24"/>
        </w:rPr>
        <w:t xml:space="preserve">я денежных средств составила 8,7</w:t>
      </w:r>
      <w:r>
        <w:rPr>
          <w:rFonts w:ascii="Times New Roman" w:hAnsi="Times New Roman" w:cs="Times New Roman"/>
          <w:sz w:val="24"/>
          <w:szCs w:val="24"/>
        </w:rPr>
        <w:t xml:space="preserve"> тыс. руб. по мер</w:t>
      </w:r>
      <w:r>
        <w:rPr>
          <w:rFonts w:ascii="Times New Roman" w:hAnsi="Times New Roman" w:cs="Times New Roman"/>
          <w:sz w:val="24"/>
          <w:szCs w:val="24"/>
        </w:rPr>
        <w:t xml:space="preserve">оприятию</w:t>
        <w:br/>
        <w:t xml:space="preserve"> подпрограммы 1 п. 1.1.6</w:t>
      </w:r>
      <w:r>
        <w:rPr>
          <w:rFonts w:ascii="Times New Roman" w:hAnsi="Times New Roman" w:cs="Times New Roman"/>
          <w:sz w:val="24"/>
          <w:szCs w:val="24"/>
        </w:rPr>
        <w:t xml:space="preserve"> «Организация и проведение</w:t>
      </w:r>
      <w:r>
        <w:rPr>
          <w:rFonts w:ascii="Times New Roman" w:hAnsi="Times New Roman" w:cs="Times New Roman"/>
          <w:sz w:val="24"/>
          <w:szCs w:val="24"/>
        </w:rPr>
        <w:t xml:space="preserve"> мероприятий по вопросам СМСП».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на регулярной основе проводилась актуализация банка данных СПСП, действующих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Общедоступная информация, необходимая для развития субъектов малого и среднего предпринимательства (далее – СМСП), регулярно размещалась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СМСП регулярно оказывалась методологическая помощь по актуальным вопросам развития бизнеса.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исполнения государственных полномочий по сбору сведений для формирования и ведения торгового реестра на регулярной основе в течение отчетного периода осуществлялся сбор и актуализация сведений для формирования и ведения торгового реестра.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Проводился анализ эффективности реализации мер, направленных на развитие субъектов малого и среднего предпринимательства, прогнозирование развития СМСП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Проведено 4 заседания Совета по улучшению инвестиционного климата и развитию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роведена работа по </w:t>
      </w:r>
      <w:r>
        <w:rPr>
          <w:rFonts w:ascii="Times New Roman" w:hAnsi="Times New Roman" w:cs="Times New Roman"/>
          <w:sz w:val="24"/>
          <w:szCs w:val="24"/>
        </w:rPr>
        <w:t xml:space="preserve">актуализации</w:t>
      </w:r>
      <w:r>
        <w:rPr>
          <w:rFonts w:ascii="Times New Roman" w:hAnsi="Times New Roman" w:cs="Times New Roman"/>
          <w:sz w:val="24"/>
          <w:szCs w:val="24"/>
        </w:rPr>
        <w:t xml:space="preserve"> инвестиционного профиля Печенгского муниципального округа. Инвестиционный профиль размещен на официальном сайте Печенгского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hyperlink r:id="rId11" w:tooltip="https://pechengamr.gov-murman.ru/" w:history="1">
        <w:r>
          <w:rPr>
            <w:rStyle w:val="956"/>
            <w:rFonts w:ascii="Times New Roman" w:hAnsi="Times New Roman" w:cs="Times New Roman"/>
            <w:color w:val="auto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туризма 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Печенгско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м муниципальном округе».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туристской привлекательности 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Подпрограммы 2: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туризма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2025 запланировано 1 400,0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лей, исполнение составило 1 400,0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(100%), в том числе на развитие школьного образовательного туризма: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700,0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700,0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Сформирован и ведется на постоянной основе единый реестр туристической инфраструктуры туризма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Печенгского округа расположены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средств размещения, включенных в Единый реестр объектов классификац</w:t>
      </w:r>
      <w:r>
        <w:rPr>
          <w:rFonts w:ascii="Times New Roman" w:hAnsi="Times New Roman" w:cs="Times New Roman"/>
          <w:sz w:val="24"/>
          <w:szCs w:val="24"/>
        </w:rPr>
        <w:t xml:space="preserve">ии в сфере туристской индустрии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реестра местных производителей сувенирной продукции используется каталог «Сувениры Печенгского округа» созданный в рамках проекта «Кластер возможностей».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afterAutospacing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прошло несколько мини-форумов, в которых участвовали предприниматели, туроператоры, гиды, представители 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ии и туристско-информационных центров. За 2024-2025 годы в мероприятиях приняли участие более 70 партнеров, включая крупные туристические компании, гидов и представителей бизнеса. В результате было создано более 30 новых коллабораций и совместных проектов.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afterAutospacing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ключевых результатов года стало издание печатного каталога «Добро пожаловать в Печенгский округ!». В нем собрана актуальная информация</w:t>
      </w:r>
      <w:r>
        <w:rPr>
          <w:rFonts w:ascii="Times New Roman" w:hAnsi="Times New Roman" w:cs="Times New Roman"/>
          <w:sz w:val="24"/>
          <w:szCs w:val="24"/>
        </w:rPr>
        <w:t xml:space="preserve"> об объектах размещения, питания, туристических аттракциях, главных достопримечательностях и возможных активностях на территории округа. Каталог предназначен как для туристических компаний при формировании туров, так и для самостоятельных путешественников.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рамках проекта «Туриз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в школу</w:t>
      </w:r>
      <w:r>
        <w:rPr>
          <w:rFonts w:ascii="Times New Roman" w:hAnsi="Times New Roman" w:cs="Times New Roman"/>
          <w:sz w:val="24"/>
          <w:szCs w:val="24"/>
        </w:rPr>
        <w:t xml:space="preserve">!</w:t>
      </w:r>
      <w:r>
        <w:rPr>
          <w:rFonts w:ascii="Times New Roman" w:hAnsi="Times New Roman" w:cs="Times New Roman"/>
          <w:sz w:val="24"/>
          <w:szCs w:val="24"/>
        </w:rPr>
        <w:t xml:space="preserve">» проведены мероприятия: экскурсионный блок; экспедиционный блок; инфраструктурный блок.</w:t>
      </w:r>
      <w:r>
        <w:rPr>
          <w:rFonts w:ascii="Times New Roman" w:hAnsi="Times New Roman" w:cs="Times New Roman"/>
          <w:sz w:val="24"/>
          <w:szCs w:val="24"/>
        </w:rPr>
        <w:t xml:space="preserve"> В п. Раякоски организована туристическая экспедиция «ПроАктиВ»; выезд лагерей в п. Корзуново (Дом - музей </w:t>
        <w:br/>
        <w:t xml:space="preserve">Ю.А. Гагарина); Свято-Троицкий Трифонов Печенгский монастырь, Туристический инфоцентр «Визит-центр Пасвик», загадочные круги в п. Лиинахамари и др.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«Взаимодействие с СО НКО».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мере необходимости предоставлялась имущественная поддержка СО НКО, а также консультативная, организационная поддержка деятельности СО НКО сотрудниками Комитета по управлению имуществом.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2025 года в результате реализации комплекса программных мероприятий достигнуты следующие значения показателей реализации программы: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количества малых, в том числе микропредприятий, по состоянию на 10.01. 2026 года по данным Единого реестра СМСП составило 735 единиц (плановое значение 728 единиц)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317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по оперативным данным, количество функционирующих коллективных средств размещения составило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к</w:t>
      </w:r>
      <w:r>
        <w:rPr>
          <w:rFonts w:ascii="Times New Roman" w:hAnsi="Times New Roman" w:cs="Times New Roman"/>
          <w:sz w:val="24"/>
          <w:szCs w:val="24"/>
        </w:rPr>
        <w:t xml:space="preserve">оличество размещенных лиц по данным, предоставленным администрации Печенгского муниципального округа коллективными средствами размещения, в 2025 году – 13 000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Официальная статистическая информация о деятельности средств размещения по Печенгскому муниципальному округу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(количество средств размещения, численность размещенных лиц в них)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 2025 год будет предоставлена Территориальным органом Федеральной службы государственной статистики по Мурманской области в мае 2026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отметить, данные статистического учета коллективных средств размещения не учитывают экскурсантов, которые посещают Печенгский округ с целью однодневных экскурсий или посещения различных событийных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оперативным данным 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оличеств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 НКО, осуществляющих деятельность на территории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2025 года составило 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(25 единиц на начало 2025 года, одна организация зарегистрирована 22.12.2026 года)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Срок предоставления офиц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иальной статистической информации «Перечень социально ориентированных некоммерческих организаций по Печенгскому муниципальному округу» за 2025 год Территориальным органом Федеральной службы государственной статистики по Мурманской области – июнь 2026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об </w:t>
      </w:r>
      <w:r>
        <w:rPr>
          <w:rFonts w:ascii="Times New Roman" w:hAnsi="Times New Roman" w:cs="Times New Roman"/>
          <w:sz w:val="24"/>
          <w:szCs w:val="24"/>
        </w:rPr>
        <w:t xml:space="preserve">объем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инвестиций в основной капитал (за исключением бюджетных средств) в расчете на 1 жителя </w:t>
      </w:r>
      <w:r>
        <w:rPr>
          <w:rFonts w:ascii="Times New Roman" w:hAnsi="Times New Roman" w:cs="Times New Roman"/>
          <w:sz w:val="24"/>
          <w:szCs w:val="24"/>
        </w:rPr>
        <w:t xml:space="preserve">по итогам 2025 года не размещается в связи с приостановлением предоставления данных о численности населения.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«Экономический потенциал»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848"/>
        <w:gridCol w:w="1561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повышения инвестиционной привлекательности Пе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развития малого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и среднего предпринимательства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муниципального округа, подлежащих к сдаче в аренду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актуализированного перечня договоров аренды объектов недвижимости нежилого фонда,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объектов, включенных в перечни муниципального имущества и предоставляемого СМСП и самозанятым гражданам в рамках оказания имущественной поддержки,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банка данных СМСП, действующих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банка данных СМСП, действующих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общедоступной информации, необходимой для развития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Методологическая помощь СМСП по актуальным вопросам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методологической помощи СМСП по актуальным вопросам,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Сбор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сбору сведений для формирования и ведения торгового реестра,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по вопросам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мероприятий по вопросам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эффективности реализации мер, направленных на развитие СМСП,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благоприятных условий для привлечения инвестиций в экономику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заседаний Совета по улучшению инвестиционного климата и развитию предпринимательства,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Предоставление налоговых льгот юридичес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проведения торгов, юридически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 лицам и индивидуальным предпринимателям, реализующим приоритетные инвестиционные проекты на территории Печенгского муниципального округа, а также юридическим лицам и индивидуальным предпринимателям, получившим статус резидента Арктической зоны РФ,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Актуализация инвестиционного профиля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актуализированного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инвестиционного профиля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деятельности; АНО «Центр соц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проектов Печенгского 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2. «Развитие туризма в Печенгском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овышение туристской привлекательности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условий для развития туризма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единого реестра туристской инфраструктуры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единого реестра туристской инфраструктуры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бизнеса к участию в грантовых конкурсах с целью развития инфраструктуры туризма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информационных сообщений о грантовых конкурсах в СМИ, социальных сетях, официальном сайте Печенгского муниципального округа,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Содействие в реализации создания туристской инфраструктуры на территории Печенского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функционирующих КСР,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местных производителей сувенирной продукции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местных производителей сувенирной продукции,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Продвижение туристского потенциала Печенгского муниципального округа на бесплатных информационных ресурсах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 в квартал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в квартал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предложений 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направленных предложений о включении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мероприятий в региональный реестр «51 событие»,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Содействие в организации и проведении событийных мероприятий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мероприятий, в организации и проведении которых оказано содействие,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2.1.10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Развитие школьного образовательного туризма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организаций, участвующих в развитии школьного туризма,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. «Взаимодействие с СО НКО»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благоприятных условий развития СО НКО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имущественной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имущественной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Взаимодействие с СО НКО, осуществляю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щим свою деятельность на территории Печенгского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информационной, консультативной и организационной поддержки деятельности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СО НКО – получателей поддержки,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мониторинга и оценки эффективности мер муниципальной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«Экономический потенциал»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6.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«Комфортная среда проживания»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Муниципальная программа Печенгского муниципального округа «Комфортная среда проживания» на 202</w:t>
      </w:r>
      <w:r>
        <w:rPr>
          <w:rFonts w:ascii="Times New Roman" w:hAnsi="Times New Roman" w:cs="Times New Roman"/>
          <w:sz w:val="24"/>
        </w:rPr>
        <w:t xml:space="preserve">5 </w:t>
      </w:r>
      <w:r>
        <w:rPr>
          <w:rFonts w:ascii="Times New Roman" w:hAnsi="Times New Roman" w:cs="Times New Roman"/>
          <w:sz w:val="24"/>
        </w:rPr>
        <w:t xml:space="preserve">- 202</w:t>
      </w:r>
      <w:r>
        <w:rPr>
          <w:rFonts w:ascii="Times New Roman" w:hAnsi="Times New Roman" w:cs="Times New Roman"/>
          <w:sz w:val="24"/>
        </w:rPr>
        <w:t xml:space="preserve">7</w:t>
      </w:r>
      <w:r>
        <w:rPr>
          <w:rFonts w:ascii="Times New Roman" w:hAnsi="Times New Roman" w:cs="Times New Roman"/>
          <w:sz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  <w:t xml:space="preserve">.11.202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717</w:t>
      </w:r>
      <w:r>
        <w:rPr>
          <w:rFonts w:ascii="Times New Roman" w:hAnsi="Times New Roman" w:cs="Times New Roman"/>
          <w:sz w:val="24"/>
        </w:rPr>
        <w:t xml:space="preserve"> (в редакции постановлений администрации Печенгского муниципального </w:t>
      </w:r>
      <w:r>
        <w:rPr>
          <w:rFonts w:ascii="Times New Roman" w:hAnsi="Times New Roman" w:cs="Times New Roman"/>
          <w:sz w:val="24"/>
        </w:rPr>
        <w:t xml:space="preserve">округа от 14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  <w:t xml:space="preserve">1.202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1790, </w:t>
        <w:br/>
        <w:t xml:space="preserve">от 12</w:t>
      </w:r>
      <w:r>
        <w:rPr>
          <w:rFonts w:ascii="Times New Roman" w:hAnsi="Times New Roman" w:cs="Times New Roman"/>
          <w:sz w:val="24"/>
        </w:rPr>
        <w:t xml:space="preserve">.02.202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18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03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3</w:t>
      </w:r>
      <w:r>
        <w:rPr>
          <w:rFonts w:ascii="Times New Roman" w:hAnsi="Times New Roman" w:cs="Times New Roman"/>
          <w:sz w:val="24"/>
        </w:rPr>
        <w:t xml:space="preserve">17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25.03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469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15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805</w:t>
      </w:r>
      <w:r>
        <w:rPr>
          <w:rFonts w:ascii="Times New Roman" w:hAnsi="Times New Roman" w:cs="Times New Roman"/>
          <w:sz w:val="24"/>
        </w:rPr>
        <w:t xml:space="preserve">, </w:t>
        <w:br/>
        <w:t xml:space="preserve">от </w:t>
      </w:r>
      <w:r>
        <w:rPr>
          <w:rFonts w:ascii="Times New Roman" w:hAnsi="Times New Roman" w:cs="Times New Roman"/>
          <w:sz w:val="24"/>
        </w:rPr>
        <w:t xml:space="preserve">30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7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12</w:t>
      </w:r>
      <w:r>
        <w:rPr>
          <w:rFonts w:ascii="Times New Roman" w:hAnsi="Times New Roman" w:cs="Times New Roman"/>
          <w:sz w:val="24"/>
        </w:rPr>
        <w:t xml:space="preserve">63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от 2</w:t>
      </w:r>
      <w:r>
        <w:rPr>
          <w:rFonts w:ascii="Times New Roman" w:hAnsi="Times New Roman" w:cs="Times New Roman"/>
          <w:sz w:val="24"/>
        </w:rPr>
        <w:t xml:space="preserve">9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8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410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14.11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879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02</w:t>
      </w:r>
      <w:r>
        <w:rPr>
          <w:rFonts w:ascii="Times New Roman" w:hAnsi="Times New Roman" w:cs="Times New Roman"/>
          <w:sz w:val="24"/>
        </w:rPr>
        <w:t xml:space="preserve">.1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2003 и </w:t>
        <w:br/>
        <w:t xml:space="preserve">от 26</w:t>
      </w:r>
      <w:r>
        <w:rPr>
          <w:rFonts w:ascii="Times New Roman" w:hAnsi="Times New Roman" w:cs="Times New Roman"/>
          <w:sz w:val="24"/>
        </w:rPr>
        <w:t xml:space="preserve">.12.202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2235</w:t>
      </w:r>
      <w:r>
        <w:rPr>
          <w:rFonts w:ascii="Times New Roman" w:hAnsi="Times New Roman" w:cs="Times New Roman"/>
          <w:sz w:val="24"/>
        </w:rPr>
        <w:t xml:space="preserve">).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</w:rPr>
        <w:t xml:space="preserve">- О</w:t>
      </w:r>
      <w:r>
        <w:rPr>
          <w:rFonts w:ascii="Times New Roman" w:hAnsi="Times New Roman" w:cs="Times New Roman"/>
          <w:sz w:val="24"/>
        </w:rPr>
        <w:t xml:space="preserve">беспечение комфортной среды проживания населения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Программа ориентирована на решение 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Повышение уровня экологической безопасности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Организация ритуальных услуг и содержание мест захоронения.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>
        <w:rPr>
          <w:rFonts w:ascii="Times New Roman" w:hAnsi="Times New Roman" w:cs="Times New Roman"/>
          <w:sz w:val="24"/>
        </w:rPr>
        <w:t xml:space="preserve">Обеспечение комфортных условий проживания населения.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Повышение 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«Охрана окружающей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142" w:leader="none"/>
          <w:tab w:val="left" w:pos="709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</w:t>
      </w:r>
      <w:r>
        <w:rPr>
          <w:rFonts w:ascii="Times New Roman" w:hAnsi="Times New Roman" w:cs="Times New Roman"/>
          <w:sz w:val="24"/>
          <w:szCs w:val="24"/>
        </w:rPr>
        <w:t xml:space="preserve">Ж</w:t>
      </w:r>
      <w:r>
        <w:rPr>
          <w:rFonts w:ascii="Times New Roman" w:hAnsi="Times New Roman" w:cs="Times New Roman"/>
          <w:sz w:val="24"/>
          <w:szCs w:val="24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3</w:t>
      </w:r>
      <w:r>
        <w:rPr>
          <w:rFonts w:ascii="Times New Roman" w:hAnsi="Times New Roman" w:cs="Times New Roman"/>
          <w:sz w:val="24"/>
          <w:szCs w:val="24"/>
        </w:rPr>
        <w:t xml:space="preserve"> «Развитие сферы ритуальных услуг и мест захоронения»;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</w:t>
      </w:r>
      <w:r>
        <w:rPr>
          <w:rFonts w:ascii="Times New Roman" w:hAnsi="Times New Roman" w:cs="Times New Roman"/>
          <w:sz w:val="24"/>
          <w:szCs w:val="24"/>
        </w:rPr>
        <w:t xml:space="preserve"> «Комплексное благоустройство</w:t>
      </w:r>
      <w:r>
        <w:rPr>
          <w:rFonts w:ascii="Times New Roman" w:hAnsi="Times New Roman" w:cs="Times New Roman"/>
          <w:sz w:val="24"/>
          <w:szCs w:val="24"/>
        </w:rPr>
        <w:t xml:space="preserve"> и содержание</w:t>
      </w:r>
      <w:r>
        <w:rPr>
          <w:rFonts w:ascii="Times New Roman" w:hAnsi="Times New Roman" w:cs="Times New Roman"/>
          <w:sz w:val="24"/>
          <w:szCs w:val="24"/>
        </w:rPr>
        <w:t xml:space="preserve"> городской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5</w:t>
      </w:r>
      <w:r>
        <w:rPr>
          <w:rFonts w:ascii="Times New Roman" w:hAnsi="Times New Roman" w:cs="Times New Roman"/>
          <w:sz w:val="24"/>
          <w:szCs w:val="24"/>
        </w:rPr>
        <w:t xml:space="preserve"> «Организация отлова животных</w:t>
      </w:r>
      <w:r>
        <w:rPr>
          <w:rFonts w:ascii="Times New Roman" w:hAnsi="Times New Roman" w:cs="Times New Roman"/>
          <w:sz w:val="24"/>
          <w:szCs w:val="24"/>
        </w:rPr>
        <w:t xml:space="preserve"> без владельцев»;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6 «Формирование современной городской среды».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619 689,1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eastAsia="Calibri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рублей. В течение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составил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01 642,4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</w:t>
      </w:r>
      <w:r>
        <w:rPr>
          <w:rFonts w:ascii="Times New Roman" w:hAnsi="Times New Roman" w:cs="Times New Roman"/>
          <w:sz w:val="24"/>
          <w:szCs w:val="24"/>
        </w:rPr>
        <w:t xml:space="preserve">, из них</w:t>
      </w:r>
      <w:r>
        <w:rPr>
          <w:rFonts w:ascii="Times New Roman" w:hAnsi="Times New Roman" w:cs="Times New Roman"/>
          <w:sz w:val="24"/>
          <w:szCs w:val="24"/>
        </w:rPr>
        <w:t xml:space="preserve">: средства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70 706,9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196 701,9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ассигнования </w:t>
      </w:r>
      <w:r>
        <w:rPr>
          <w:rFonts w:ascii="Times New Roman" w:hAnsi="Times New Roman" w:cs="Times New Roman"/>
          <w:sz w:val="24"/>
          <w:szCs w:val="24"/>
        </w:rPr>
        <w:t xml:space="preserve">34 233,6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354 109,5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8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,2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47 532,9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областной бюджет </w:t>
      </w:r>
      <w:r>
        <w:rPr>
          <w:rFonts w:ascii="Times New Roman" w:hAnsi="Times New Roman" w:cs="Times New Roman"/>
          <w:sz w:val="24"/>
          <w:szCs w:val="24"/>
        </w:rPr>
        <w:t xml:space="preserve">457,5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47 075,4 тыс.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214" w:leader="none"/>
        </w:tabs>
        <w:rPr>
          <w:rFonts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«Охрана окружающей среды»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уровня экологической безопасности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</w:rPr>
        <w:br/>
        <w:t xml:space="preserve">181 946,4</w:t>
      </w:r>
      <w:r>
        <w:rPr>
          <w:rFonts w:ascii="Times New Roman" w:hAnsi="Times New Roman" w:cs="Times New Roman"/>
          <w:sz w:val="24"/>
        </w:rPr>
        <w:t xml:space="preserve"> тыс. рублей</w:t>
      </w:r>
      <w:r>
        <w:rPr>
          <w:rFonts w:ascii="Times New Roman" w:hAnsi="Times New Roman" w:cs="Times New Roman"/>
          <w:sz w:val="24"/>
        </w:rPr>
        <w:t xml:space="preserve"> (100%)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Освоение средств, поступивших в бюджет округа от платы за</w:t>
      </w:r>
      <w:r>
        <w:rPr>
          <w:rFonts w:ascii="Times New Roman" w:hAnsi="Times New Roman" w:cs="Times New Roman"/>
          <w:sz w:val="24"/>
          <w:szCs w:val="24"/>
        </w:rPr>
        <w:t xml:space="preserve"> негативное воздействие на окружающую среду, возможно только при включении мест несанкционированного размещения отходов в «План мероприятий, указанных в пункте 1 статьи 16.6, пункте 1 статьи 75.1 и пункте 1 статьи 78.2 Федерального закона «Об охране окружа</w:t>
      </w:r>
      <w:r>
        <w:rPr>
          <w:rFonts w:ascii="Times New Roman" w:hAnsi="Times New Roman" w:cs="Times New Roman"/>
          <w:sz w:val="24"/>
          <w:szCs w:val="24"/>
        </w:rPr>
        <w:t xml:space="preserve">ющей среды»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. В настоящее </w:t>
      </w:r>
      <w:r>
        <w:rPr>
          <w:rFonts w:ascii="Times New Roman" w:hAnsi="Times New Roman" w:cs="Times New Roman"/>
          <w:sz w:val="24"/>
          <w:szCs w:val="24"/>
        </w:rPr>
        <w:t xml:space="preserve">проектно-сметная документация проходит государственную экспертизу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Поступило в бюджет 46 360,7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Ж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2: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обеспечение бесперебойного функционирования систем коммунальной инфраструктуры;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ремонт и содержание жилфонда.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2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1</w:t>
      </w:r>
      <w:r>
        <w:rPr>
          <w:rFonts w:ascii="Times New Roman" w:hAnsi="Times New Roman" w:cs="Times New Roman"/>
          <w:sz w:val="24"/>
          <w:szCs w:val="24"/>
        </w:rPr>
        <w:t xml:space="preserve">82 946,4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82 940,5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100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</w:t>
      </w:r>
      <w:r>
        <w:rPr>
          <w:rFonts w:ascii="Times New Roman" w:hAnsi="Times New Roman" w:cs="Times New Roman"/>
          <w:sz w:val="24"/>
          <w:szCs w:val="24"/>
        </w:rPr>
        <w:t xml:space="preserve">ыполнены работы по капитальному ремонту участка магистрального тру</w:t>
      </w:r>
      <w:r>
        <w:rPr>
          <w:rFonts w:ascii="Times New Roman" w:hAnsi="Times New Roman" w:cs="Times New Roman"/>
          <w:sz w:val="24"/>
          <w:szCs w:val="24"/>
        </w:rPr>
        <w:t xml:space="preserve">бопровода ТЭЦ № 1 г. Заполярный;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</w:t>
      </w:r>
      <w:r>
        <w:rPr>
          <w:rFonts w:ascii="Times New Roman" w:hAnsi="Times New Roman" w:cs="Times New Roman"/>
          <w:sz w:val="24"/>
          <w:szCs w:val="24"/>
        </w:rPr>
        <w:t xml:space="preserve">ктуализирована схема теплоснабжения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п</w:t>
      </w:r>
      <w:r>
        <w:rPr>
          <w:rFonts w:ascii="Times New Roman" w:hAnsi="Times New Roman" w:cs="Times New Roman"/>
          <w:sz w:val="24"/>
          <w:szCs w:val="24"/>
        </w:rPr>
        <w:t xml:space="preserve">роведена реконструкция котельных № 13/73 пгт. Печенга, № 13/55 пгт. Печенга, </w:t>
        <w:br/>
        <w:t xml:space="preserve">№ 4/152 ж/д ст. Печенга, № 42/138 нп. Спутник; реконструкция тепловой сети котельной </w:t>
        <w:br/>
        <w:t xml:space="preserve">№ 13/73 </w:t>
      </w:r>
      <w:r>
        <w:rPr>
          <w:rFonts w:ascii="Times New Roman" w:hAnsi="Times New Roman" w:cs="Times New Roman"/>
          <w:sz w:val="24"/>
          <w:szCs w:val="24"/>
        </w:rPr>
        <w:t xml:space="preserve">и № 13/55 пгт. Печенга, так как срок выполнения работ по разработке проектной документации с прохождением экспертизы установлен 02.02.2026 года;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роводились работы по приведение в надлежащее санитарно-технич</w:t>
      </w:r>
      <w:r>
        <w:rPr>
          <w:rFonts w:ascii="Times New Roman" w:hAnsi="Times New Roman" w:cs="Times New Roman"/>
          <w:sz w:val="24"/>
          <w:szCs w:val="24"/>
        </w:rPr>
        <w:t xml:space="preserve">еское состояние жилых помещений, выполнены необходимые услуги в 42 незаселенных жилых помещениях.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«Развитие сферы ритуальных услуг и мест захоронения».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1012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Цель подпрограммы – организация ритуальных услуг и содержание мест захоронения.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е мероприятия Подпрограммы 3: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реализации полномочий органов местного самоуправления в сфере организации ритуальных услуг и содержания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3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 447,0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2 427,7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 w:cs="Times New Roman"/>
          <w:sz w:val="24"/>
          <w:szCs w:val="24"/>
        </w:rPr>
        <w:t xml:space="preserve">9,2</w:t>
      </w:r>
      <w:r>
        <w:rPr>
          <w:rFonts w:ascii="Times New Roman" w:hAnsi="Times New Roman" w:cs="Times New Roman"/>
          <w:sz w:val="24"/>
          <w:szCs w:val="24"/>
        </w:rPr>
        <w:t xml:space="preserve">%. Экономия по содержанию кладбищ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</w:r>
      <w:r>
        <w:rPr>
          <w:rFonts w:ascii="Times New Roman" w:hAnsi="Times New Roman" w:cs="Times New Roman"/>
          <w:sz w:val="24"/>
          <w:szCs w:val="24"/>
        </w:rPr>
        <w:t xml:space="preserve">19,3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2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«Комплексное благоустройство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 содержание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городской среды».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овышение уровня благоустройства территорий общего пользования.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ешение вопросов местного значения в сфере благоустройства и озеленения.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4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25 763,3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18 036,9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  <w:br/>
      </w:r>
      <w:r>
        <w:rPr>
          <w:rFonts w:ascii="Times New Roman" w:hAnsi="Times New Roman" w:cs="Times New Roman"/>
          <w:sz w:val="24"/>
          <w:szCs w:val="24"/>
        </w:rPr>
        <w:t xml:space="preserve">107 726,4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125 073,8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3,5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ремонту пешеходного тротуара по ул. Спортивная </w:t>
        <w:br/>
        <w:t xml:space="preserve">пгт. Никель; ремонт пешеходного маршрута в районе 19 км ж/д ст. Печенга; комплекс работ по благоустройству детских игровых и спортивных площадок, благоустройство с</w:t>
      </w:r>
      <w:r>
        <w:rPr>
          <w:rFonts w:ascii="Times New Roman" w:hAnsi="Times New Roman" w:cs="Times New Roman"/>
          <w:sz w:val="24"/>
          <w:szCs w:val="24"/>
        </w:rPr>
        <w:t xml:space="preserve">ке</w:t>
      </w:r>
      <w:r>
        <w:rPr>
          <w:rFonts w:ascii="Times New Roman" w:hAnsi="Times New Roman" w:cs="Times New Roman"/>
          <w:sz w:val="24"/>
          <w:szCs w:val="24"/>
        </w:rPr>
        <w:t xml:space="preserve">йт-парка в районе 19 км ж/д ст. Печенга; детской игровой площадки в пгт. Никель, между домами 4 и 8 по ул. Спортивная. Выполнен текущий ремонт наружного освещения в нп. Лиинахамари; в </w:t>
        <w:br/>
        <w:t xml:space="preserve">г. Заполярный, ул. Крупской, д. 4 и д. 10; в районе 19 км ж/ст. Печенга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5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«Организация отлова безнадзорных животных».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цели подпрограммы за счет решения задачи по регулированию численности животных без владельцев.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5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1 655,6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бюджета, на организацию осуществления полномочий на деятельность по обращению с животными без владельцев, освоено </w:t>
      </w:r>
      <w:r>
        <w:rPr>
          <w:rFonts w:ascii="Times New Roman" w:hAnsi="Times New Roman" w:cs="Times New Roman"/>
          <w:sz w:val="24"/>
          <w:szCs w:val="24"/>
        </w:rPr>
        <w:t xml:space="preserve">1 </w:t>
      </w:r>
      <w:r>
        <w:rPr>
          <w:rFonts w:ascii="Times New Roman" w:hAnsi="Times New Roman" w:cs="Times New Roman"/>
          <w:sz w:val="24"/>
          <w:szCs w:val="24"/>
        </w:rPr>
        <w:t xml:space="preserve">1198,1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72,4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Выполнен плановый показатель количества отловленных животных без владельцев (57 голов).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«Формирование современной городской среды»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</w:t>
      </w:r>
      <w:r>
        <w:rPr>
          <w:rFonts w:ascii="Times New Roman" w:hAnsi="Times New Roman" w:cs="Times New Roman"/>
          <w:sz w:val="24"/>
        </w:rPr>
        <w:t xml:space="preserve"> подпр</w:t>
      </w:r>
      <w:r>
        <w:rPr>
          <w:rFonts w:ascii="Times New Roman" w:hAnsi="Times New Roman" w:cs="Times New Roman"/>
          <w:sz w:val="24"/>
        </w:rPr>
        <w:t xml:space="preserve">ограммы </w:t>
      </w:r>
      <w:r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 xml:space="preserve">повышение </w:t>
      </w:r>
      <w:r>
        <w:rPr>
          <w:rFonts w:ascii="Times New Roman" w:hAnsi="Times New Roman" w:cs="Times New Roman"/>
          <w:sz w:val="24"/>
        </w:rPr>
        <w:t xml:space="preserve">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</w:t>
      </w:r>
      <w:r>
        <w:rPr>
          <w:rFonts w:ascii="Times New Roman" w:hAnsi="Times New Roman" w:cs="Times New Roman"/>
          <w:sz w:val="24"/>
        </w:rPr>
        <w:t xml:space="preserve">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овышение уровня благоустройства дворовых т</w:t>
      </w:r>
      <w:r>
        <w:rPr>
          <w:rFonts w:ascii="Times New Roman" w:hAnsi="Times New Roman" w:cs="Times New Roman"/>
          <w:sz w:val="24"/>
        </w:rPr>
        <w:t xml:space="preserve">ерриторий многоквартирных домов;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</w:t>
      </w:r>
      <w:r>
        <w:rPr>
          <w:rFonts w:ascii="Times New Roman" w:hAnsi="Times New Roman" w:cs="Times New Roman"/>
          <w:sz w:val="24"/>
        </w:rPr>
        <w:t xml:space="preserve">овышение уровня благоустройства общественных территорий.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6 предусмотрено 41 168,6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</w:t>
      </w:r>
      <w:r>
        <w:rPr>
          <w:rFonts w:ascii="Times New Roman" w:hAnsi="Times New Roman" w:cs="Times New Roman"/>
          <w:sz w:val="24"/>
          <w:szCs w:val="24"/>
        </w:rPr>
        <w:t xml:space="preserve"> средства </w:t>
      </w:r>
      <w:r>
        <w:rPr>
          <w:rFonts w:ascii="Times New Roman" w:hAnsi="Times New Roman" w:cs="Times New Roman"/>
          <w:sz w:val="24"/>
          <w:szCs w:val="24"/>
        </w:rPr>
        <w:t xml:space="preserve">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6 677,1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34 491,5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100%.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1 – повышение уровня благоустройства дворовых территорий многоквартирных домов: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дворовых территорий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г. Заполярный, </w:t>
        <w:br/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Крупской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дд. </w:t>
      </w:r>
      <w:r>
        <w:rPr>
          <w:rFonts w:ascii="Times New Roman" w:hAnsi="Times New Roman" w:cs="Times New Roman"/>
          <w:sz w:val="24"/>
          <w:szCs w:val="24"/>
        </w:rPr>
        <w:t xml:space="preserve">4,6,10);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выполнены работы по </w:t>
      </w:r>
      <w:r>
        <w:rPr>
          <w:rFonts w:ascii="Times New Roman" w:hAnsi="Times New Roman" w:cs="Times New Roman"/>
          <w:sz w:val="24"/>
          <w:szCs w:val="24"/>
        </w:rPr>
        <w:t xml:space="preserve">ямочному </w:t>
      </w:r>
      <w:r>
        <w:rPr>
          <w:rFonts w:ascii="Times New Roman" w:hAnsi="Times New Roman" w:cs="Times New Roman"/>
          <w:sz w:val="24"/>
          <w:szCs w:val="24"/>
        </w:rPr>
        <w:t xml:space="preserve">ремонту проездов к дворовым территориям </w:t>
        <w:br/>
        <w:t xml:space="preserve">(пгт. Никель, ул. Печенгская,</w:t>
      </w:r>
      <w:r>
        <w:rPr>
          <w:rFonts w:ascii="Times New Roman" w:hAnsi="Times New Roman" w:cs="Times New Roman"/>
          <w:sz w:val="24"/>
          <w:szCs w:val="24"/>
        </w:rPr>
        <w:t xml:space="preserve"> д.</w:t>
      </w:r>
      <w:r>
        <w:rPr>
          <w:rFonts w:ascii="Times New Roman" w:hAnsi="Times New Roman" w:cs="Times New Roman"/>
          <w:sz w:val="24"/>
          <w:szCs w:val="24"/>
        </w:rPr>
        <w:t xml:space="preserve">8);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выполнены работы по устройству оснований под остановочные павильоны и посадочные площадки в нп. Луостари, ул. Нижняя и ул. Верхняя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2 – </w:t>
      </w:r>
      <w:r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территорий.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</w:t>
      </w:r>
      <w:r>
        <w:rPr>
          <w:rFonts w:ascii="Times New Roman" w:hAnsi="Times New Roman" w:cs="Times New Roman"/>
          <w:sz w:val="24"/>
          <w:szCs w:val="24"/>
        </w:rPr>
        <w:t xml:space="preserve">ыполнены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общественной территории в</w:t>
      </w:r>
      <w:r>
        <w:rPr>
          <w:rFonts w:ascii="Times New Roman" w:hAnsi="Times New Roman" w:cs="Times New Roman"/>
          <w:sz w:val="24"/>
          <w:szCs w:val="24"/>
        </w:rPr>
        <w:t xml:space="preserve"> районе 19 км ж/д ст. Печенга, проведен демонтаж МАФ, бортовых камней, ограждений, устройство покрытия из искусственной травы на детской площадке и зоне отдыха, покрытие из тротуарной плитки в зоне сквера, установка МАФ на детской площадке и в зоне отдыха;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выполнены работы по благоустройству общественной территории «Городская площадь» г. Заполярный, установлены парковые светильники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выполнены работы по благоустройству общественной территории площади Ленина в пгт. Никель, ремонт тротуарной плитки, стяжки, облицовка ступеней и пандусов.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993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«Комфортная среда проживания»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48"/>
        <w:gridCol w:w="846"/>
        <w:gridCol w:w="14"/>
        <w:gridCol w:w="699"/>
        <w:gridCol w:w="141"/>
        <w:gridCol w:w="1134"/>
        <w:gridCol w:w="1134"/>
        <w:gridCol w:w="996"/>
        <w:gridCol w:w="3261"/>
        <w:gridCol w:w="992"/>
        <w:gridCol w:w="851"/>
        <w:gridCol w:w="906"/>
        <w:gridCol w:w="1504"/>
      </w:tblGrid>
      <w:tr>
        <w:tblPrEx/>
        <w:trPr/>
        <w:tc>
          <w:tcPr>
            <w:shd w:val="clear" w:color="auto" w:fill="auto"/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экологической безопасности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устройство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контейнерных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отремонтированных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обустроенных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контейнерных площадок,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115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Ликвидация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Снижение количество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86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проектно-сметной документации по ликвидации и ликвидация объектов накопленного вреда окружающей среде «Санкционированная свалка на территории </w:t>
              <w:br/>
              <w:t xml:space="preserve">пгт. Никель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46360,7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46360,7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разработанных проектно-сметных документаций,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3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ликвидированных мест размещения отходов,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Ж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илищно-коммунально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хозяйств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Устойчивое и надежное функционирование жилищно-коммунального хозяйства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магистральных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внутриквартальных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сетей теплоснабжения, водоснабжения и водоотведения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8772,0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032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8772,0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отремонтированных магистральных сетей тепло- и водоснабжения от общей протяженности системы тело- и водоснабжения,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сметной документации, проведение экспертизы сметных расчетов стоимости ремонтных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сметной документации и положительного заключения экспертизы сметной документации на ремонт наружных инженерных сетей тепло- и водоснабжения,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9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ктуализация схемы теплоснабжения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актуализированной схемы теплоснабжения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Реконструкция объектов теплоснабжения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35565,3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135565,3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1369,4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разработанных проектов реконструкции объектов теплоснабжения,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94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реконструированных котельных,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Протяженность реконструированных сетей теплоснабжения, км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Ремонт и содержание жилфонда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81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182946,4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182940,5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мест захоронения на территории Печенгского муниципального округа (текущее содержание, доставка тел в морг и захоронение трупов, не востребованных родственниками)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«НДС»,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Организация доставки тел в морг и захоронение трупов, невостребованных родственниками, тел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4. «Комплексное благоустройство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и содержание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городской среды»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комфортных условий проживания населения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Повышение уровня благоустройства территорий общего пользования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8801,4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8801,4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8701,4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8701,4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отремонтированных тротуаров и маршрутов,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8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привлекательности объектов, озеленение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рассады, саженцев,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2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фонтанов,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подготовленных искусственных ледовых покрытий (катков),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9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комплекса работ по благоустройству детских игровых площадок, содержание детских игровых и спортивных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10672,9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14922,9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10355,7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14605,7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детских игровых и спортивных площадок,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Содержание детских игровых и спортивных площадок,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18546,1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18456,4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18456,4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Исправное состояние сетей наружного освещения,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замененных опор наружного освещения,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Эвакуация с дворовых территорий  бесхозяйного (брошенного) транспорта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эвакуированного бесхозяйного (брошенного) транспорта с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«НДС»;  МБУ «РЭС»;   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граждан, привлеченных к временным общественно полезным работам,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13097,2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49588,1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62685,3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13097,2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62157,8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</w:t>
              <w:br/>
              <w:t xml:space="preserve">МКУ «УБиР»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5582,4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учреждений, в том числе: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начислений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4.2.3.1.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связи с доведением оплат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труда до минимального размера оплаты труда, установленного федеральным законом </w:t>
              <w:br/>
              <w:t xml:space="preserve">от 19.06.2000 № 82-ФЗ </w:t>
              <w:br/>
              <w:t xml:space="preserve">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58138,3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63078,0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57976,3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62916,0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107726,4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125763,3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125073,8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«Организация отлова животных без владельцев»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санитарно-эпидемического уровня содержания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Регулирование численности животных без владельцев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отловленных животных без владельцев, голов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6. «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благоустройства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дворовых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4543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4543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дизайн – проектов благоустройства дворовых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дизайн – проектов благоустройства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Ямочный ремонт дворовых проездов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дворовых проездов, в отношении которых выполнен ямочный ремонт,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оснований под остановочные павильоны в н.п. Луостари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устроенных оснований под остановочные павильоны,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26970,9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26970,9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Повышение уровня благоустройства общественных территорий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2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общественных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общественных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проектной и сметной документации по благоустройству общественных территорий,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34491,5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41168,6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34491,5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41168,6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170706,9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196701,9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401642,4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170249,4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149626,5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354109,5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«Комфортная среда проживания»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7.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«Муниципальное управление и гражданское общество»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709" w:right="32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Муниципальное управление и гражданское общество» на 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714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11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1788</w:t>
      </w:r>
      <w:r>
        <w:rPr>
          <w:rFonts w:ascii="Times New Roman" w:hAnsi="Times New Roman"/>
          <w:color w:val="000000"/>
          <w:sz w:val="24"/>
          <w:szCs w:val="24"/>
        </w:rPr>
        <w:t xml:space="preserve">, от </w:t>
      </w:r>
      <w:r>
        <w:rPr>
          <w:rFonts w:ascii="Times New Roman" w:hAnsi="Times New Roman"/>
          <w:color w:val="000000"/>
          <w:sz w:val="24"/>
          <w:szCs w:val="24"/>
        </w:rPr>
        <w:t xml:space="preserve">10.03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345</w:t>
      </w:r>
      <w:r>
        <w:rPr>
          <w:rFonts w:ascii="Times New Roman" w:hAnsi="Times New Roman"/>
          <w:color w:val="000000"/>
          <w:sz w:val="24"/>
          <w:szCs w:val="24"/>
        </w:rPr>
        <w:t xml:space="preserve">, от </w:t>
      </w:r>
      <w:r>
        <w:rPr>
          <w:rFonts w:ascii="Times New Roman" w:hAnsi="Times New Roman"/>
          <w:color w:val="000000"/>
          <w:sz w:val="24"/>
          <w:szCs w:val="24"/>
        </w:rPr>
        <w:t xml:space="preserve">29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08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403</w:t>
      </w:r>
      <w:r>
        <w:rPr>
          <w:rFonts w:ascii="Times New Roman" w:hAnsi="Times New Roman"/>
          <w:color w:val="000000"/>
          <w:sz w:val="24"/>
          <w:szCs w:val="24"/>
        </w:rPr>
        <w:t xml:space="preserve">, от 1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827</w:t>
      </w:r>
      <w:r>
        <w:rPr>
          <w:rFonts w:ascii="Times New Roman" w:hAnsi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color w:val="000000"/>
          <w:sz w:val="24"/>
          <w:szCs w:val="24"/>
        </w:rPr>
        <w:t xml:space="preserve">2017</w:t>
      </w:r>
      <w:r>
        <w:rPr>
          <w:rFonts w:ascii="Times New Roman" w:hAnsi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Целью Программы является эффективное функционирование системы муниципального управления в Печенгском муниципальном округе, повышение качества жизни населения Печенгского муниципального округа на основе исп</w:t>
      </w:r>
      <w:r>
        <w:rPr>
          <w:rFonts w:ascii="Times New Roman" w:hAnsi="Times New Roman"/>
          <w:sz w:val="24"/>
          <w:szCs w:val="24"/>
        </w:rPr>
        <w:t xml:space="preserve">ользования современных информационных и телекоммуникационных технологий, своевременное, качественное и объективное информирование населения о деятельности органов местного самоуправления Печенгского муниципального округа (далее – ОМСУ)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целей Программы осуществляется путем решения следующих задач: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2 «Развитие информационной и технологической инфраструктуры системы муниципального управления в Печенгском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3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290 575,6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6</w:t>
      </w:r>
      <w:r>
        <w:rPr>
          <w:rFonts w:ascii="Times New Roman" w:hAnsi="Times New Roman" w:cs="Times New Roman"/>
          <w:sz w:val="24"/>
          <w:szCs w:val="24"/>
        </w:rPr>
        <w:t xml:space="preserve"> 259,0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00,6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83 216,0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 внебюджетные источники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00,0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306 644,7</w:t>
      </w:r>
      <w:r>
        <w:rPr>
          <w:rFonts w:ascii="Times New Roman" w:hAnsi="Times New Roman" w:cs="Times New Roman"/>
          <w:sz w:val="24"/>
          <w:szCs w:val="24"/>
        </w:rPr>
        <w:t xml:space="preserve"> тыс. </w:t>
      </w:r>
      <w:r>
        <w:rPr>
          <w:rFonts w:ascii="Times New Roman" w:hAnsi="Times New Roman" w:cs="Times New Roman"/>
          <w:sz w:val="24"/>
          <w:szCs w:val="24"/>
        </w:rPr>
        <w:t xml:space="preserve">рублей. Исполнение </w:t>
      </w:r>
      <w:r>
        <w:rPr>
          <w:rFonts w:ascii="Times New Roman" w:hAnsi="Times New Roman" w:cs="Times New Roman"/>
          <w:sz w:val="24"/>
          <w:szCs w:val="24"/>
        </w:rPr>
        <w:t xml:space="preserve">304 026,6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9,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2 618,1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«Создание условий для обеспечения муниципального управления».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30"/>
        <w:ind w:firstLine="709"/>
        <w:jc w:val="both"/>
        <w:spacing w:before="0" w:beforeAutospacing="0" w:after="0" w:afterAutospacing="0"/>
      </w:pPr>
      <w:r>
        <w:t xml:space="preserve">Цель подпрограммы – создание условий для обеспечения эффективного функционирования системы муниципального управления в Печенгском муниципальном округе.</w:t>
      </w:r>
      <w:r/>
    </w:p>
    <w:p>
      <w:pPr>
        <w:pStyle w:val="988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1: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88"/>
        <w:numPr>
          <w:ilvl w:val="0"/>
          <w:numId w:val="9"/>
        </w:numPr>
        <w:ind w:left="0" w:firstLine="727"/>
        <w:spacing w:line="240" w:lineRule="auto"/>
        <w:tabs>
          <w:tab w:val="left" w:pos="252" w:leader="none"/>
          <w:tab w:val="left" w:pos="297" w:leader="none"/>
          <w:tab w:val="left" w:pos="993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 w:eastAsia="Times New Roman"/>
          <w:szCs w:val="24"/>
          <w:lang w:eastAsia="ru-RU"/>
        </w:rPr>
        <w:t xml:space="preserve">Обеспечение выполнения задач и функций ОМСУ, направленных на реализацию полномочий по решению вопросов местного значения.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условий для стабильного и эффективного функционирования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муниципальной службы.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государственных полномочий, содействие в обеспечении прав и законных интересов личности и государства.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эффективности мер по противодействию коррупции в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году предусмотрено 2</w:t>
      </w:r>
      <w:r>
        <w:rPr>
          <w:rFonts w:ascii="Times New Roman" w:hAnsi="Times New Roman" w:cs="Times New Roman"/>
          <w:sz w:val="24"/>
        </w:rPr>
        <w:t xml:space="preserve">86 975,2</w:t>
      </w:r>
      <w:r>
        <w:rPr>
          <w:rFonts w:ascii="Times New Roman" w:hAnsi="Times New Roman" w:cs="Times New Roman"/>
          <w:sz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2</w:t>
      </w:r>
      <w:r>
        <w:rPr>
          <w:rFonts w:ascii="Times New Roman" w:hAnsi="Times New Roman" w:cs="Times New Roman"/>
          <w:sz w:val="24"/>
          <w:szCs w:val="24"/>
        </w:rPr>
        <w:t xml:space="preserve">84 432,1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рублей, или 9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%.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2 543,1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17,1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федерального бюджета (полномочия по отделу ЗАГС и ОПВУ); </w:t>
      </w:r>
      <w:r>
        <w:rPr>
          <w:rFonts w:ascii="Times New Roman" w:hAnsi="Times New Roman" w:cs="Times New Roman"/>
          <w:sz w:val="24"/>
          <w:szCs w:val="24"/>
        </w:rPr>
        <w:t xml:space="preserve">62,5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губернаторские поощрительные выплаты за реорганизацию учреждений в форме соединения (слияния)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2 463,5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 (экономия по заработной плате, начислениям на выплаты по оплате труда, проезд к месту использования отпуска и обратно сотрудникам Администрации, экономия по </w:t>
      </w:r>
      <w:r>
        <w:rPr>
          <w:rFonts w:ascii="Times New Roman" w:hAnsi="Times New Roman" w:cs="Times New Roman"/>
          <w:sz w:val="24"/>
          <w:szCs w:val="24"/>
        </w:rPr>
        <w:t xml:space="preserve">заработной плате и начислениям на выплаты по оплате труда в учреждении по обеспечению деятельности ОМСУ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информационной и технологической инфраструктуры системы муниципального управления в Печенгском муниципальном округе».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30"/>
        <w:ind w:firstLine="709"/>
        <w:jc w:val="both"/>
        <w:spacing w:before="0" w:beforeAutospacing="0" w:after="0" w:afterAutospacing="0"/>
      </w:pPr>
      <w:r>
        <w:t xml:space="preserve">Цель подпрограммы –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технологий».</w:t>
      </w:r>
      <w:r/>
    </w:p>
    <w:p>
      <w:pPr>
        <w:pStyle w:val="988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2: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Развитие современной информационной и телекоммуникационной инфраструктуры и обеспечение защиты информационных систем и ресурсов.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 Создание условий для повышения информационной открытости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реализацию Подпрограммы 2 предусмотрено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7 527,0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исполнено </w:t>
        <w:br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7 452,0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или 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%. Не освоено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75,0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 (экономия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 итогам конкурсных процедур МКУ «ОДА», Администрация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повышение открытости и прозрачности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Основное мероприятие – обеспечение населения актуальной достоверной информацией о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реализацию мероприятия предусмотрено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2 142,5</w:t>
      </w:r>
      <w:r>
        <w:rPr>
          <w:rFonts w:ascii="Times New Roman" w:hAnsi="Times New Roman"/>
          <w:sz w:val="24"/>
          <w:szCs w:val="24"/>
        </w:rPr>
        <w:t xml:space="preserve"> тыс. рублей, в том числе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00,0 тыс. рублей внебюджетные источники. Исполнение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2 142,5</w:t>
      </w:r>
      <w:r>
        <w:rPr>
          <w:rFonts w:ascii="Times New Roman" w:hAnsi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/>
          <w:sz w:val="24"/>
          <w:szCs w:val="24"/>
        </w:rPr>
        <w:t xml:space="preserve">100</w:t>
      </w:r>
      <w:r>
        <w:rPr>
          <w:rFonts w:ascii="Times New Roman" w:hAnsi="Times New Roman"/>
          <w:sz w:val="24"/>
          <w:szCs w:val="24"/>
        </w:rPr>
        <w:t xml:space="preserve">%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«Муниципальное управление и гражданское общество»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08"/>
        <w:gridCol w:w="850"/>
        <w:gridCol w:w="993"/>
        <w:gridCol w:w="1134"/>
        <w:gridCol w:w="992"/>
        <w:gridCol w:w="890"/>
        <w:gridCol w:w="3121"/>
        <w:gridCol w:w="142"/>
        <w:gridCol w:w="808"/>
        <w:gridCol w:w="184"/>
        <w:gridCol w:w="709"/>
        <w:gridCol w:w="142"/>
        <w:gridCol w:w="522"/>
        <w:gridCol w:w="142"/>
        <w:gridCol w:w="1559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shd w:val="clear" w:color="auto" w:fill="auto"/>
            <w:tcW w:w="56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84995,9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185295,4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183757,6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183994,9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91619,7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191919,2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190381,4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190618,7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и эффективного функционирования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84377,5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84377,5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83243,9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83243,9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замечаний Главы округа, его заместителей в части обеспечения деятельности,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обеспечение из общего числа поступивших заявок, 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автомобилей, содержащихся в соответствии с техническими требованиями,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помещений, соответствующих требованиям пожарных и санитарно-технических норм и правил,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аварийных ситуаций при эксплуатации и обслуживании недвижимого имущества,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ОМСУ других обязательств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2489,9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2489,9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качественное выполнение ОМСУ других обязательств,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86877,5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Развитие муниципальной службы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нормативных правовых актов в связи с изменениями законодательства о муниципальной службе,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кадровых технологий, применяемых в системе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состоящих в кадровом резерве, имеющих индивидуальный план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профессионального развития, от общего числа муниципальных служащих состоящих в кадровом резерве,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4. 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3685,2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3679,4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3679,4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государственной регистрации актов гражданского состояния,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должностных лиц, уполномоченных составлять протоколы об административных правонарушениях,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осуществление первичного воинского учёта на территориях, где отсутствуют военные комиссариаты,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ОПВУ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обновленных списков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кандидатов в присяжные заседатели федеральных судов общей юрисдикции в Российской Федерации,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мероприятию 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6484,5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7544,7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5. Повышение эффективности мер по противодействию коррупции в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Разработка, утверждение и мониторинг плана мероприятий по предупреждению (профилактике) коррупции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утвержденного плана мероприятий по предупреждению (профилактике) коррупции и контроль за его реализацией,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279131,0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276667,5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284432,1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7100,3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7100,3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 программными комплексами,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Администрация, ФИНУ, КУИ, МКУ «Управление по ОДА»;                      МБУ «ЦБ»;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сопровождение ПО «Система автоматизированного рабочего места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сбоев в работе программного обеспечения,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в том числе: приобретение оборудования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ПО,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информационной открытости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Ведение сайта Печенгского муниципального округа и регулярное размещение информации на сайте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Освещение наиболее значимых событий и мероприятий, освещенных в СМИ,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МАУ «Информцентр»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муниципального образования Печенгский муниципальный округ от общего количества поступивших,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1395,7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298464,5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306644,7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295929,2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304026,6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управление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гражданское общество»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pStyle w:val="929"/>
        <w:numPr>
          <w:ilvl w:val="0"/>
          <w:numId w:val="26"/>
        </w:numPr>
        <w:ind w:left="0" w:firstLine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Печенгского муниципального округа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«Молодежная политика</w:t>
      </w:r>
      <w:r>
        <w:rPr>
          <w:rFonts w:ascii="Times New Roman" w:hAnsi="Times New Roman"/>
          <w:b/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rFonts w:ascii="Times New Roman" w:hAnsi="Times New Roman"/>
          <w:b/>
          <w:sz w:val="24"/>
          <w:szCs w:val="24"/>
        </w:rPr>
        <w:t xml:space="preserve">» на 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 - 202</w:t>
      </w: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«Молодежная политика</w:t>
      </w:r>
      <w:r>
        <w:rPr>
          <w:rFonts w:ascii="Times New Roman" w:hAnsi="Times New Roman"/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rFonts w:ascii="Times New Roman" w:hAnsi="Times New Roman"/>
          <w:sz w:val="24"/>
          <w:szCs w:val="24"/>
        </w:rPr>
        <w:t xml:space="preserve">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</w:t>
      </w:r>
      <w:r>
        <w:rPr>
          <w:rFonts w:ascii="Times New Roman" w:hAnsi="Times New Roman"/>
          <w:sz w:val="24"/>
          <w:szCs w:val="24"/>
        </w:rPr>
        <w:t xml:space="preserve">иципального округа от 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710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14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1784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03.04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 № 542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2011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</w:t>
      </w:r>
      <w:r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Создание возможностей для успешной социализации и эффективной самореализации молодых людей независимо от социального статуса.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Сохранение и развитие системы гражданско-патриотического воспитания детей и молодежи.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мероприятий, сформированных исходя из необходимости достижения целей и задач данной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мероприятия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создание возможностей для успешной социализации и эффективной самореализации молодых людей независимо от социального статуса;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сохранение и развитие системы гражданско-патриотического воспитания детей и молодежи;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Первоначальный объем финансирования Программы в 20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/>
          <w:sz w:val="24"/>
          <w:szCs w:val="24"/>
        </w:rPr>
        <w:br/>
        <w:t xml:space="preserve">2</w:t>
      </w:r>
      <w:r>
        <w:rPr>
          <w:rFonts w:ascii="Times New Roman" w:hAnsi="Times New Roman"/>
          <w:sz w:val="24"/>
          <w:szCs w:val="24"/>
        </w:rPr>
        <w:t xml:space="preserve">1 813,2</w:t>
      </w:r>
      <w:r>
        <w:rPr>
          <w:rFonts w:ascii="Times New Roman" w:hAnsi="Times New Roman"/>
          <w:sz w:val="24"/>
          <w:szCs w:val="24"/>
        </w:rPr>
        <w:t xml:space="preserve"> тыс. рублей. В течение года объем финансирования был у</w:t>
      </w:r>
      <w:r>
        <w:rPr>
          <w:rFonts w:ascii="Times New Roman" w:hAnsi="Times New Roman"/>
          <w:sz w:val="24"/>
          <w:szCs w:val="24"/>
        </w:rPr>
        <w:t xml:space="preserve">точнен</w:t>
      </w:r>
      <w:r>
        <w:rPr>
          <w:rFonts w:ascii="Times New Roman" w:hAnsi="Times New Roman"/>
          <w:sz w:val="24"/>
          <w:szCs w:val="24"/>
        </w:rPr>
        <w:t xml:space="preserve"> и составил </w:t>
        <w:br/>
      </w:r>
      <w:r>
        <w:rPr>
          <w:rFonts w:ascii="Times New Roman" w:hAnsi="Times New Roman"/>
          <w:sz w:val="24"/>
          <w:szCs w:val="24"/>
        </w:rPr>
        <w:t xml:space="preserve">17 508,6</w:t>
      </w:r>
      <w:r>
        <w:rPr>
          <w:rFonts w:ascii="Times New Roman" w:hAnsi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/>
          <w:sz w:val="24"/>
          <w:szCs w:val="24"/>
        </w:rPr>
        <w:t xml:space="preserve">907,8</w:t>
      </w:r>
      <w:r>
        <w:rPr>
          <w:rFonts w:ascii="Times New Roman" w:hAnsi="Times New Roman"/>
          <w:sz w:val="24"/>
          <w:szCs w:val="24"/>
        </w:rPr>
        <w:t xml:space="preserve"> тыс. рублей; средства бюджета округа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6 600,8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/>
          <w:sz w:val="24"/>
          <w:szCs w:val="24"/>
        </w:rPr>
        <w:t xml:space="preserve">17 258,8</w:t>
      </w:r>
      <w:r>
        <w:rPr>
          <w:rFonts w:ascii="Times New Roman" w:hAnsi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/>
          <w:sz w:val="24"/>
          <w:szCs w:val="24"/>
        </w:rPr>
        <w:t xml:space="preserve">98,6</w:t>
      </w:r>
      <w:r>
        <w:rPr>
          <w:rFonts w:ascii="Times New Roman" w:hAnsi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/>
          <w:sz w:val="24"/>
          <w:szCs w:val="24"/>
        </w:rPr>
        <w:t xml:space="preserve">249,8 </w:t>
      </w:r>
      <w:r>
        <w:rPr>
          <w:rFonts w:ascii="Times New Roman" w:hAnsi="Times New Roman"/>
          <w:sz w:val="24"/>
          <w:szCs w:val="24"/>
        </w:rPr>
        <w:t xml:space="preserve">тыс.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>
        <w:rPr>
          <w:rFonts w:ascii="Times New Roman" w:hAnsi="Times New Roman"/>
          <w:sz w:val="24"/>
          <w:szCs w:val="24"/>
          <w:u w:val="single"/>
        </w:rPr>
        <w:t xml:space="preserve">основного </w:t>
      </w:r>
      <w:r>
        <w:rPr>
          <w:rFonts w:ascii="Times New Roman" w:hAnsi="Times New Roman"/>
          <w:sz w:val="24"/>
          <w:szCs w:val="24"/>
          <w:u w:val="single"/>
        </w:rPr>
        <w:t xml:space="preserve">мероприятия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«Создание возможностей для успешной</w:t>
      </w:r>
      <w:r>
        <w:rPr>
          <w:rFonts w:ascii="Times New Roman" w:hAnsi="Times New Roman"/>
          <w:sz w:val="24"/>
          <w:szCs w:val="24"/>
        </w:rPr>
        <w:t xml:space="preserve"> социализации и эффективной самореализации молодых людей нез</w:t>
      </w:r>
      <w:r>
        <w:rPr>
          <w:rFonts w:ascii="Times New Roman" w:hAnsi="Times New Roman"/>
          <w:sz w:val="24"/>
          <w:szCs w:val="24"/>
        </w:rPr>
        <w:t xml:space="preserve">ависимо от социального статуса»: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проведены праздничные мероприятия, фестивали, конкурсы, экскурсии, организованы и проведены мас</w:t>
      </w:r>
      <w:r>
        <w:rPr>
          <w:rFonts w:ascii="Times New Roman" w:hAnsi="Times New Roman"/>
          <w:sz w:val="24"/>
          <w:szCs w:val="24"/>
        </w:rPr>
        <w:t xml:space="preserve">тер-классы, акции, фотовыставки.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«Сохранение и развитие системы гражданско-патриотического воспитания детей и молодежи». Организованы и проведены мероприятия: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военно-патриотические игры; </w:t>
      </w:r>
      <w:r>
        <w:rPr>
          <w:rFonts w:ascii="Times New Roman" w:hAnsi="Times New Roman"/>
          <w:sz w:val="24"/>
          <w:szCs w:val="24"/>
        </w:rPr>
        <w:t xml:space="preserve">участие во всероссийских акциях; </w:t>
      </w:r>
      <w:r>
        <w:rPr>
          <w:rFonts w:ascii="Times New Roman" w:hAnsi="Times New Roman"/>
          <w:sz w:val="24"/>
          <w:szCs w:val="24"/>
        </w:rPr>
        <w:t xml:space="preserve">муниципальны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патриотически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слет</w:t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форум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году созданы и функционируют еще две Комнаты Всероссийского военно-патриотического движения «ЮНАРМИЯ» (СОШ № </w:t>
      </w:r>
      <w:r>
        <w:rPr>
          <w:rFonts w:ascii="Times New Roman" w:hAnsi="Times New Roman"/>
          <w:sz w:val="24"/>
          <w:szCs w:val="24"/>
        </w:rPr>
        <w:t xml:space="preserve">7 и № 9</w:t>
      </w:r>
      <w:r>
        <w:rPr>
          <w:rFonts w:ascii="Times New Roman" w:hAnsi="Times New Roman"/>
          <w:sz w:val="24"/>
          <w:szCs w:val="24"/>
        </w:rPr>
        <w:t xml:space="preserve">). Всего в Печенгском округе функционирует </w:t>
      </w:r>
      <w:r>
        <w:rPr>
          <w:rFonts w:ascii="Times New Roman" w:hAnsi="Times New Roman"/>
          <w:sz w:val="24"/>
          <w:szCs w:val="24"/>
        </w:rPr>
        <w:t xml:space="preserve">девять</w:t>
      </w:r>
      <w:r>
        <w:rPr>
          <w:rFonts w:ascii="Times New Roman" w:hAnsi="Times New Roman"/>
          <w:sz w:val="24"/>
          <w:szCs w:val="24"/>
        </w:rPr>
        <w:t xml:space="preserve"> школьных отрядов ВВПД «ЮНАРМИЯ».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3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«Формирование в молодежной среде отрицательного отношения к злоупотреблению алкоголем, потреблению наркотических и психотропных веществ».</w:t>
      </w:r>
      <w:r>
        <w:rPr>
          <w:rFonts w:ascii="Times New Roman" w:hAnsi="Times New Roman"/>
          <w:sz w:val="24"/>
          <w:szCs w:val="24"/>
        </w:rPr>
        <w:t xml:space="preserve"> Проведены акции, направленные на профилактику алкоголизма, табакокурения и наркомании в молодежной среде.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Par557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«Молодежная политика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и взаимодействие с общественными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организациями в Печенгском муниципальном округе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35"/>
        <w:gridCol w:w="1559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52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13119,8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МБУ «ЦПиРМИ»,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посетителей молодежного учреждения от среднегодовой численности населения в возрасте от 14 до 35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1419,7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конкурсов, фестивалей, семинаров для молодежи различной направленности,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8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участвующих в различных творческих мероприятиях и проектах,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культуры и искусства, учебно-исследовательской деятельности,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семейных ценностей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творческих мероприятий для молодых семей,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15063,1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15063,1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14882,6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14882,6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Сохранение и развитие системы гражданско-патриотического воспитания детей и молодежи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гражданского становления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патриотических слетов, фестивалей для молодежи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молодежи в мероприятиях и восстановление воинских памятников и захоронений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восстановленных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(отремонтированных)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памятников Великой Отечественной войны,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5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функционирования в муниципальных образованиях Комнат/ Домов Всероссийского военно-патриотического движения «ЮНАРМИЯ»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материально оснащенных Комнат/Домов Всероссийского военно-патриотического движения «ЮНАРМИЯ»,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СОШ №№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1456,2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1392,0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молодежи, охваченной кампаниями по профилактике потребления наркотических средств, психоактивных веществ и алкоголя,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общественных объединений, вовлеченных в проведение профилактических мероприятий,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16600,8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17508,6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16351,0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17258,8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p>
      <w:pPr>
        <w:jc w:val="lef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</w:t>
      </w:r>
      <w:r>
        <w:rPr>
          <w:rFonts w:ascii="Times New Roman" w:hAnsi="Times New Roman"/>
          <w:sz w:val="24"/>
          <w:szCs w:val="24"/>
        </w:rPr>
        <w:t xml:space="preserve">га «Молодежная политика</w:t>
      </w:r>
      <w:r>
        <w:rPr>
          <w:rFonts w:ascii="Times New Roman" w:hAnsi="Times New Roman"/>
          <w:sz w:val="24"/>
          <w:szCs w:val="24"/>
        </w:rPr>
        <w:t xml:space="preserve"> и взаимодействие с общественными организациями в Печенгском муниципальном округе» за 2025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Приемлемый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уровень эффективности муниципальной Программы. Некорректно спланирован объем финансирования.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Возможен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пересмотр муниципальной программы в части высвобожден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ия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ресурсов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перенос их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на следующие периоды или на другие муниципальные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9.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 «Укрепление общественного здоровья в Печенгском муниципальном округе»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«Укрепление общественного здоровья в Печенгском муниципальном округе»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</w:t>
        <w:br/>
        <w:t xml:space="preserve">(далее – Программа) утверждена постановлением администрации Печенг</w:t>
      </w:r>
      <w:r>
        <w:rPr>
          <w:rFonts w:ascii="Times New Roman" w:hAnsi="Times New Roman"/>
          <w:sz w:val="24"/>
          <w:szCs w:val="24"/>
        </w:rPr>
        <w:t xml:space="preserve">ского муниципального округа от 01.11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720</w:t>
      </w:r>
      <w:r>
        <w:rPr>
          <w:rFonts w:ascii="Times New Roman" w:hAnsi="Times New Roman"/>
          <w:sz w:val="24"/>
          <w:szCs w:val="24"/>
        </w:rPr>
        <w:t xml:space="preserve"> (в редакции постановлени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администрации Печенгского муниципальног</w:t>
      </w:r>
      <w:r>
        <w:rPr>
          <w:rFonts w:ascii="Times New Roman" w:hAnsi="Times New Roman"/>
          <w:sz w:val="24"/>
          <w:szCs w:val="24"/>
        </w:rPr>
        <w:t xml:space="preserve">о округа от 02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12.2025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2018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У</w:t>
      </w:r>
      <w:r>
        <w:rPr>
          <w:rFonts w:ascii="Times New Roman" w:hAnsi="Times New Roman"/>
          <w:sz w:val="24"/>
          <w:szCs w:val="24"/>
        </w:rPr>
        <w:t xml:space="preserve">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формирование здорового образа жизни через развитие системы медицинской профилактики;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осуществление мероприятий, направленных на увеличение физической активности жителей Печенгского муниципального округа;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создание благоприятных условий в целях привлечения медицинских работников для работы в медицинских организациях.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</w:t>
      </w:r>
      <w:r>
        <w:rPr>
          <w:rFonts w:ascii="Times New Roman" w:hAnsi="Times New Roman"/>
          <w:sz w:val="24"/>
          <w:szCs w:val="24"/>
        </w:rPr>
        <w:t xml:space="preserve">ый объем финансирования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за счет внебюджетных средств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составлял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000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000,0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рублей. </w:t>
      </w:r>
      <w:r>
        <w:rPr>
          <w:rFonts w:ascii="Times New Roman" w:hAnsi="Times New Roman"/>
          <w:sz w:val="24"/>
          <w:szCs w:val="24"/>
        </w:rPr>
        <w:t xml:space="preserve">В течение года внесены уточнения и утверждены внебюджетные источники в размере </w:t>
      </w:r>
      <w:r>
        <w:rPr>
          <w:rFonts w:ascii="Times New Roman" w:hAnsi="Times New Roman"/>
          <w:sz w:val="24"/>
          <w:szCs w:val="24"/>
        </w:rPr>
        <w:t xml:space="preserve">10 626,4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100,0%. За счет внебюдже</w:t>
      </w:r>
      <w:r>
        <w:rPr>
          <w:rFonts w:ascii="Times New Roman" w:hAnsi="Times New Roman"/>
          <w:sz w:val="24"/>
          <w:szCs w:val="24"/>
        </w:rPr>
        <w:t xml:space="preserve">тных средств произведен ремонт 5</w:t>
      </w:r>
      <w:r>
        <w:rPr>
          <w:rFonts w:ascii="Times New Roman" w:hAnsi="Times New Roman"/>
          <w:sz w:val="24"/>
          <w:szCs w:val="24"/>
        </w:rPr>
        <w:t xml:space="preserve"> - ти квартир для проживания прибывших медицинских работников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Программы проведены мероприятия: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проведено </w:t>
      </w:r>
      <w:r>
        <w:rPr>
          <w:rFonts w:ascii="Times New Roman" w:hAnsi="Times New Roman" w:cs="Times New Roman"/>
          <w:sz w:val="24"/>
          <w:szCs w:val="24"/>
        </w:rPr>
        <w:t xml:space="preserve">четыре</w:t>
      </w:r>
      <w:r>
        <w:rPr>
          <w:rFonts w:ascii="Times New Roman" w:hAnsi="Times New Roman" w:cs="Times New Roman"/>
          <w:sz w:val="24"/>
          <w:szCs w:val="24"/>
        </w:rPr>
        <w:t xml:space="preserve"> заседания антинаркотической комиссии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базе молодежного пространства «С</w:t>
      </w:r>
      <w:r>
        <w:rPr>
          <w:rFonts w:ascii="Times New Roman" w:hAnsi="Times New Roman" w:cs="Times New Roman"/>
          <w:sz w:val="24"/>
          <w:szCs w:val="24"/>
        </w:rPr>
        <w:t xml:space="preserve">опки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в пгт. Никель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г. Заполярный</w:t>
      </w:r>
      <w:r>
        <w:rPr>
          <w:rFonts w:ascii="Times New Roman" w:hAnsi="Times New Roman" w:cs="Times New Roman"/>
          <w:sz w:val="24"/>
          <w:szCs w:val="24"/>
        </w:rPr>
        <w:t xml:space="preserve"> и пгт. Печенга</w:t>
      </w:r>
      <w:r>
        <w:rPr>
          <w:rFonts w:ascii="Times New Roman" w:hAnsi="Times New Roman" w:cs="Times New Roman"/>
          <w:sz w:val="24"/>
          <w:szCs w:val="24"/>
        </w:rPr>
        <w:t xml:space="preserve"> проводятся мероприятия для молодежи, направленные на популяризацию здорового образа жизни;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успешно функционирует молодежное пространство «Сопки.Спорт», проект «Бодрое воскресенье», проводятся бесплатные занятия;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Печенгской районной общественной организацией ветеранов (пенсионеров) войны и труда совместно с ГОБУЗ «Печенгская ЦРБ» 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администрацией Печенгского муниципального округа проводились мероприятия по укреплению общественного здоровья граждан со статусом «Ветераны ВОВ», «Дети ВОВ» и инвалиды, которые получили возможность для ведения активного образа жизни, активного долголетия;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проводится информационно-коммуникационная кампания на сайтах администрации округа, ГОБУЗ «Печенгская ЦРБ», в официальных группах «ВКонтакте» публикуются материалы о доступности медицинских услуг, о необходимости прохождения диспансеризации, о профилактике </w:t>
      </w:r>
      <w:r>
        <w:rPr>
          <w:rFonts w:ascii="Times New Roman" w:hAnsi="Times New Roman" w:cs="Times New Roman"/>
          <w:sz w:val="24"/>
          <w:szCs w:val="24"/>
        </w:rPr>
        <w:t xml:space="preserve">ХНИЗ и инфекционных заболеваний;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среди различных групп населения в муниципальных учреждениях образ</w:t>
      </w:r>
      <w:r>
        <w:rPr>
          <w:rFonts w:ascii="Times New Roman" w:hAnsi="Times New Roman" w:cs="Times New Roman"/>
          <w:sz w:val="24"/>
          <w:szCs w:val="24"/>
        </w:rPr>
        <w:t xml:space="preserve">ования, культуры, спорта проводятся информационно-образовательные мероприятия по пропаганде здорового образа жизни. На каждом врачебном приеме на постоянной основе ведутся беседы по пропаганде здорового образа жизни и профилактики определенных заболеваний;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 образовательных организациях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 систематически проводятся классные часы, лекции, тренинги, спортивные мероприятия с целью профилактики потребления табака, алкоголя. Беседы о здоровом питании, повышении физической активности, сохранении психологического здоровья и благополучия.</w:t>
      </w:r>
      <w:r>
        <w:rPr>
          <w:rFonts w:ascii="Times New Roman" w:hAnsi="Times New Roman" w:cs="Times New Roman"/>
          <w:sz w:val="24"/>
          <w:szCs w:val="24"/>
        </w:rPr>
        <w:t xml:space="preserve"> Проводится санитарно-просветительная работа работниками медицинских </w:t>
      </w:r>
      <w:r>
        <w:rPr>
          <w:rFonts w:ascii="Times New Roman" w:hAnsi="Times New Roman" w:cs="Times New Roman"/>
          <w:sz w:val="24"/>
          <w:szCs w:val="24"/>
        </w:rPr>
        <w:t xml:space="preserve">кабинетов школ, выпускаются ежегодно новые санитарные бюллетени;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пациенты, состоящие на диспансерном учёте, осматриваются согласно стандартам оказания медицинской помощи;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организован уголок медицинской профилактики с информационными материалами по профилактике АГ (в холле поликлиники);</w:t>
      </w:r>
      <w:r>
        <w:rPr>
          <w:rFonts w:ascii="Times New Roman" w:hAnsi="Times New Roman" w:cs="Times New Roman"/>
          <w:sz w:val="24"/>
          <w:szCs w:val="24"/>
        </w:rPr>
        <w:t xml:space="preserve"> функционируют четыре школы здоровья;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работе «поезда здоровья» в населенные пункты проводится информационно-просветительская работа с вручением памяток, буклетов.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 w:firstLine="709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«Укрепление общественного здоровья в Печенгском муниципальном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округе»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950"/>
        <w:gridCol w:w="850"/>
        <w:gridCol w:w="851"/>
        <w:gridCol w:w="992"/>
        <w:gridCol w:w="142"/>
        <w:gridCol w:w="850"/>
        <w:gridCol w:w="39"/>
        <w:gridCol w:w="812"/>
        <w:gridCol w:w="3118"/>
        <w:gridCol w:w="992"/>
        <w:gridCol w:w="851"/>
        <w:gridCol w:w="706"/>
        <w:gridCol w:w="184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Организационно-методическое обеспечение системы мероприятий, направленных на укрепление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заседаний антинаркотической комиссии, количество заседаний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волонтерского движения и СО НКО в мероприятия по укреплению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волонтеров и СО НКО в мероприятиях по укреплению общественного здоровья,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информации 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вопросам ведения здорового образа жизни  в средствах массовой информации (официальное издание газета «Печенга»), сайт органов местного самоуправления Печенгского муниципального округа, официальные аккаунты Печенгского муниципального округа в сети Интернет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граждан старше 12 лет, охваченных информационно-коммуникационной кампанией,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ГОБУЗ «Печенгская ЦРБ», МАУ «Информцентр»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информационно-образовательных мероприятий по пропаганде здорового образа жизни среди населения,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через средства массовой информации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образования, МАУ «Инфорцентр»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Целевое санитарно-гигиеническое воспитание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(проведение бесед, лекций) по вопросам ведения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вопросам ведения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здорового образа жизни,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ХНИЗ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Мероприятия, направленные на снижение факторов риска «артериальная гипертония»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обучением в школе здоровья пациентов с артериальной гипертонией,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Ежегодный осмотр в рамках диспансерного наблюдения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диспансерным наблюдением пациентов с артериальной гипертонией в Печенгском муниципальном округе, количество осмотров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 раза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профилактике артериальной гипертонии,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артериальной гипертонии,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Создание службы общественного здоровья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и активация работы отделения медицинской профилактики на базе ГОБУЗ «Печенгская ЦРБ» в соответствии с приказом Министерств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здравоохранения Российской Федерации </w:t>
              <w:br/>
              <w:t xml:space="preserve">от 29.10.2020 № 1177н </w:t>
              <w:br/>
              <w:t xml:space="preserve">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граждан, охваченных профилактическими мероприятиями,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Работа школ здоровья на базе ГОБУЗ «Печенгская ЦРБ»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Организация и проведение выездных информационно-просветительных мероприятий специалистами ГОБУЗ «Печенгская ЦРБ» в организованных коллективах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Организация и проведение массовых акций, в том числе приуроченных к Всемирным, Международным и Всероссийским дням здоровья, с проведением скрининговых исследований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Проведение на базе ГОБУЗ «Печенгская ЦРБ» «постов здоровья», «дней открытых дверей» с привлечением «узких» специалистов, проведением индивидуальных консультаций и скрининговых исследований,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посвященных следующим значимым датам: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борьбы против рака (4 февраля);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здоровья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  <w:br/>
              <w:t xml:space="preserve">(7 апреля);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артериальной гипертонией</w:t>
              <w:br/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(17 мая);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здорового пищеварения (29 мая);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без табака </w:t>
              <w:br/>
              <w:t xml:space="preserve">(31 мая);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Всероссийский день трезвости и борьбы с алкоголизмом </w:t>
              <w:br/>
              <w:t xml:space="preserve">(11 сентября);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сердца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(29 сентября);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инсультом (29 октября);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диабетом (14 ноября);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Международный день отказа от курения (третий четверг ноября)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кабинета/школы по отказу от курения с целью оказания медицинской и консультативной помощи желающим отказаться от табакокурения с применением современных методик, в том числе с проведением выездных школ здоровья по отказу от табакокурения на рабочих местах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оказанию медицинской и консультативной помощи желающим отказаться от табакокурения с применением современных методик,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«Печенская ЦРБ»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внедрение корпоротивных программ по укреплению общественного здоровья на предприятиях, в организациях и учреждениях, расположенных на территории Печенгского округа: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«Профилактика потребления табака»;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«Снижение потребления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алкоголя с вредными последствиями»;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«Здоровое питание и рабочее место»;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«Повышение физической активности»;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«Сохранение психологического здоровья и благополучия»  и др.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предприятий, организаций и учреждений, внедривших корпоративные программы по укреплению общественного здоровья,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ЦРБ»; предприятия, организации и учреждения, расположенные на территории Печенгского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Печенгского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анкетирования среди населения Печенгского округа, количество анкет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200 анкет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Основное мероприятие 5. Осуществление мероприятий, направленных на увеличение физической активности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мероприятий, направленных на формирование семейных физкультурных ценностей, популяризация физической культуры среди детей и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молодежи,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6. Создание условий для снижения фактора риска «нерациональное питание» среди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Внедрение на предприятиях, в организациях и учреждениях четырех обучающих программ, предоставленных Управлением Роспотребнадзора по Мурманской области: для групп 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аселения, проживающих на территориях с особенностями в части воздействия факторов окружающей среды (дефицит микро- и макронутриентов,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об особенностях воздействия факторов окружающей среды на здоровье,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популяции здорового питания,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7. Мероприятия, направленные на профилактику заболеваний репродуктивной сферы у мужчин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 и тиражирование информационных материалов по профилактике заболеваний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репродуктивной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сферы у мужчин, в том числе инфекций, передаваемых половым путем,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информационно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инфекций, передаваемых половым путем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информированности подростков по вопросам ответственного отношения к репродуктивному здоровью,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8. Мероприятия, направленные на профилактику заболеваний полости 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Обучение навыкам гигиенического ухода за зубами детей дошкольного и школьного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детского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Гигиеническое обучение по уходу за зубами населения Печенгского муниципального округа – проведение «уроков здоровья»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и снижение факторов риска стоматологических заболеваний среди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9. Создание благоприятных условий в целях привлечения медицинских работников и фармацевтических работников для работы в медицинских организациях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Подбор и 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жилых помещений (квартир), прибывшим медицинским работникам,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жилых помещений (квартир)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жилых помещений (квартир) для проживания прибывших медицинских работников,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округа «Укрепление общественного здоровья в Печенгском муниципальном округе» за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эффективности муниципальной Программы. 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«Физическая культура и спорт»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 w:firstLine="709"/>
        <w:jc w:val="both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«Физическая культура и спорт» 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709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14.11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1783, от 25</w:t>
      </w:r>
      <w:r>
        <w:rPr>
          <w:rFonts w:ascii="Times New Roman" w:hAnsi="Times New Roman" w:cs="Times New Roman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464</w:t>
      </w:r>
      <w:r>
        <w:rPr>
          <w:rFonts w:ascii="Times New Roman" w:hAnsi="Times New Roman" w:cs="Times New Roman"/>
          <w:sz w:val="24"/>
          <w:szCs w:val="24"/>
        </w:rPr>
        <w:t xml:space="preserve">, от 3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9</w:t>
      </w:r>
      <w:r>
        <w:rPr>
          <w:rFonts w:ascii="Times New Roman" w:hAnsi="Times New Roman" w:cs="Times New Roman"/>
          <w:sz w:val="24"/>
          <w:szCs w:val="24"/>
        </w:rPr>
        <w:t xml:space="preserve">50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29</w:t>
      </w:r>
      <w:r>
        <w:rPr>
          <w:rFonts w:ascii="Times New Roman" w:hAnsi="Times New Roman" w:cs="Times New Roman"/>
          <w:sz w:val="24"/>
          <w:szCs w:val="24"/>
        </w:rPr>
        <w:t xml:space="preserve">.08.202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406</w:t>
      </w:r>
      <w:r>
        <w:rPr>
          <w:rFonts w:ascii="Times New Roman" w:hAnsi="Times New Roman" w:cs="Times New Roman"/>
          <w:sz w:val="24"/>
          <w:szCs w:val="24"/>
        </w:rPr>
        <w:t xml:space="preserve">, и от 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 № 2010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-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1. Создание благоприятных условий для эффективного функционирования спортивных учреждений и объектов.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2. Повышение качества предоставляемых услуг учреждениями физической культуры и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3. Пропаганда здорового образа жизни.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4. Развитие детско-юношеского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168 523,3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  <w:br/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54 549,1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14 793,8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103 805,3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внебюджетные поступления </w:t>
      </w:r>
      <w:r>
        <w:rPr>
          <w:rFonts w:ascii="Times New Roman" w:hAnsi="Times New Roman" w:cs="Times New Roman"/>
          <w:sz w:val="24"/>
          <w:szCs w:val="24"/>
        </w:rPr>
        <w:t xml:space="preserve">35 950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</w:t>
      </w:r>
      <w:r>
        <w:rPr>
          <w:rFonts w:ascii="Times New Roman" w:hAnsi="Times New Roman" w:cs="Times New Roman"/>
          <w:sz w:val="24"/>
          <w:szCs w:val="24"/>
        </w:rPr>
        <w:t xml:space="preserve"> Программы исполнено </w:t>
      </w:r>
      <w:r>
        <w:rPr>
          <w:rFonts w:ascii="Times New Roman" w:hAnsi="Times New Roman" w:cs="Times New Roman"/>
          <w:sz w:val="24"/>
          <w:szCs w:val="24"/>
        </w:rPr>
        <w:t xml:space="preserve">154 300,1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99,8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249,0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  <w:t xml:space="preserve">170,7 </w:t>
      </w:r>
      <w:r>
        <w:rPr>
          <w:rFonts w:ascii="Times New Roman" w:hAnsi="Times New Roman" w:cs="Times New Roman"/>
          <w:sz w:val="24"/>
          <w:szCs w:val="24"/>
        </w:rPr>
        <w:t xml:space="preserve">тыс. рублей </w:t>
      </w:r>
      <w:r>
        <w:rPr>
          <w:rFonts w:ascii="Times New Roman" w:hAnsi="Times New Roman" w:cs="Times New Roman"/>
          <w:sz w:val="24"/>
          <w:szCs w:val="24"/>
        </w:rPr>
        <w:t xml:space="preserve">на предоставление муниципальных услуг; 78,3 тыс. рублей </w:t>
      </w:r>
      <w:r>
        <w:rPr>
          <w:rFonts w:ascii="Times New Roman" w:hAnsi="Times New Roman" w:cs="Times New Roman"/>
          <w:sz w:val="24"/>
          <w:szCs w:val="24"/>
        </w:rPr>
        <w:t xml:space="preserve">экономия на организацию и проведение соревнований, обеспечение участия спортсменов округа в областных, общероссийских соревнованиях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2025 году введен в эксплуатацию объект «Крытый хоккейный корт» в </w:t>
        <w:br/>
        <w:t xml:space="preserve">г. Заполярный, ул. Юбилейная с искусственным льдом для круглогодичной эксплуатации (объект СК «Дельфин).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велись работы по модернизации объекта «Крытый хоккейный корт» в пгт. Никель ул. Спортивная (объект СК «Металлург»), работы завершены в январе 2026 года, объект сдан в эксплуатацию.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прилегающих территорий к этим объектам</w:t>
      </w:r>
      <w:r>
        <w:rPr>
          <w:rFonts w:ascii="Times New Roman" w:hAnsi="Times New Roman" w:cs="Times New Roman"/>
          <w:sz w:val="24"/>
          <w:szCs w:val="24"/>
        </w:rPr>
        <w:t xml:space="preserve"> за счет ПАО «Норильский Никель» 23 750,0 тыс. рублей и за счет бюджета округа </w:t>
        <w:br/>
        <w:t xml:space="preserve">4 750,0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было проведено 7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спортивно-массовых мероприятий по различным видам спорта. Спортсмены округа принимали участия в мероприятиях различного уровня, в том числе: 3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– районного, 3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– областного,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– всероссийского.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1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спортсмен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выполнил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нормативы массовых спортивных разрядов. В течение года спортивно</w:t>
      </w:r>
      <w:r>
        <w:rPr>
          <w:rFonts w:ascii="Times New Roman" w:hAnsi="Times New Roman" w:cs="Times New Roman"/>
          <w:sz w:val="24"/>
          <w:szCs w:val="24"/>
        </w:rPr>
        <w:t xml:space="preserve">-массовые мероприятия посетили 6742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и объёмы финансирования за 2025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«Физическая культура и спорт»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редоставления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сфере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78174,3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90374,3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78003,6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90203,6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спорта,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«Металлург»,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tcW w:w="104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«Дельфин»,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ДО ДЮСШ,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48146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48352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 регулярно занимающегося физической культурой и спортом,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2610,6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2610,6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</w:t>
              <w:br/>
              <w:t xml:space="preserve">от 07.05.2012 № 597, </w:t>
              <w:br/>
              <w:t xml:space="preserve">от 01.06.2012 № 761 и 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2694,2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2694,2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14234,8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14234,8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80784,9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107778,7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80614,2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107608,0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Повышение качества предоставляемых услуг учреждениями физической культуры и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0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 учреждений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ремонтных работ спортивных объектов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территорий, прилегающих к спортивным объектам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28500,0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территорий, прилегающих к спортивным объектам,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42820,4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19070,4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42820,4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Пропаганда здорового образа жизни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2941,7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Развитие детско-юношеского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                   СОШ,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6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215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103805,3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154549,1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103556,3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154300,1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«Физическая культура и спорт»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Муниципальная программа Печенгского муницпального округа «Муниципальные финансы»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 w:firstLine="709"/>
        <w:jc w:val="both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715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</w:t>
      </w:r>
      <w:r>
        <w:rPr>
          <w:rFonts w:ascii="Times New Roman" w:hAnsi="Times New Roman"/>
          <w:sz w:val="24"/>
          <w:szCs w:val="24"/>
        </w:rPr>
        <w:t xml:space="preserve">иципального округа от 29.08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1401</w:t>
      </w:r>
      <w:r>
        <w:rPr>
          <w:rFonts w:ascii="Times New Roman" w:hAnsi="Times New Roman"/>
          <w:sz w:val="24"/>
          <w:szCs w:val="24"/>
        </w:rPr>
        <w:t xml:space="preserve">, от 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2008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Цель Программы – О</w:t>
      </w:r>
      <w:r>
        <w:rPr>
          <w:rFonts w:ascii="Times New Roman" w:hAnsi="Times New Roman"/>
          <w:sz w:val="24"/>
          <w:szCs w:val="24"/>
        </w:rPr>
        <w:t xml:space="preserve">беспечение долгосрочной стабильности и устойчивости бюдж</w:t>
      </w:r>
      <w:r>
        <w:rPr>
          <w:rFonts w:ascii="Times New Roman" w:hAnsi="Times New Roman"/>
          <w:sz w:val="24"/>
          <w:szCs w:val="24"/>
        </w:rPr>
        <w:t xml:space="preserve">ета</w:t>
      </w:r>
      <w:r>
        <w:rPr>
          <w:rFonts w:ascii="Times New Roman" w:hAnsi="Times New Roman"/>
          <w:sz w:val="24"/>
          <w:szCs w:val="24"/>
        </w:rPr>
        <w:t xml:space="preserve"> округа,</w:t>
      </w:r>
      <w:r>
        <w:rPr>
          <w:rFonts w:ascii="Times New Roman" w:hAnsi="Times New Roman"/>
          <w:sz w:val="24"/>
          <w:szCs w:val="24"/>
        </w:rPr>
        <w:t xml:space="preserve"> выполнение принятых расходных обязательств, повышение эффективности бюджетных расходов и не наращивания объема муниципального долга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Style w:val="998"/>
          <w:rFonts w:eastAsiaTheme="minorHAnsi"/>
          <w:color w:val="auto"/>
          <w:sz w:val="24"/>
          <w:szCs w:val="24"/>
        </w:rPr>
        <w:tab/>
      </w:r>
      <w:r>
        <w:rPr>
          <w:rStyle w:val="998"/>
          <w:rFonts w:eastAsiaTheme="minorHAnsi"/>
          <w:color w:val="auto"/>
          <w:sz w:val="24"/>
          <w:szCs w:val="24"/>
        </w:rPr>
        <w:tab/>
        <w:t xml:space="preserve">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Поддержание размера муниципального долга округа в объеме, обеспечива</w:t>
      </w:r>
      <w:r>
        <w:rPr>
          <w:rFonts w:ascii="Times New Roman" w:hAnsi="Times New Roman"/>
          <w:sz w:val="24"/>
          <w:szCs w:val="24"/>
        </w:rPr>
        <w:t xml:space="preserve">ющем возможность гарантированного выполнения долговых обязательств в полном объеме и в установленные сроки.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ab/>
        <w:t xml:space="preserve">2. 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            3. 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</w:r>
      <w:r>
        <w:rPr>
          <w:rFonts w:ascii="Times New Roman" w:hAnsi="Times New Roman"/>
          <w:sz w:val="24"/>
          <w:szCs w:val="24"/>
        </w:rPr>
        <w:t xml:space="preserve">ченгского муниципального округа, осуществление внутреннего финансового контроля.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1 «Управление муниципальным долгом»;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2 «Организация бюджетного процесса»;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3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  <w:br/>
      </w:r>
      <w:r>
        <w:rPr>
          <w:rFonts w:ascii="Times New Roman" w:hAnsi="Times New Roman" w:cs="Times New Roman"/>
          <w:sz w:val="24"/>
          <w:szCs w:val="24"/>
        </w:rPr>
        <w:t xml:space="preserve">69 550,4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69 114,1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В ходе реализации 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68 583,3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 xml:space="preserve">99,2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530,8 </w:t>
      </w:r>
      <w:r>
        <w:rPr>
          <w:rFonts w:ascii="Times New Roman" w:hAnsi="Times New Roman" w:cs="Times New Roman"/>
          <w:sz w:val="24"/>
          <w:szCs w:val="24"/>
        </w:rPr>
        <w:t xml:space="preserve">тыс. рублей</w:t>
      </w:r>
      <w:r>
        <w:rPr>
          <w:rFonts w:ascii="Times New Roman" w:hAnsi="Times New Roman" w:cs="Times New Roman"/>
          <w:sz w:val="24"/>
          <w:szCs w:val="24"/>
        </w:rPr>
        <w:t xml:space="preserve"> (экономия по фонду заработной платы, компенсации льготного проезда к месту отдыха и обратно)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«Управление муниципальным долгом».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Управление муниципальным долгом осуществляется в соответствии с Бюджетным кодексом Российской Федерации.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Расходы на обслуживание муниципального долга равномерно распределены по годам за счет реструктуризации привлеченных кредитов.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Муниципальный долг Печенгского муниципального округа на 01.01.202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6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года составил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32 370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рублей. В 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году бюджетные кредиты были погашены в сумме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10790,0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рублей, дополнительные кредиты от кредитных организаций на погашение дефицита бюджета округа не привлекались. Бюджет исполнен с профицитом.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Расходы на обслуживание муниципального долга предусматривались решением о бюджете в объеме, необходимом для п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олного и своевременного исполнения долговых обязательств по выплате процентных платежей по муниципальному долгу Печенгского муниципального округа. Просрочки по оплате процентных платежей и основного долга бюджетных кредитов муниципалитетом не допускались.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«Организация бюджетного процесса».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Данная подпрограмма финансирования не предусматривает.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С целью со</w:t>
      </w:r>
      <w:r>
        <w:rPr>
          <w:rFonts w:ascii="Times New Roman" w:hAnsi="Times New Roman"/>
          <w:sz w:val="24"/>
          <w:szCs w:val="24"/>
        </w:rPr>
        <w:t xml:space="preserve">здания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 были достигнуты следующие результаты: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соблюдение нормативов на содержание органов местного самоуправления, утвержденных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остановлением Правительства Мурманской области от 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.12.202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                        № </w:t>
      </w:r>
      <w:r>
        <w:rPr>
          <w:rFonts w:ascii="Times New Roman" w:hAnsi="Times New Roman"/>
          <w:sz w:val="24"/>
          <w:szCs w:val="24"/>
        </w:rPr>
        <w:t xml:space="preserve">916</w:t>
      </w:r>
      <w:r>
        <w:rPr>
          <w:rFonts w:ascii="Times New Roman" w:hAnsi="Times New Roman"/>
          <w:sz w:val="24"/>
          <w:szCs w:val="24"/>
        </w:rPr>
        <w:t xml:space="preserve">-ПП;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размер дефицита бюджета округа утвержден в соответствии со статьей 92.1 Бюджетного кодекса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проводилась работа на </w:t>
      </w:r>
      <w:r>
        <w:rPr>
          <w:rFonts w:ascii="Times New Roman" w:hAnsi="Times New Roman"/>
          <w:sz w:val="24"/>
          <w:szCs w:val="24"/>
        </w:rPr>
        <w:t xml:space="preserve">постоянной основе по наполнению сайта Печенгского муниципального округа актуальной информацией о бюджете округа, своевременно заполнялись формуляры в системе «Электронный бюджет», размещены две презентации по исполнению и составлению бюджета округа «Бюджет</w:t>
      </w:r>
      <w:r>
        <w:rPr>
          <w:rFonts w:ascii="Times New Roman" w:hAnsi="Times New Roman"/>
          <w:sz w:val="24"/>
          <w:szCs w:val="24"/>
        </w:rPr>
        <w:t xml:space="preserve"> для граждан», актуальные версии решений Совета депутатов Печенгского муниципального округа о бюджете округа, отчетность по исполнению бюджета округа, сведения о муниципальном долге;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 на постоянной основе проводится совершенствование нормативной правовой базы, регулирующей отношения в сфере управления муниципальными финансами.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позволяет своевременно и качественно готовить проект бюджета округа на трехлетний период. Организ</w:t>
      </w:r>
      <w:r>
        <w:rPr>
          <w:rFonts w:ascii="Times New Roman" w:hAnsi="Times New Roman"/>
          <w:sz w:val="24"/>
          <w:szCs w:val="24"/>
        </w:rPr>
        <w:t xml:space="preserve">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/>
          <w:sz w:val="24"/>
          <w:szCs w:val="24"/>
          <w:u w:val="single"/>
        </w:rPr>
        <w:t xml:space="preserve">.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В муниципальном округе организации бухгалтерского, бюджетного и налогового учёта в муниципальных учреждениях и органах местного самоуправления Печенгского муниципального округа осуществля</w:t>
      </w:r>
      <w:r>
        <w:rPr>
          <w:rFonts w:ascii="Times New Roman" w:hAnsi="Times New Roman"/>
          <w:sz w:val="24"/>
          <w:szCs w:val="24"/>
        </w:rPr>
        <w:t xml:space="preserve">лась</w:t>
      </w:r>
      <w:r>
        <w:rPr>
          <w:rFonts w:ascii="Times New Roman" w:hAnsi="Times New Roman"/>
          <w:sz w:val="24"/>
          <w:szCs w:val="24"/>
        </w:rPr>
        <w:t xml:space="preserve"> двумя централизованными бухгалтериями: муниципальное казенное учреждение и муниципальное бюджетное учреждение.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На постоянной основе осуществляется контроль за своевременным и правильным оформлением первичных учетных документов и законностью совершаемых операций, </w:t>
      </w:r>
      <w:r>
        <w:rPr>
          <w:rFonts w:ascii="Times New Roman" w:hAnsi="Times New Roman"/>
          <w:sz w:val="24"/>
          <w:szCs w:val="24"/>
        </w:rPr>
        <w:t xml:space="preserve">за правильным расходованием целевых бюджетных и внебюджетных средств, за наличием и движением имущества, использованием товарно-материальных ценностей, трудовых и финансовых ресурсов. Бухгалтерская, бюджетная отчетность представляется без нарушения сроков.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«Муниципальные финансы»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1. «Управление муниципальным долгом»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Поддержание размера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муниципального долга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округа в объеме, обеспечивающем возможность гарантированного выполнения долговых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обязательств в полном объеме и в установленные сроки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Планирование, привлечение, обслуживание и погашение долговых обязательств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2. «Организация бюджетного процесса»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функций, возложенных на органы местного самоуправления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процесса, степень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запланированных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программных расходов бюджета округа в общем объеме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расходов бюджета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Организация процесса планирования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составление проекта программного бюджета округа и отчета о его исполнении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Размер дефицита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Обеспечение открытости и прозрачности бюджета округа и бюджетного процесса для граждан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Результаты мониторинга информации, размещенной в ЕПБС финансовым органом,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обновлений (файлов) информации на сайте Печенгского муниципального округа,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3. «Обеспечение бухгалтерского обслуживания»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 осуществление внутреннего финансового контроля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требований о составе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за соблюдением законодательства РФ в сфере финансовой деятельности, внутренних процедур составления и исполнения планов финансово-хозяйственной деятельности, смет, достоверности бухгалтерской отчетности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внутренн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его финансового контроля,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«ЦБ», КРО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69114,1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69114,1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68583,3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68583,3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«Муниципальные финансы»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оценка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12.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«Энергосбережение и повышение энергоэффективности»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«Энергосбережение и повышение энергоэффективности»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  <w:br/>
        <w:t xml:space="preserve">(в редакции постановлени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Печенгского муниципа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№ 2005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рационального и экономного использования энергетических ресурсов за счёт реализации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решает задачу по обеспечению устойчивого процесса повышения эффективности энергопотребления.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Первоначальный объем финансирования 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года объем финансирования уменьшен и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35,0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</w:t>
      </w:r>
      <w:r>
        <w:rPr>
          <w:rFonts w:ascii="Times New Roman" w:hAnsi="Times New Roman" w:cs="Times New Roman"/>
          <w:sz w:val="24"/>
          <w:szCs w:val="24"/>
        </w:rPr>
        <w:t xml:space="preserve">Израсходовано </w:t>
      </w:r>
      <w:r>
        <w:rPr>
          <w:rFonts w:ascii="Times New Roman" w:hAnsi="Times New Roman" w:cs="Times New Roman"/>
          <w:sz w:val="24"/>
          <w:szCs w:val="24"/>
        </w:rPr>
        <w:t xml:space="preserve">25,7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3,4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Выплаты носят заявительный характер.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Лимиты потребления топливно-энергетических ресурсов, услуг водоснабжения и водоо</w:t>
      </w:r>
      <w:r>
        <w:rPr>
          <w:rFonts w:ascii="Times New Roman" w:hAnsi="Times New Roman" w:cs="Times New Roman"/>
          <w:sz w:val="24"/>
          <w:szCs w:val="24"/>
        </w:rPr>
        <w:t xml:space="preserve">тведения, электроэнергии на 2025</w:t>
      </w:r>
      <w:r>
        <w:rPr>
          <w:rFonts w:ascii="Times New Roman" w:hAnsi="Times New Roman" w:cs="Times New Roman"/>
          <w:sz w:val="24"/>
          <w:szCs w:val="24"/>
        </w:rPr>
        <w:t xml:space="preserve"> год в натуральном и стоимостном выражениях были установлены для </w:t>
      </w:r>
      <w:r>
        <w:rPr>
          <w:rFonts w:ascii="Times New Roman" w:hAnsi="Times New Roman" w:cs="Times New Roman"/>
          <w:sz w:val="24"/>
          <w:szCs w:val="24"/>
        </w:rPr>
        <w:t xml:space="preserve">38</w:t>
      </w:r>
      <w:r>
        <w:rPr>
          <w:rFonts w:ascii="Times New Roman" w:hAnsi="Times New Roman" w:cs="Times New Roman"/>
          <w:sz w:val="24"/>
          <w:szCs w:val="24"/>
        </w:rPr>
        <w:t xml:space="preserve"> учреждений согласно их территориальному расположению. Изменения в распоряжение вносились в течение года в большую и меньшую стороны</w:t>
      </w:r>
      <w:r>
        <w:rPr>
          <w:rFonts w:ascii="Times New Roman" w:hAnsi="Times New Roman" w:cs="Times New Roman"/>
          <w:sz w:val="24"/>
          <w:szCs w:val="24"/>
        </w:rPr>
        <w:t xml:space="preserve"> в связи </w:t>
      </w:r>
      <w:r>
        <w:rPr>
          <w:rFonts w:ascii="Times New Roman" w:hAnsi="Times New Roman" w:cs="Times New Roman"/>
          <w:sz w:val="24"/>
          <w:szCs w:val="24"/>
        </w:rPr>
        <w:t xml:space="preserve">с корректировкой тарифов на 2025 год, утвержденных Комитетом по тарифному регулированию Мурманской области, а также по мере введения у муниципальных учреждений новых объектов, приема-передачи или исключения объектов недвижимого имущества, установки нового </w:t>
      </w:r>
      <w:r>
        <w:rPr>
          <w:rFonts w:ascii="Times New Roman" w:hAnsi="Times New Roman" w:cs="Times New Roman"/>
          <w:sz w:val="24"/>
          <w:szCs w:val="24"/>
        </w:rPr>
        <w:t xml:space="preserve">энергоемкого оборудования, поверки или установки приборов учета, смены поставщика ТЭР.</w:t>
      </w:r>
      <w:r>
        <w:rPr>
          <w:rFonts w:ascii="Times New Roman" w:hAnsi="Times New Roman" w:cs="Times New Roman"/>
          <w:sz w:val="24"/>
          <w:szCs w:val="24"/>
        </w:rPr>
        <w:t xml:space="preserve"> Всего в течение 2025 года в установленные лимиты в натуральном и стоимостном выражениях были внесены изменения для 29 учреждений.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Общий контроль за фактическим соблюдением лимитированных объемов ТЭР в 2025 г</w:t>
      </w:r>
      <w:r>
        <w:rPr>
          <w:rFonts w:ascii="Times New Roman" w:hAnsi="Times New Roman" w:cs="Times New Roman"/>
          <w:sz w:val="24"/>
          <w:szCs w:val="24"/>
        </w:rPr>
        <w:t xml:space="preserve">оду осуществлялся ежеквартально путем проведения мониторинга по соблюдению установленных распоряжением лимитов, на основании предоставленных муниципальными учреждениями отчетов о соблюдении утвержденных лимитов потребления ТЭР, согласованных с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«Энергосбережение и повышение энергоэффективности»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560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993"/>
        <w:gridCol w:w="1134"/>
        <w:gridCol w:w="992"/>
        <w:gridCol w:w="2693"/>
        <w:gridCol w:w="1134"/>
        <w:gridCol w:w="992"/>
        <w:gridCol w:w="992"/>
        <w:gridCol w:w="1704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9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лимитов потребления энергоресурсов муниципальными учреждениями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утвержденных лимитов потребления энергоресурсов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соблюдению установленных лимитов муниципальными учреждениями,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реализации энергосберегающих мероприятий,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разъяснительной работы, обучение основам энергосбережения сотрудников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наличия и функционирования приборов учета потребления энергоресурсов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учреждениях и сроков их поверки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и функционирование приборов учета потребления энергоресурсов в муниципальных учреждениях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сроков их поверки,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энергетических деклараций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энергетических деклараций через модуль ГИС «Энергоэффективность»,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жилых помещений, в которых установлены приборы учёта энергетических ресурсов,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«Энергосбережение и повышение энергоэффективности»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«Транспортная система»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«Транспортная система»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1791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552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от 29.08.2025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1409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№ 2004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– 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задачи: п</w:t>
      </w:r>
      <w:r>
        <w:rPr>
          <w:rFonts w:ascii="Times New Roman" w:hAnsi="Times New Roman" w:cs="Times New Roman"/>
          <w:sz w:val="24"/>
          <w:szCs w:val="24"/>
        </w:rPr>
        <w:t xml:space="preserve"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24 526,4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148 563,3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51 989,6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областной бюджет, </w:t>
      </w:r>
      <w:r>
        <w:rPr>
          <w:rFonts w:ascii="Times New Roman" w:hAnsi="Times New Roman" w:cs="Times New Roman"/>
          <w:sz w:val="24"/>
          <w:szCs w:val="24"/>
        </w:rPr>
        <w:t xml:space="preserve">96 573,7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бюджет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Программы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147 854,5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9,5</w:t>
      </w:r>
      <w:r>
        <w:rPr>
          <w:rFonts w:ascii="Times New Roman" w:hAnsi="Times New Roman" w:cs="Times New Roman"/>
          <w:sz w:val="24"/>
          <w:szCs w:val="24"/>
        </w:rPr>
        <w:t xml:space="preserve">%. Не использованы средства в сумме </w:t>
      </w:r>
      <w:r>
        <w:rPr>
          <w:rFonts w:ascii="Times New Roman" w:hAnsi="Times New Roman" w:cs="Times New Roman"/>
          <w:sz w:val="24"/>
          <w:szCs w:val="24"/>
        </w:rPr>
        <w:t xml:space="preserve">708,7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643,2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65,5 тыс. рублей, экономия </w:t>
      </w:r>
      <w:r>
        <w:rPr>
          <w:rFonts w:ascii="Times New Roman" w:hAnsi="Times New Roman" w:cs="Times New Roman"/>
          <w:sz w:val="24"/>
          <w:szCs w:val="24"/>
        </w:rPr>
        <w:t xml:space="preserve">по торгам на ремонт дорог.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текущему ремонту: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автомобильная дорога по ул. Мира пгт. Никель;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внутриквартальная дорога пер. Шмакова г. Заполярный;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внутриквартальная дорога ул. Бабикова г. Заполярный.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Обустроены две автобусные остановки (установка остановочного павильона </w:t>
        <w:br/>
        <w:t xml:space="preserve">нп. Луостари ул. Верхняя; подключение остановочного павильона к освещению в районе </w:t>
        <w:br/>
        <w:t xml:space="preserve">19 км ж/д ст. Печенга.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«Транспортная система»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Эксплуатационное содержание автомобильных дорог в соответствии с требованиями стандартов, норм и правил,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проведенного ямочного ремонта на участках автодорог, на которых отсутствует необходимость замены дорожного покрытия,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Протяженность дорожной разметки на дорогах общего пользования местного значения, км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дорожно-уличной системы Печенгского муниципального округа дорожными знаками,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48840,3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58840,3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48840,3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58774,7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отремонтированных автомобильных дорог общего пользования местного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автобусных остановок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6270,0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обустроенных автобусных остановок,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автомобильных дорог общего пользования местного значения за счет дорожного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03149,3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3281,2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2638,0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 автомобильных дорог общего пользования местного значения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51989,6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96573,7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51346,3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96508,2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147854,5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51989,6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96573,7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51346,3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96508,2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147854,5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«Транспортная система»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«Муниципальное имущество и земельные ресурсы»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  <w:suppressLineNumbers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Муниципальная программа Печенгского муниципального округа «Муниципальное имущество и земельные ресурсы»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716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23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01</w:t>
      </w:r>
      <w:r>
        <w:rPr>
          <w:rFonts w:ascii="Times New Roman" w:hAnsi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.08.202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408, от 02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2012</w:t>
      </w:r>
      <w:r>
        <w:rPr>
          <w:rFonts w:ascii="Times New Roman" w:hAnsi="Times New Roman" w:cs="Times New Roman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sz w:val="24"/>
          <w:szCs w:val="24"/>
        </w:rPr>
        <w:t xml:space="preserve">23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2159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Цель Программы – О</w:t>
      </w:r>
      <w:r>
        <w:rPr>
          <w:rFonts w:ascii="Times New Roman" w:hAnsi="Times New Roman"/>
          <w:sz w:val="24"/>
          <w:szCs w:val="24"/>
        </w:rPr>
        <w:t xml:space="preserve">беспечение эффективного управления муниципальным имуществом и земельными ресурсами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предполагается за счет решения следующих задач: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- развитие и повышение эффективности управления муниципальным имуществом в Печенгском муниципальном округе;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- развитие и повышение эффективности управления земельными ресурсами в Печенгском муниципальном округе;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- 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подпрограммы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  <w:br/>
      </w:r>
      <w:r>
        <w:rPr>
          <w:rFonts w:ascii="Times New Roman" w:hAnsi="Times New Roman" w:cs="Times New Roman"/>
          <w:sz w:val="24"/>
          <w:szCs w:val="24"/>
        </w:rPr>
        <w:t xml:space="preserve">392 635,7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В течение года объем финансирования был увеличен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483 743,8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8 440,2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157 425,7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t xml:space="preserve">105 910,7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источники </w:t>
      </w:r>
      <w:r>
        <w:rPr>
          <w:rFonts w:ascii="Times New Roman" w:hAnsi="Times New Roman" w:cs="Times New Roman"/>
          <w:sz w:val="24"/>
          <w:szCs w:val="24"/>
        </w:rPr>
        <w:t xml:space="preserve">211 967,2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</w:t>
      </w:r>
      <w:r>
        <w:rPr>
          <w:rFonts w:ascii="Times New Roman" w:hAnsi="Times New Roman" w:cs="Times New Roman"/>
          <w:sz w:val="24"/>
          <w:szCs w:val="24"/>
        </w:rPr>
        <w:t xml:space="preserve">235 190,0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48,6</w:t>
      </w:r>
      <w:r>
        <w:rPr>
          <w:rFonts w:ascii="Times New Roman" w:hAnsi="Times New Roman" w:cs="Times New Roman"/>
          <w:sz w:val="24"/>
          <w:szCs w:val="24"/>
        </w:rPr>
        <w:t xml:space="preserve">%. Не освоено </w:t>
      </w:r>
      <w:r>
        <w:rPr>
          <w:rFonts w:ascii="Times New Roman" w:hAnsi="Times New Roman" w:cs="Times New Roman"/>
          <w:sz w:val="24"/>
          <w:szCs w:val="24"/>
        </w:rPr>
        <w:t xml:space="preserve">248 553,8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r>
        <w:rPr>
          <w:rFonts w:ascii="Times New Roman" w:hAnsi="Times New Roman" w:cs="Times New Roman"/>
          <w:sz w:val="24"/>
          <w:szCs w:val="24"/>
        </w:rPr>
        <w:t xml:space="preserve">. рублей, из них</w:t>
      </w:r>
      <w:r>
        <w:rPr>
          <w:rFonts w:ascii="Times New Roman" w:hAnsi="Times New Roman" w:cs="Times New Roman"/>
          <w:sz w:val="24"/>
          <w:szCs w:val="24"/>
        </w:rPr>
        <w:t xml:space="preserve">: средства областного бюджета 54 590,2 тыс. рублей,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4 405,6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189 558,0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муниципальным имуществом».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муниципальным имуществом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</w:t>
      </w:r>
      <w:r>
        <w:rPr>
          <w:rFonts w:ascii="Times New Roman" w:hAnsi="Times New Roman" w:cs="Times New Roman"/>
          <w:sz w:val="24"/>
          <w:szCs w:val="24"/>
        </w:rPr>
        <w:t xml:space="preserve">ное мероприятие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содержание и управление муниципальным имуществом, составляющим муниципальную казну.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ассигнования исполнены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93 119,1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6,5</w:t>
      </w:r>
      <w:r>
        <w:rPr>
          <w:rFonts w:ascii="Times New Roman" w:hAnsi="Times New Roman" w:cs="Times New Roman"/>
          <w:sz w:val="24"/>
          <w:szCs w:val="24"/>
        </w:rPr>
        <w:t xml:space="preserve">%). Не освоены средства в сумме </w:t>
      </w:r>
      <w:r>
        <w:rPr>
          <w:rFonts w:ascii="Times New Roman" w:hAnsi="Times New Roman" w:cs="Times New Roman"/>
          <w:sz w:val="24"/>
          <w:szCs w:val="24"/>
        </w:rPr>
        <w:t xml:space="preserve">3 346,8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3 257,9 тыс. рублей на</w:t>
      </w:r>
      <w:r>
        <w:rPr>
          <w:rFonts w:ascii="Times New Roman" w:hAnsi="Times New Roman" w:cs="Times New Roman"/>
          <w:sz w:val="24"/>
          <w:szCs w:val="24"/>
        </w:rPr>
        <w:t xml:space="preserve"> оплат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коммунальных услуг, текущего ремонта имущества (оплата по фактически выставленным счетам);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- 88,9 тыс. рублей</w:t>
      </w:r>
      <w:r>
        <w:rPr>
          <w:rFonts w:ascii="Times New Roman" w:hAnsi="Times New Roman" w:cs="Times New Roman"/>
          <w:sz w:val="24"/>
          <w:szCs w:val="24"/>
        </w:rPr>
        <w:t xml:space="preserve"> обслуживание объектов муниципальной казны и содержание животных, находящихся в казне.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земельными ресурсами».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земельными ресурсами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– повышение эффективности управления земельными ресурсами.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2 средства освоены в объеме </w:t>
      </w:r>
      <w:r>
        <w:rPr>
          <w:rFonts w:ascii="Times New Roman" w:hAnsi="Times New Roman" w:cs="Times New Roman"/>
          <w:sz w:val="24"/>
          <w:szCs w:val="24"/>
        </w:rPr>
        <w:t xml:space="preserve">802,0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(7</w:t>
      </w:r>
      <w:r>
        <w:rPr>
          <w:rFonts w:ascii="Times New Roman" w:hAnsi="Times New Roman" w:cs="Times New Roman"/>
          <w:sz w:val="24"/>
          <w:szCs w:val="24"/>
        </w:rPr>
        <w:t xml:space="preserve">6,4</w:t>
      </w:r>
      <w:r>
        <w:rPr>
          <w:rFonts w:ascii="Times New Roman" w:hAnsi="Times New Roman" w:cs="Times New Roman"/>
          <w:sz w:val="24"/>
          <w:szCs w:val="24"/>
        </w:rPr>
        <w:t xml:space="preserve">%).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заключены 1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договоров, </w:t>
      </w:r>
      <w:r>
        <w:rPr>
          <w:rFonts w:ascii="Times New Roman" w:hAnsi="Times New Roman" w:cs="Times New Roman"/>
          <w:sz w:val="24"/>
          <w:szCs w:val="24"/>
        </w:rPr>
        <w:t xml:space="preserve">в связи с тем, что работы не выполнены по </w:t>
      </w:r>
      <w:r>
        <w:rPr>
          <w:rFonts w:ascii="Times New Roman" w:hAnsi="Times New Roman" w:cs="Times New Roman"/>
          <w:sz w:val="24"/>
          <w:szCs w:val="24"/>
        </w:rPr>
        <w:t xml:space="preserve">двум</w:t>
      </w:r>
      <w:r>
        <w:rPr>
          <w:rFonts w:ascii="Times New Roman" w:hAnsi="Times New Roman" w:cs="Times New Roman"/>
          <w:sz w:val="24"/>
          <w:szCs w:val="24"/>
        </w:rPr>
        <w:t xml:space="preserve"> договорам оплата не производилась, не освоено </w:t>
      </w:r>
      <w:r>
        <w:rPr>
          <w:rFonts w:ascii="Times New Roman" w:hAnsi="Times New Roman" w:cs="Times New Roman"/>
          <w:sz w:val="24"/>
          <w:szCs w:val="24"/>
        </w:rPr>
        <w:t xml:space="preserve">251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«Создание безопасных и комфортных условий проживания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3 средства освоены </w:t>
      </w:r>
      <w:r>
        <w:rPr>
          <w:rFonts w:ascii="Times New Roman" w:hAnsi="Times New Roman" w:cs="Times New Roman"/>
          <w:sz w:val="24"/>
          <w:szCs w:val="24"/>
        </w:rPr>
        <w:t xml:space="preserve">в объеме </w:t>
      </w:r>
      <w:r>
        <w:rPr>
          <w:rFonts w:ascii="Times New Roman" w:hAnsi="Times New Roman" w:cs="Times New Roman"/>
          <w:sz w:val="24"/>
          <w:szCs w:val="24"/>
        </w:rPr>
        <w:t xml:space="preserve">141 268,9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36,6</w:t>
      </w:r>
      <w:r>
        <w:rPr>
          <w:rFonts w:ascii="Times New Roman" w:hAnsi="Times New Roman" w:cs="Times New Roman"/>
          <w:sz w:val="24"/>
          <w:szCs w:val="24"/>
        </w:rPr>
        <w:t xml:space="preserve">%). Не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в</w:t>
      </w:r>
      <w:r>
        <w:rPr>
          <w:rFonts w:ascii="Times New Roman" w:hAnsi="Times New Roman" w:cs="Times New Roman"/>
          <w:sz w:val="24"/>
          <w:szCs w:val="24"/>
        </w:rPr>
        <w:t xml:space="preserve"> размере </w:t>
      </w:r>
      <w:r>
        <w:rPr>
          <w:rFonts w:ascii="Times New Roman" w:hAnsi="Times New Roman" w:cs="Times New Roman"/>
          <w:sz w:val="24"/>
          <w:szCs w:val="24"/>
        </w:rPr>
        <w:t xml:space="preserve">244 956,0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- 807,8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ремонт пустующих жилых помещений муниципального жилищного фонда;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- 54 590,2 тыс. рублей средства областного бюджета и 105 158,0 тыс. рублей </w:t>
      </w:r>
      <w:r>
        <w:rPr>
          <w:rFonts w:ascii="Times New Roman" w:hAnsi="Times New Roman" w:cs="Times New Roman"/>
          <w:sz w:val="24"/>
          <w:szCs w:val="24"/>
        </w:rPr>
        <w:t xml:space="preserve">внебюджетные средства –</w:t>
      </w:r>
      <w:r>
        <w:rPr>
          <w:rFonts w:ascii="Times New Roman" w:hAnsi="Times New Roman" w:cs="Times New Roman"/>
          <w:sz w:val="24"/>
          <w:szCs w:val="24"/>
        </w:rPr>
        <w:t xml:space="preserve"> завершение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строительства МКД в районе дома 4 по </w:t>
        <w:br/>
        <w:t xml:space="preserve">ул. Ленинградская, в г. Заполярный (202</w:t>
      </w:r>
      <w:r>
        <w:rPr>
          <w:rFonts w:ascii="Times New Roman" w:hAnsi="Times New Roman" w:cs="Times New Roman"/>
          <w:sz w:val="24"/>
          <w:szCs w:val="24"/>
        </w:rPr>
        <w:t xml:space="preserve">6 год);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- 84 400,0 тыс. рублей внебюджетные средства на снос объектов незавершенного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и жилых домов.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«Муниципальное имущество и земельные ресурсы»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706"/>
        <w:gridCol w:w="17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«Управление муниципальным имуществом»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Содержание и управление муниципальным имуществом, составляющим муниципальную казну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имущества, составляющего муниципальную казну, в том числе: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имущества в надлежащем состоянии,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61891,3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61891,3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58633,4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58633,4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коммунальных услуг, в том числе: содержания и текущего ремонта имущества, составляющего муниципальную казну,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КУИ; 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 ежемесячных взносов по капитальному ремонту муниципального жилого и нежилого фонда в части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18366,1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23492,1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18364,9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23490,9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жилые и нежилые помещения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оценки рыночной стоимости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объектов муниципального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имущества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объектов, в отношении которых проведена оценка рыночной стоимости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кровель нежилых отдельно стоящих зданий, находящихся в муниципальной казне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животных, находящихся в муниципальной 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8563,7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8534,3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собственность, голов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полученных свидетельств о праве на наследство по закону,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96465,9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87993,1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93119,1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91339,9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96465,9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87993,1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93119,1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«Управление земельными ресурсами»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Развитие и повышение эффективности управления земельными ресурсами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земельными ресурсами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граждан, переселенных из аварийных многоквартирных домов,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пустующих жилых помещений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муниципального жилищного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пустующих жилых помещений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муниципального жилищного фонда,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семей, улучшивших жилищные условия,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обследованных жилых помещений и многоквартирных жилых домов на предмет непригодности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Завершение строительства МКД в </w:t>
              <w:br/>
              <w:t xml:space="preserve">г. Заполярный по </w:t>
              <w:br/>
              <w:t xml:space="preserve">ул. Ленинградская, в районе дома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122767,2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275066,9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115318,7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объектов, завершенных строительством,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122767,2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288582,7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17609,2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128027,8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Снос жилых домов и объектов незавершенного строительства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орган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изации демонтажа и демонтаж (снос) многоквартирных домов, выведенных из состава жилого фонда и непригодных для проживания, в рамках 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демонтированных (снесенных) многоквартирных домов,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снесенных жилых домов и объектов незавершенного строительства,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ЖКХ, АНО «Центр социальных проектов Печенгского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97642,2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13241,1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211967,2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386224,9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12710,0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22409,2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141268,9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157425,7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105910,7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211967,2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483743,8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102835,5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101505,1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22409,2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235190,0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имущес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тво и земельные ресурсы» за 2025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Необходим более глубокий анализ причин отклонения от плана. Возможен пересмотр муниципальной программы в части корректировки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right"/>
        <w:spacing w:after="0" w:line="240" w:lineRule="auto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сводному отчету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использовании средств, предусмотренных на реализацию муниципальных программ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(тыс. руб.)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1"/>
        <w:gridCol w:w="3545"/>
        <w:gridCol w:w="1417"/>
        <w:gridCol w:w="1276"/>
        <w:gridCol w:w="1134"/>
        <w:gridCol w:w="851"/>
      </w:tblGrid>
      <w:tr>
        <w:tblPrEx/>
        <w:trPr>
          <w:trHeight w:val="350"/>
          <w:tblHeader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программ/подпрограмм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Объем финансирования 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Исполнено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 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освоено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исполнения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«Образование»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2 292 769,7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2 242 128,2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50 641,5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дошкольного образования»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1 057 675,9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1 050 239,3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7 436,6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1 130 633,6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1 087 435,8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43 197,8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«Детский отдых»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11 999,4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11 999,4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6 688,3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6 688,3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9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85 703,0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85 695,9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Муниципальная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программа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Печенского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Обеспечение 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оциальн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стабильност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на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105 136,3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97 564,0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7 572,3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9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«Социальная поддержка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105 136,3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97 564,0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7 572,3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92,8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6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жильем молодых семей»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65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«Культура»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290 334,3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289 174,8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1 159,5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учреждений культуры»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179 003,7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178 656,8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346,9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101 330,6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101 330,6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культуры»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10 000,0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9 187,4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812,6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91,9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«Обеспечение общественного порядка и безопасности населения»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33 614,2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33 171,2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443,0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9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2 012,5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1 943,5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«Профилактика правонарушений»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3 047,9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3 041,7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защиты населения и территорий от чрезвычайных ситуаций»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22 438,4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22 070,6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367,8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«Противодействие терроризму и профилактика экстремизма»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6 115,4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6 115,4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«Экономический потенциал» </w:t>
              <w:br/>
              <w:t xml:space="preserve">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2 039,9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2 031,2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639,9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631,2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98,6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туризма в Печенгском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1 400,0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1 400,0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«Взаимодействие с СО НКО»»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«Комфортная среда проживания»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401 642,4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354 109,5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47 532,9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88,2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4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«Охрана окружающей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47 661,5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1 300,8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46 360,7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Ж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илищно-коммунально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хозяйств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182 946,4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182 940,5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6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сферы ритуальных услуг и мест захоронения»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2 447,0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2 427,7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19,3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«Комплексное благоустройство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содержание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городской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125 763,3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125 073,8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689,5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отлова животных без владельцев»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1 655,6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1 198,1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457,5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72,4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«Формирование современной городской среды»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41 168,6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41 168,6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«Муниципальное управление и гражданское общество»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306 644,7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304 026,6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2 618,1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условий для обеспечения муниципального управления»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286 975,2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284 432,1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2 543,1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7 527,0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7 452,0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12 142,5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12 142,5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«Молодежная политика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взаимодействие с общественными организациями в Печенгском муниципальном округе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17 508,6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17 258,8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249,8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«Укрепление общественного здоровья в Печенгском муниципальном округе»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10 626,4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10 626,4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«Физическая культура и спорт»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154 549,1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154 300,1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249,0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«Муниципальные финансы»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69 114,1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68 583,3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530,8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29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долгом»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0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бюджетного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бухгалтерского обслуживания»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69 078,0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68 547,2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530,8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2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«Энергосбережение и повышение энергоэффективности»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35,0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73,4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«Транспортная система»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148 563,3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147 854,5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708,8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«Муниципальное имущество и земельные ресурсы»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483 743,8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235 190,0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248 553,8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48,6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6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имуществом»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96 465,9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93 119,1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3 346,8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96,5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земельными ресурсами»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1 053,0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802,0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251,0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76,2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безопасных и комфортных условия проживания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386 224,9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141 268,9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244 956,0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4 316 321,8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3 956 044,3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 xml:space="preserve">360 277,5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91,7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ambria">
    <w:panose1 w:val="02040503050406030204"/>
  </w:font>
  <w:font w:name="Times New Roman CYR">
    <w:panose1 w:val="020206030504050203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29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space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8"/>
      <w:numFmt w:val="decimal"/>
      <w:isLgl w:val="false"/>
      <w:suff w:val="space"/>
      <w:lvlText w:val="%1."/>
      <w:lvlJc w:val="left"/>
      <w:pPr>
        <w:ind w:left="10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7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27"/>
  </w:num>
  <w:num w:numId="3">
    <w:abstractNumId w:val="1"/>
  </w:num>
  <w:num w:numId="4">
    <w:abstractNumId w:val="15"/>
  </w:num>
  <w:num w:numId="5">
    <w:abstractNumId w:val="28"/>
  </w:num>
  <w:num w:numId="6">
    <w:abstractNumId w:val="11"/>
  </w:num>
  <w:num w:numId="7">
    <w:abstractNumId w:val="8"/>
  </w:num>
  <w:num w:numId="8">
    <w:abstractNumId w:val="19"/>
  </w:num>
  <w:num w:numId="9">
    <w:abstractNumId w:val="34"/>
  </w:num>
  <w:num w:numId="10">
    <w:abstractNumId w:val="5"/>
  </w:num>
  <w:num w:numId="11">
    <w:abstractNumId w:val="12"/>
  </w:num>
  <w:num w:numId="12">
    <w:abstractNumId w:val="2"/>
  </w:num>
  <w:num w:numId="13">
    <w:abstractNumId w:val="21"/>
  </w:num>
  <w:num w:numId="14">
    <w:abstractNumId w:val="6"/>
  </w:num>
  <w:num w:numId="15">
    <w:abstractNumId w:val="26"/>
  </w:num>
  <w:num w:numId="16">
    <w:abstractNumId w:val="10"/>
  </w:num>
  <w:num w:numId="17">
    <w:abstractNumId w:val="14"/>
  </w:num>
  <w:num w:numId="18">
    <w:abstractNumId w:val="22"/>
  </w:num>
  <w:num w:numId="19">
    <w:abstractNumId w:val="13"/>
  </w:num>
  <w:num w:numId="20">
    <w:abstractNumId w:val="29"/>
  </w:num>
  <w:num w:numId="21">
    <w:abstractNumId w:val="7"/>
  </w:num>
  <w:num w:numId="22">
    <w:abstractNumId w:val="17"/>
  </w:num>
  <w:num w:numId="23">
    <w:abstractNumId w:val="3"/>
  </w:num>
  <w:num w:numId="24">
    <w:abstractNumId w:val="20"/>
  </w:num>
  <w:num w:numId="25">
    <w:abstractNumId w:val="35"/>
  </w:num>
  <w:num w:numId="26">
    <w:abstractNumId w:val="33"/>
  </w:num>
  <w:num w:numId="27">
    <w:abstractNumId w:val="16"/>
  </w:num>
  <w:num w:numId="28">
    <w:abstractNumId w:val="0"/>
  </w:num>
  <w:num w:numId="29">
    <w:abstractNumId w:val="9"/>
  </w:num>
  <w:num w:numId="30">
    <w:abstractNumId w:val="18"/>
  </w:num>
  <w:num w:numId="31">
    <w:abstractNumId w:val="30"/>
  </w:num>
  <w:num w:numId="32">
    <w:abstractNumId w:val="23"/>
  </w:num>
  <w:num w:numId="33">
    <w:abstractNumId w:val="32"/>
  </w:num>
  <w:num w:numId="34">
    <w:abstractNumId w:val="4"/>
  </w:num>
  <w:num w:numId="35">
    <w:abstractNumId w:val="25"/>
  </w:num>
  <w:num w:numId="36">
    <w:abstractNumId w:val="36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3 Char"/>
    <w:basedOn w:val="765"/>
    <w:link w:val="758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6 Char"/>
    <w:basedOn w:val="765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30">
    <w:name w:val="Heading 7 Char"/>
    <w:basedOn w:val="765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>
    <w:name w:val="Heading 8 Char"/>
    <w:basedOn w:val="76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32">
    <w:name w:val="Heading 9 Char"/>
    <w:basedOn w:val="765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33">
    <w:name w:val="Quote Char"/>
    <w:link w:val="779"/>
    <w:uiPriority w:val="29"/>
    <w:rPr>
      <w:i/>
    </w:rPr>
  </w:style>
  <w:style w:type="character" w:styleId="734">
    <w:name w:val="Intense Quote Char"/>
    <w:link w:val="781"/>
    <w:uiPriority w:val="30"/>
    <w:rPr>
      <w:i/>
    </w:rPr>
  </w:style>
  <w:style w:type="table" w:styleId="735">
    <w:name w:val="Plain Table 1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3">
    <w:name w:val="List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4">
    <w:name w:val="Endnote Text Char"/>
    <w:link w:val="913"/>
    <w:uiPriority w:val="99"/>
    <w:rPr>
      <w:sz w:val="20"/>
    </w:rPr>
  </w:style>
  <w:style w:type="paragraph" w:styleId="755" w:default="1">
    <w:name w:val="Normal"/>
    <w:qFormat/>
  </w:style>
  <w:style w:type="paragraph" w:styleId="756">
    <w:name w:val="Heading 1"/>
    <w:basedOn w:val="755"/>
    <w:next w:val="755"/>
    <w:link w:val="100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57">
    <w:name w:val="Heading 2"/>
    <w:basedOn w:val="755"/>
    <w:next w:val="755"/>
    <w:link w:val="927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58">
    <w:name w:val="Heading 3"/>
    <w:basedOn w:val="755"/>
    <w:next w:val="755"/>
    <w:link w:val="77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59">
    <w:name w:val="Heading 4"/>
    <w:basedOn w:val="755"/>
    <w:next w:val="755"/>
    <w:link w:val="92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760">
    <w:name w:val="Heading 5"/>
    <w:basedOn w:val="755"/>
    <w:next w:val="755"/>
    <w:link w:val="1019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761">
    <w:name w:val="Heading 6"/>
    <w:basedOn w:val="755"/>
    <w:next w:val="755"/>
    <w:link w:val="77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62">
    <w:name w:val="Heading 7"/>
    <w:basedOn w:val="755"/>
    <w:next w:val="755"/>
    <w:link w:val="77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63">
    <w:name w:val="Heading 8"/>
    <w:basedOn w:val="755"/>
    <w:next w:val="755"/>
    <w:link w:val="77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64">
    <w:name w:val="Heading 9"/>
    <w:basedOn w:val="755"/>
    <w:next w:val="755"/>
    <w:link w:val="77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character" w:styleId="768" w:customStyle="1">
    <w:name w:val="Heading 1 Char"/>
    <w:basedOn w:val="765"/>
    <w:uiPriority w:val="9"/>
    <w:rPr>
      <w:rFonts w:ascii="Arial" w:hAnsi="Arial" w:eastAsia="Arial" w:cs="Arial"/>
      <w:sz w:val="40"/>
      <w:szCs w:val="40"/>
    </w:rPr>
  </w:style>
  <w:style w:type="character" w:styleId="769" w:customStyle="1">
    <w:name w:val="Heading 2 Char"/>
    <w:basedOn w:val="765"/>
    <w:uiPriority w:val="9"/>
    <w:rPr>
      <w:rFonts w:ascii="Arial" w:hAnsi="Arial" w:eastAsia="Arial" w:cs="Arial"/>
      <w:sz w:val="34"/>
    </w:rPr>
  </w:style>
  <w:style w:type="character" w:styleId="770" w:customStyle="1">
    <w:name w:val="Заголовок 3 Знак"/>
    <w:basedOn w:val="765"/>
    <w:link w:val="758"/>
    <w:uiPriority w:val="9"/>
    <w:rPr>
      <w:rFonts w:ascii="Arial" w:hAnsi="Arial" w:eastAsia="Arial" w:cs="Arial"/>
      <w:sz w:val="30"/>
      <w:szCs w:val="30"/>
    </w:rPr>
  </w:style>
  <w:style w:type="character" w:styleId="771" w:customStyle="1">
    <w:name w:val="Heading 4 Char"/>
    <w:basedOn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72" w:customStyle="1">
    <w:name w:val="Heading 5 Char"/>
    <w:basedOn w:val="765"/>
    <w:uiPriority w:val="9"/>
    <w:rPr>
      <w:rFonts w:ascii="Arial" w:hAnsi="Arial" w:eastAsia="Arial" w:cs="Arial"/>
      <w:b/>
      <w:bCs/>
      <w:sz w:val="24"/>
      <w:szCs w:val="24"/>
    </w:rPr>
  </w:style>
  <w:style w:type="character" w:styleId="773" w:customStyle="1">
    <w:name w:val="Заголовок 6 Знак"/>
    <w:basedOn w:val="765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74" w:customStyle="1">
    <w:name w:val="Заголовок 7 Знак"/>
    <w:basedOn w:val="765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5" w:customStyle="1">
    <w:name w:val="Заголовок 8 Знак"/>
    <w:basedOn w:val="76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76" w:customStyle="1">
    <w:name w:val="Заголовок 9 Знак"/>
    <w:basedOn w:val="765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77" w:customStyle="1">
    <w:name w:val="Title Char"/>
    <w:basedOn w:val="765"/>
    <w:uiPriority w:val="10"/>
    <w:rPr>
      <w:sz w:val="48"/>
      <w:szCs w:val="48"/>
    </w:rPr>
  </w:style>
  <w:style w:type="character" w:styleId="778" w:customStyle="1">
    <w:name w:val="Subtitle Char"/>
    <w:basedOn w:val="765"/>
    <w:uiPriority w:val="11"/>
    <w:rPr>
      <w:sz w:val="24"/>
      <w:szCs w:val="24"/>
    </w:rPr>
  </w:style>
  <w:style w:type="paragraph" w:styleId="779">
    <w:name w:val="Quote"/>
    <w:basedOn w:val="755"/>
    <w:next w:val="755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55"/>
    <w:next w:val="755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character" w:styleId="783" w:customStyle="1">
    <w:name w:val="Header Char"/>
    <w:basedOn w:val="765"/>
    <w:uiPriority w:val="99"/>
  </w:style>
  <w:style w:type="character" w:styleId="784" w:customStyle="1">
    <w:name w:val="Footer Char"/>
    <w:basedOn w:val="765"/>
    <w:uiPriority w:val="99"/>
  </w:style>
  <w:style w:type="paragraph" w:styleId="785">
    <w:name w:val="Caption"/>
    <w:basedOn w:val="755"/>
    <w:next w:val="75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86" w:customStyle="1">
    <w:name w:val="Caption Char"/>
    <w:uiPriority w:val="99"/>
  </w:style>
  <w:style w:type="table" w:styleId="787" w:customStyle="1">
    <w:name w:val="Table Grid Light"/>
    <w:basedOn w:val="7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8" w:customStyle="1">
    <w:name w:val="Таблица простая 11"/>
    <w:basedOn w:val="7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 w:customStyle="1">
    <w:name w:val="Таблица простая 21"/>
    <w:basedOn w:val="76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 w:customStyle="1">
    <w:name w:val="Таблица простая 3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 w:customStyle="1">
    <w:name w:val="Таблица простая 4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Таблица простая 5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 w:customStyle="1">
    <w:name w:val="Таблица-сетка 1 светл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Таблица-сетка 2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3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Таблица-сетка 41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 w:customStyle="1">
    <w:name w:val="Grid Table 4 - Accent 1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6" w:customStyle="1">
    <w:name w:val="Grid Table 4 - Accent 2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Grid Table 4 - Accent 3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8" w:customStyle="1">
    <w:name w:val="Grid Table 4 - Accent 4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Grid Table 4 - Accent 5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0" w:customStyle="1">
    <w:name w:val="Grid Table 4 - Accent 6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1" w:customStyle="1">
    <w:name w:val="Таблица-сетка 5 тем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8" w:customStyle="1">
    <w:name w:val="Таблица-сетка 6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9" w:customStyle="1">
    <w:name w:val="Grid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0" w:customStyle="1">
    <w:name w:val="Grid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1" w:customStyle="1">
    <w:name w:val="Grid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2" w:customStyle="1">
    <w:name w:val="Grid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3" w:customStyle="1">
    <w:name w:val="Grid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4" w:customStyle="1">
    <w:name w:val="Grid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5" w:customStyle="1">
    <w:name w:val="Таблица-сетка 7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Список-таблица 1 светлая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2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3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4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5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6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Список-таблица 2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6" w:customStyle="1">
    <w:name w:val="Список-таблица 3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4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Список-таблица 5 тем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Список-таблица 6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8" w:customStyle="1">
    <w:name w:val="List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9" w:customStyle="1">
    <w:name w:val="List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0" w:customStyle="1">
    <w:name w:val="List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1" w:customStyle="1">
    <w:name w:val="List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2" w:customStyle="1">
    <w:name w:val="List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3" w:customStyle="1">
    <w:name w:val="List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4" w:customStyle="1">
    <w:name w:val="Список-таблица 7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 &amp; 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Bordered &amp; 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Bordered &amp; 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Bordered &amp; 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Bordered &amp; 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Bordered &amp; 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Bordered &amp; 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6" w:customStyle="1">
    <w:name w:val="Bordered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7" w:customStyle="1">
    <w:name w:val="Bordered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8" w:customStyle="1">
    <w:name w:val="Bordered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9" w:customStyle="1">
    <w:name w:val="Bordered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0" w:customStyle="1">
    <w:name w:val="Bordered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1" w:customStyle="1">
    <w:name w:val="Bordered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2" w:customStyle="1">
    <w:name w:val="Footnote Text Char"/>
    <w:uiPriority w:val="99"/>
    <w:rPr>
      <w:sz w:val="18"/>
    </w:rPr>
  </w:style>
  <w:style w:type="paragraph" w:styleId="913">
    <w:name w:val="endnote text"/>
    <w:basedOn w:val="755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 w:customStyle="1">
    <w:name w:val="Текст концевой сноски Знак"/>
    <w:link w:val="913"/>
    <w:uiPriority w:val="99"/>
    <w:rPr>
      <w:sz w:val="20"/>
    </w:rPr>
  </w:style>
  <w:style w:type="character" w:styleId="915">
    <w:name w:val="endnote reference"/>
    <w:basedOn w:val="765"/>
    <w:uiPriority w:val="99"/>
    <w:semiHidden/>
    <w:unhideWhenUsed/>
    <w:rPr>
      <w:vertAlign w:val="superscript"/>
    </w:rPr>
  </w:style>
  <w:style w:type="paragraph" w:styleId="916">
    <w:name w:val="toc 1"/>
    <w:basedOn w:val="755"/>
    <w:next w:val="755"/>
    <w:uiPriority w:val="39"/>
    <w:unhideWhenUsed/>
    <w:pPr>
      <w:spacing w:after="57"/>
    </w:pPr>
  </w:style>
  <w:style w:type="paragraph" w:styleId="917">
    <w:name w:val="toc 2"/>
    <w:basedOn w:val="755"/>
    <w:next w:val="755"/>
    <w:uiPriority w:val="39"/>
    <w:unhideWhenUsed/>
    <w:pPr>
      <w:ind w:left="283"/>
      <w:spacing w:after="57"/>
    </w:pPr>
  </w:style>
  <w:style w:type="paragraph" w:styleId="918">
    <w:name w:val="toc 3"/>
    <w:basedOn w:val="755"/>
    <w:next w:val="755"/>
    <w:uiPriority w:val="39"/>
    <w:unhideWhenUsed/>
    <w:pPr>
      <w:ind w:left="567"/>
      <w:spacing w:after="57"/>
    </w:pPr>
  </w:style>
  <w:style w:type="paragraph" w:styleId="919">
    <w:name w:val="toc 4"/>
    <w:basedOn w:val="755"/>
    <w:next w:val="755"/>
    <w:uiPriority w:val="39"/>
    <w:unhideWhenUsed/>
    <w:pPr>
      <w:ind w:left="850"/>
      <w:spacing w:after="57"/>
    </w:pPr>
  </w:style>
  <w:style w:type="paragraph" w:styleId="920">
    <w:name w:val="toc 5"/>
    <w:basedOn w:val="755"/>
    <w:next w:val="755"/>
    <w:uiPriority w:val="39"/>
    <w:unhideWhenUsed/>
    <w:pPr>
      <w:ind w:left="1134"/>
      <w:spacing w:after="57"/>
    </w:pPr>
  </w:style>
  <w:style w:type="paragraph" w:styleId="921">
    <w:name w:val="toc 6"/>
    <w:basedOn w:val="755"/>
    <w:next w:val="755"/>
    <w:uiPriority w:val="39"/>
    <w:unhideWhenUsed/>
    <w:pPr>
      <w:ind w:left="1417"/>
      <w:spacing w:after="57"/>
    </w:pPr>
  </w:style>
  <w:style w:type="paragraph" w:styleId="922">
    <w:name w:val="toc 7"/>
    <w:basedOn w:val="755"/>
    <w:next w:val="755"/>
    <w:uiPriority w:val="39"/>
    <w:unhideWhenUsed/>
    <w:pPr>
      <w:ind w:left="1701"/>
      <w:spacing w:after="57"/>
    </w:pPr>
  </w:style>
  <w:style w:type="paragraph" w:styleId="923">
    <w:name w:val="toc 8"/>
    <w:basedOn w:val="755"/>
    <w:next w:val="755"/>
    <w:uiPriority w:val="39"/>
    <w:unhideWhenUsed/>
    <w:pPr>
      <w:ind w:left="1984"/>
      <w:spacing w:after="57"/>
    </w:pPr>
  </w:style>
  <w:style w:type="paragraph" w:styleId="924">
    <w:name w:val="toc 9"/>
    <w:basedOn w:val="755"/>
    <w:next w:val="755"/>
    <w:uiPriority w:val="39"/>
    <w:unhideWhenUsed/>
    <w:pPr>
      <w:ind w:left="2268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755"/>
    <w:next w:val="755"/>
    <w:uiPriority w:val="99"/>
    <w:unhideWhenUsed/>
    <w:pPr>
      <w:spacing w:after="0"/>
    </w:pPr>
  </w:style>
  <w:style w:type="character" w:styleId="927" w:customStyle="1">
    <w:name w:val="Заголовок 2 Знак"/>
    <w:basedOn w:val="765"/>
    <w:link w:val="757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928" w:customStyle="1">
    <w:name w:val="Заголовок 4 Знак"/>
    <w:basedOn w:val="765"/>
    <w:link w:val="759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9">
    <w:name w:val="List Paragraph"/>
    <w:basedOn w:val="755"/>
    <w:link w:val="1015"/>
    <w:uiPriority w:val="34"/>
    <w:qFormat/>
    <w:pPr>
      <w:contextualSpacing/>
      <w:ind w:left="720"/>
    </w:pPr>
  </w:style>
  <w:style w:type="paragraph" w:styleId="930">
    <w:name w:val="Normal (Web)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1" w:customStyle="1">
    <w:name w:val="c0 c6"/>
  </w:style>
  <w:style w:type="paragraph" w:styleId="932" w:customStyle="1">
    <w:name w:val="c13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3" w:customStyle="1">
    <w:name w:val="c1"/>
  </w:style>
  <w:style w:type="paragraph" w:styleId="934" w:customStyle="1">
    <w:name w:val="c3 c2 c4 c10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5" w:customStyle="1">
    <w:name w:val="c8 c0 c6"/>
  </w:style>
  <w:style w:type="paragraph" w:styleId="93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937">
    <w:name w:val="Body Text Indent 2"/>
    <w:basedOn w:val="755"/>
    <w:link w:val="938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938" w:customStyle="1">
    <w:name w:val="Основной текст с отступом 2 Знак"/>
    <w:basedOn w:val="765"/>
    <w:link w:val="93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9">
    <w:name w:val="Body Text"/>
    <w:basedOn w:val="755"/>
    <w:link w:val="940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0" w:customStyle="1">
    <w:name w:val="Основной текст Знак"/>
    <w:basedOn w:val="765"/>
    <w:link w:val="9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1">
    <w:name w:val="Strong"/>
    <w:uiPriority w:val="22"/>
    <w:qFormat/>
    <w:rPr>
      <w:b/>
      <w:bCs/>
    </w:rPr>
  </w:style>
  <w:style w:type="paragraph" w:styleId="942" w:customStyle="1">
    <w:name w:val="32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43">
    <w:name w:val="Table Grid"/>
    <w:basedOn w:val="766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>
    <w:name w:val="footnote text"/>
    <w:basedOn w:val="755"/>
    <w:link w:val="945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945" w:customStyle="1">
    <w:name w:val="Текст сноски Знак"/>
    <w:basedOn w:val="765"/>
    <w:link w:val="944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46">
    <w:name w:val="footnote reference"/>
    <w:basedOn w:val="765"/>
    <w:uiPriority w:val="99"/>
    <w:semiHidden/>
    <w:unhideWhenUsed/>
    <w:rPr>
      <w:vertAlign w:val="superscript"/>
    </w:rPr>
  </w:style>
  <w:style w:type="paragraph" w:styleId="947" w:customStyle="1">
    <w:name w:val="ConsPlusNormal"/>
    <w:next w:val="755"/>
    <w:link w:val="948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48" w:customStyle="1">
    <w:name w:val="ConsPlusNormal Знак"/>
    <w:link w:val="947"/>
    <w:rPr>
      <w:rFonts w:ascii="Arial" w:hAnsi="Arial" w:eastAsia="Arial" w:cs="Times New Roman"/>
      <w:sz w:val="20"/>
      <w:szCs w:val="20"/>
    </w:rPr>
  </w:style>
  <w:style w:type="character" w:styleId="949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50" w:customStyle="1">
    <w:name w:val="Знак Знак9"/>
    <w:basedOn w:val="755"/>
    <w:next w:val="757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51" w:customStyle="1">
    <w:name w:val="Содержимое таблицы"/>
    <w:basedOn w:val="755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5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53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54">
    <w:name w:val="Body Text Indent"/>
    <w:basedOn w:val="755"/>
    <w:link w:val="955"/>
    <w:unhideWhenUsed/>
    <w:pPr>
      <w:ind w:left="283"/>
      <w:spacing w:after="120"/>
    </w:pPr>
  </w:style>
  <w:style w:type="character" w:styleId="955" w:customStyle="1">
    <w:name w:val="Основной текст с отступом Знак"/>
    <w:basedOn w:val="765"/>
    <w:link w:val="954"/>
  </w:style>
  <w:style w:type="character" w:styleId="956">
    <w:name w:val="Hyperlink"/>
    <w:uiPriority w:val="99"/>
    <w:rPr>
      <w:strike w:val="0"/>
      <w:color w:val="808080"/>
      <w:u w:val="none"/>
    </w:rPr>
  </w:style>
  <w:style w:type="paragraph" w:styleId="957">
    <w:name w:val="HTML Bottom of Form"/>
    <w:basedOn w:val="755"/>
    <w:next w:val="755"/>
    <w:link w:val="95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58" w:customStyle="1">
    <w:name w:val="z-Конец формы Знак"/>
    <w:basedOn w:val="765"/>
    <w:link w:val="957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59" w:customStyle="1">
    <w:name w:val="Обычный (веб)18"/>
    <w:basedOn w:val="755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60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61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62">
    <w:name w:val="Header"/>
    <w:basedOn w:val="755"/>
    <w:link w:val="96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63" w:customStyle="1">
    <w:name w:val="Верхний колонтитул Знак"/>
    <w:basedOn w:val="765"/>
    <w:link w:val="96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64">
    <w:name w:val="Balloon Text"/>
    <w:basedOn w:val="755"/>
    <w:link w:val="965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65" w:customStyle="1">
    <w:name w:val="Текст выноски Знак"/>
    <w:basedOn w:val="765"/>
    <w:link w:val="96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66" w:customStyle="1">
    <w:name w:val="1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>
    <w:name w:val="Footer"/>
    <w:basedOn w:val="755"/>
    <w:link w:val="968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68" w:customStyle="1">
    <w:name w:val="Нижний колонтитул Знак"/>
    <w:basedOn w:val="765"/>
    <w:link w:val="967"/>
    <w:rPr>
      <w:rFonts w:ascii="Calibri" w:hAnsi="Calibri" w:eastAsia="Calibri" w:cs="Times New Roman"/>
    </w:rPr>
  </w:style>
  <w:style w:type="character" w:styleId="969" w:customStyle="1">
    <w:name w:val="Font Style13"/>
    <w:uiPriority w:val="99"/>
    <w:rPr>
      <w:rFonts w:ascii="Times New Roman" w:hAnsi="Times New Roman"/>
      <w:sz w:val="24"/>
    </w:rPr>
  </w:style>
  <w:style w:type="paragraph" w:styleId="970" w:customStyle="1">
    <w:name w:val="Style4"/>
    <w:basedOn w:val="755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1" w:customStyle="1">
    <w:name w:val="Style7"/>
    <w:basedOn w:val="755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Знак"/>
    <w:basedOn w:val="755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>
    <w:name w:val="Body Text Indent 3"/>
    <w:basedOn w:val="755"/>
    <w:link w:val="97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4" w:customStyle="1">
    <w:name w:val="Основной текст с отступом 3 Знак"/>
    <w:basedOn w:val="765"/>
    <w:link w:val="973"/>
    <w:uiPriority w:val="99"/>
    <w:semiHidden/>
    <w:rPr>
      <w:sz w:val="16"/>
      <w:szCs w:val="16"/>
    </w:rPr>
  </w:style>
  <w:style w:type="paragraph" w:styleId="975" w:customStyle="1">
    <w:name w:val="Знак Знак2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6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77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78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7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80" w:customStyle="1">
    <w:name w:val="Сетка таблицы1"/>
    <w:basedOn w:val="766"/>
    <w:next w:val="94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1">
    <w:name w:val="Message Header"/>
    <w:basedOn w:val="939"/>
    <w:link w:val="98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82" w:customStyle="1">
    <w:name w:val="Шапка Знак"/>
    <w:basedOn w:val="765"/>
    <w:link w:val="981"/>
    <w:rPr>
      <w:rFonts w:ascii="Garamond" w:hAnsi="Garamond" w:eastAsia="Times New Roman" w:cs="Times New Roman"/>
      <w:caps/>
      <w:sz w:val="18"/>
      <w:szCs w:val="20"/>
    </w:rPr>
  </w:style>
  <w:style w:type="paragraph" w:styleId="983" w:customStyle="1">
    <w:name w:val="Абзац списка1"/>
    <w:basedOn w:val="755"/>
    <w:link w:val="984"/>
    <w:pPr>
      <w:ind w:left="720"/>
    </w:pPr>
    <w:rPr>
      <w:rFonts w:ascii="Calibri" w:hAnsi="Calibri" w:eastAsia="Times New Roman" w:cs="Calibri"/>
    </w:rPr>
  </w:style>
  <w:style w:type="character" w:styleId="984" w:customStyle="1">
    <w:name w:val="List Paragraph Char"/>
    <w:link w:val="983"/>
    <w:rPr>
      <w:rFonts w:ascii="Calibri" w:hAnsi="Calibri" w:eastAsia="Times New Roman" w:cs="Calibri"/>
    </w:rPr>
  </w:style>
  <w:style w:type="paragraph" w:styleId="985">
    <w:name w:val="Body Text 2"/>
    <w:basedOn w:val="755"/>
    <w:link w:val="986"/>
    <w:uiPriority w:val="99"/>
    <w:unhideWhenUsed/>
    <w:pPr>
      <w:spacing w:after="120" w:line="480" w:lineRule="auto"/>
    </w:pPr>
  </w:style>
  <w:style w:type="character" w:styleId="986" w:customStyle="1">
    <w:name w:val="Основной текст 2 Знак"/>
    <w:basedOn w:val="765"/>
    <w:link w:val="985"/>
    <w:uiPriority w:val="99"/>
  </w:style>
  <w:style w:type="character" w:styleId="987" w:customStyle="1">
    <w:name w:val="МОН Знак"/>
    <w:link w:val="988"/>
    <w:rPr>
      <w:sz w:val="24"/>
    </w:rPr>
  </w:style>
  <w:style w:type="paragraph" w:styleId="988" w:customStyle="1">
    <w:name w:val="МОН"/>
    <w:basedOn w:val="755"/>
    <w:link w:val="987"/>
    <w:pPr>
      <w:ind w:firstLine="709"/>
      <w:jc w:val="both"/>
      <w:spacing w:after="0" w:line="360" w:lineRule="auto"/>
    </w:pPr>
    <w:rPr>
      <w:sz w:val="24"/>
    </w:rPr>
  </w:style>
  <w:style w:type="paragraph" w:styleId="989" w:customStyle="1">
    <w:name w:val="Абзац списка2"/>
    <w:basedOn w:val="755"/>
    <w:pPr>
      <w:ind w:left="720"/>
    </w:pPr>
    <w:rPr>
      <w:rFonts w:ascii="Calibri" w:hAnsi="Calibri" w:eastAsia="Times New Roman" w:cs="Calibri"/>
    </w:rPr>
  </w:style>
  <w:style w:type="character" w:styleId="990" w:customStyle="1">
    <w:name w:val="c1 c14 c9"/>
  </w:style>
  <w:style w:type="character" w:styleId="991" w:customStyle="1">
    <w:name w:val="c2 c1"/>
    <w:uiPriority w:val="99"/>
    <w:rPr>
      <w:rFonts w:cs="Times New Roman"/>
    </w:rPr>
  </w:style>
  <w:style w:type="character" w:styleId="992" w:customStyle="1">
    <w:name w:val="c0"/>
  </w:style>
  <w:style w:type="paragraph" w:styleId="993" w:customStyle="1">
    <w:name w:val="c5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4" w:customStyle="1">
    <w:name w:val="c2"/>
  </w:style>
  <w:style w:type="paragraph" w:styleId="995" w:customStyle="1">
    <w:name w:val="Абзац списка3"/>
    <w:basedOn w:val="755"/>
    <w:pPr>
      <w:ind w:left="720"/>
    </w:pPr>
    <w:rPr>
      <w:rFonts w:ascii="Calibri" w:hAnsi="Calibri" w:eastAsia="Calibri" w:cs="Calibri"/>
    </w:rPr>
  </w:style>
  <w:style w:type="paragraph" w:styleId="996" w:customStyle="1">
    <w:name w:val="Знак Знак21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97" w:customStyle="1">
    <w:name w:val="consnormal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99">
    <w:name w:val="Emphasis"/>
    <w:basedOn w:val="765"/>
    <w:qFormat/>
    <w:rPr>
      <w:i/>
      <w:iCs/>
    </w:rPr>
  </w:style>
  <w:style w:type="paragraph" w:styleId="1000">
    <w:name w:val="Title"/>
    <w:basedOn w:val="755"/>
    <w:next w:val="755"/>
    <w:link w:val="1001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001" w:customStyle="1">
    <w:name w:val="Заголовок Знак"/>
    <w:basedOn w:val="765"/>
    <w:link w:val="1000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002" w:customStyle="1">
    <w:name w:val="Заголовок 1 Знак"/>
    <w:basedOn w:val="765"/>
    <w:link w:val="75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1003" w:customStyle="1">
    <w:name w:val="Основной текст (2)_"/>
    <w:link w:val="1004"/>
    <w:rPr>
      <w:shd w:val="clear" w:color="auto" w:fill="ffffff"/>
    </w:rPr>
  </w:style>
  <w:style w:type="paragraph" w:styleId="1004" w:customStyle="1">
    <w:name w:val="Основной текст (2)1"/>
    <w:basedOn w:val="755"/>
    <w:link w:val="1003"/>
    <w:pPr>
      <w:jc w:val="center"/>
      <w:spacing w:after="0" w:line="240" w:lineRule="atLeast"/>
      <w:shd w:val="clear" w:color="auto" w:fill="ffffff"/>
      <w:widowControl w:val="off"/>
    </w:pPr>
  </w:style>
  <w:style w:type="character" w:styleId="1005" w:customStyle="1">
    <w:name w:val="Основной текст (2) + 10"/>
    <w:rPr>
      <w:sz w:val="21"/>
      <w:szCs w:val="21"/>
      <w:lang w:bidi="ar-SA"/>
    </w:rPr>
  </w:style>
  <w:style w:type="character" w:styleId="1006" w:customStyle="1">
    <w:name w:val="Основной текст (2)"/>
    <w:rPr>
      <w:sz w:val="22"/>
      <w:szCs w:val="22"/>
      <w:u w:val="single"/>
      <w:lang w:bidi="ar-SA"/>
    </w:rPr>
  </w:style>
  <w:style w:type="character" w:styleId="1007" w:customStyle="1">
    <w:name w:val="Основной текст (2)7"/>
    <w:basedOn w:val="1003"/>
    <w:rPr>
      <w:sz w:val="22"/>
      <w:szCs w:val="22"/>
      <w:shd w:val="clear" w:color="auto" w:fill="ffffff"/>
      <w:lang w:bidi="ar-SA"/>
    </w:rPr>
  </w:style>
  <w:style w:type="paragraph" w:styleId="1008" w:customStyle="1">
    <w:name w:val="style4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9" w:customStyle="1">
    <w:name w:val="style33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0" w:customStyle="1">
    <w:name w:val="Style33"/>
    <w:basedOn w:val="755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1" w:customStyle="1">
    <w:name w:val="Знак Знак1 Знак Знак Знак Знак Знак Знак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2">
    <w:name w:val="HTML Preformatted"/>
    <w:basedOn w:val="755"/>
    <w:link w:val="1013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1013" w:customStyle="1">
    <w:name w:val="Стандартный HTML Знак"/>
    <w:basedOn w:val="765"/>
    <w:link w:val="1012"/>
    <w:rPr>
      <w:rFonts w:ascii="Courier New" w:hAnsi="Courier New" w:eastAsia="Calibri" w:cs="Courier New"/>
      <w:sz w:val="24"/>
      <w:szCs w:val="24"/>
      <w:lang w:eastAsia="ar-SA"/>
    </w:rPr>
  </w:style>
  <w:style w:type="character" w:styleId="1014" w:customStyle="1">
    <w:name w:val="c4"/>
  </w:style>
  <w:style w:type="character" w:styleId="1015" w:customStyle="1">
    <w:name w:val="Абзац списка Знак"/>
    <w:link w:val="929"/>
    <w:uiPriority w:val="34"/>
  </w:style>
  <w:style w:type="paragraph" w:styleId="1016" w:customStyle="1">
    <w:name w:val="Знак Знак Знак"/>
    <w:basedOn w:val="755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table" w:styleId="1017" w:customStyle="1">
    <w:name w:val="Сетка таблицы2"/>
    <w:basedOn w:val="766"/>
    <w:next w:val="94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18" w:customStyle="1">
    <w:name w:val="Сетка таблицы3"/>
    <w:basedOn w:val="766"/>
    <w:next w:val="94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9" w:customStyle="1">
    <w:name w:val="Заголовок 5 Знак"/>
    <w:basedOn w:val="765"/>
    <w:link w:val="760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1020" w:customStyle="1">
    <w:name w:val="highlightcolor"/>
    <w:basedOn w:val="765"/>
  </w:style>
  <w:style w:type="numbering" w:styleId="1021" w:customStyle="1">
    <w:name w:val="Нет списка1"/>
    <w:next w:val="767"/>
    <w:uiPriority w:val="99"/>
    <w:semiHidden/>
    <w:unhideWhenUsed/>
  </w:style>
  <w:style w:type="numbering" w:styleId="1022" w:customStyle="1">
    <w:name w:val="Нет списка2"/>
    <w:next w:val="767"/>
    <w:uiPriority w:val="99"/>
    <w:semiHidden/>
    <w:unhideWhenUsed/>
  </w:style>
  <w:style w:type="numbering" w:styleId="1023" w:customStyle="1">
    <w:name w:val="Нет списка3"/>
    <w:next w:val="767"/>
    <w:uiPriority w:val="99"/>
    <w:semiHidden/>
    <w:unhideWhenUsed/>
  </w:style>
  <w:style w:type="numbering" w:styleId="1024" w:customStyle="1">
    <w:name w:val="Нет списка4"/>
    <w:next w:val="767"/>
    <w:uiPriority w:val="99"/>
    <w:semiHidden/>
    <w:unhideWhenUsed/>
  </w:style>
  <w:style w:type="numbering" w:styleId="1025" w:customStyle="1">
    <w:name w:val="Нет списка5"/>
    <w:next w:val="767"/>
    <w:uiPriority w:val="99"/>
    <w:semiHidden/>
    <w:unhideWhenUsed/>
  </w:style>
  <w:style w:type="numbering" w:styleId="1026" w:customStyle="1">
    <w:name w:val="Нет списка6"/>
    <w:next w:val="767"/>
    <w:uiPriority w:val="99"/>
    <w:semiHidden/>
    <w:unhideWhenUsed/>
  </w:style>
  <w:style w:type="numbering" w:styleId="1027" w:customStyle="1">
    <w:name w:val="Нет списка7"/>
    <w:next w:val="767"/>
    <w:uiPriority w:val="99"/>
    <w:semiHidden/>
    <w:unhideWhenUsed/>
  </w:style>
  <w:style w:type="numbering" w:styleId="1028" w:customStyle="1">
    <w:name w:val="Нет списка8"/>
    <w:next w:val="767"/>
    <w:uiPriority w:val="99"/>
    <w:semiHidden/>
    <w:unhideWhenUsed/>
  </w:style>
  <w:style w:type="numbering" w:styleId="1029" w:customStyle="1">
    <w:name w:val="Нет списка9"/>
    <w:next w:val="767"/>
    <w:uiPriority w:val="99"/>
    <w:semiHidden/>
    <w:unhideWhenUsed/>
  </w:style>
  <w:style w:type="numbering" w:styleId="1030" w:customStyle="1">
    <w:name w:val="Нет списка10"/>
    <w:next w:val="767"/>
    <w:uiPriority w:val="99"/>
    <w:semiHidden/>
    <w:unhideWhenUsed/>
  </w:style>
  <w:style w:type="numbering" w:styleId="1031" w:customStyle="1">
    <w:name w:val="Нет списка11"/>
    <w:next w:val="767"/>
    <w:uiPriority w:val="99"/>
    <w:semiHidden/>
    <w:unhideWhenUsed/>
  </w:style>
  <w:style w:type="numbering" w:styleId="1032" w:customStyle="1">
    <w:name w:val="Нет списка12"/>
    <w:next w:val="767"/>
    <w:uiPriority w:val="99"/>
    <w:semiHidden/>
    <w:unhideWhenUsed/>
  </w:style>
  <w:style w:type="numbering" w:styleId="1033" w:customStyle="1">
    <w:name w:val="Нет списка13"/>
    <w:next w:val="767"/>
    <w:uiPriority w:val="99"/>
    <w:semiHidden/>
    <w:unhideWhenUsed/>
  </w:style>
  <w:style w:type="paragraph" w:styleId="1034">
    <w:name w:val="Subtitle"/>
    <w:basedOn w:val="755"/>
    <w:next w:val="755"/>
    <w:link w:val="1035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1035" w:customStyle="1">
    <w:name w:val="Подзаголовок Знак"/>
    <w:basedOn w:val="765"/>
    <w:link w:val="10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numbering" w:styleId="1036" w:customStyle="1">
    <w:name w:val="Нет списка14"/>
    <w:next w:val="767"/>
    <w:uiPriority w:val="99"/>
    <w:semiHidden/>
    <w:unhideWhenUsed/>
  </w:style>
  <w:style w:type="numbering" w:styleId="1037" w:customStyle="1">
    <w:name w:val="Нет списка15"/>
    <w:next w:val="767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724E8-CC5F-4DD4-9C16-12BE8F3F4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690</cp:revision>
  <dcterms:created xsi:type="dcterms:W3CDTF">2022-04-07T07:10:00Z</dcterms:created>
  <dcterms:modified xsi:type="dcterms:W3CDTF">2026-04-30T09:30:42Z</dcterms:modified>
</cp:coreProperties>
</file>